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DegitalITM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Responsabilite n\'est pas la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5.000.000,00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Madrid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03 août 2023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DegitalITM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Responsabilite n\'est pas la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DegitalITM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