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SET 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b="0" l="0" r="0" t="0"/>
            <wp:wrapNone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SRM Institute of Science and Technology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      College of Engineering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13"/>
          <w:tab w:val="right" w:leader="none" w:pos="9026"/>
        </w:tabs>
        <w:spacing w:after="6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Department of Networking and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Academic Year: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Test: CLA-T2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Date: 03-0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Course Code &amp; Title: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18C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C385T Forensics  and Incident Response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100 minutes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Year &amp; Sem: III Year / 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50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i w:val="1"/>
          <w:sz w:val="15"/>
          <w:szCs w:val="15"/>
        </w:rPr>
      </w:pPr>
      <w:bookmarkStart w:colFirst="0" w:colLast="0" w:name="_heading=h.aqfowq58qfn5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 CO 2: Understand the purpose and usage of various forensic tools.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i w:val="1"/>
          <w:sz w:val="15"/>
          <w:szCs w:val="15"/>
        </w:rPr>
      </w:pPr>
      <w:bookmarkStart w:colFirst="0" w:colLast="0" w:name="_heading=h.aqfowq58qfn5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CO 3: Gain knowledge on how scientific evidence collection/extraction during investigation.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i w:val="1"/>
          <w:sz w:val="15"/>
          <w:szCs w:val="15"/>
        </w:rPr>
      </w:pPr>
      <w:bookmarkStart w:colFirst="0" w:colLast="0" w:name="_heading=h.aqfowq58qfn5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CO 4: Acquire knowledge on file systems and its inner workings.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aqfowq58qfn5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313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  <w:tblGridChange w:id="0">
          <w:tblGrid>
            <w:gridCol w:w="763"/>
            <w:gridCol w:w="115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790"/>
            <w:gridCol w:w="790"/>
            <w:gridCol w:w="790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1305"/>
        </w:tabs>
        <w:spacing w:after="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305"/>
        </w:tabs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gridCol w:w="81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x 1  =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Instructions: Answer 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An attorney asking a digital investigator to fin vin supporting a particular line of inquiry is an example of ___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Influencing the examiner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Due diligence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Quid Pro Que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Voir dire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The First US law to address computer crime is called __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Computer Fraud and Abuse Act(CFAA)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Florida Computer Crime ACT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Computer Abuse Act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Weapon or Tool Design to Commit 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Regarding the admissibility of evidence which of the following is not a consideration ___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Relevance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Authenticity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Best Evidence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Nominally Prejudicial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Volatile data during the incidence is a part of ___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Host based data collection.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Hardware based data Collection.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Software Based data Collection.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IDS based data Collection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While creating an evidence report in incident response method which one is not the report type?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Writing formal Report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Written Informal Report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Manual report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High risk documents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Identify which one is not the data categories of the file system __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FAT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GFS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NTFS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RFS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Mapping of file system is managed by __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Metadata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Page table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Virtual Memory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In the past the method for expressing an option has been to frame a ___ question based on available factual evidence.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Hypothetical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Nested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Challenging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Contradictory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720" w:firstLine="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This is the table contains information about the cluster that are setup by the file system is called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__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name area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to file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allocation table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system area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The unused space in a file allocation block or memory page that may hold residual data is called ____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Slack space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Shrink space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Data space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File space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A</w:t>
      </w:r>
    </w:p>
    <w:p w:rsidR="00000000" w:rsidDel="00000000" w:rsidP="00000000" w:rsidRDefault="00000000" w:rsidRPr="00000000" w14:paraId="000000CD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b="0" l="0" r="0" t="0"/>
            <wp:wrapNone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College of Engineering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center" w:leader="none" w:pos="4513"/>
          <w:tab w:val="right" w:leader="none" w:pos="9026"/>
        </w:tabs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Networking and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D2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Academic Year: 2022-23 (Even)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Test: CLA-T2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Date: 03-03-2023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Code &amp; Title: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18C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C385T Forensics  and Incident Response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100 minutes</w:t>
      </w:r>
    </w:p>
    <w:p w:rsidR="00000000" w:rsidDel="00000000" w:rsidP="00000000" w:rsidRDefault="00000000" w:rsidRPr="00000000" w14:paraId="000000D5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Year &amp; Sem: III Year / 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50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b w:val="1"/>
          <w:i w:val="1"/>
          <w:sz w:val="15"/>
          <w:szCs w:val="15"/>
        </w:rPr>
      </w:pPr>
      <w:bookmarkStart w:colFirst="0" w:colLast="0" w:name="_heading=h.aqfowq58qfn5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 CO 2: Understand the purpose and usage of various forensic tools.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b w:val="1"/>
          <w:i w:val="1"/>
          <w:sz w:val="15"/>
          <w:szCs w:val="15"/>
        </w:rPr>
      </w:pPr>
      <w:bookmarkStart w:colFirst="0" w:colLast="0" w:name="_heading=h.aqfowq58qfn5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CO 3: Gain knowledge on how scientific evidence collection/extraction during investigation.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  <w:b w:val="1"/>
          <w:i w:val="1"/>
          <w:sz w:val="15"/>
          <w:szCs w:val="15"/>
        </w:rPr>
      </w:pPr>
      <w:bookmarkStart w:colFirst="0" w:colLast="0" w:name="_heading=h.aqfowq58qfn5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CO 4: Acquire knowledge on file systems and its inner workings.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aqfowq58qfn5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  <w:tblGridChange w:id="0">
          <w:tblGrid>
            <w:gridCol w:w="763"/>
            <w:gridCol w:w="115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790"/>
            <w:gridCol w:w="790"/>
            <w:gridCol w:w="790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305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gridCol w:w="81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 Part –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( 4*4 =  16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Instructions: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Answer any 4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Illustrate acquiring data with dd command and dcfldd in linux?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Explain about Evidence handling and specify the report format in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2.6.4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Assess data FTK imager detail and list out some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Show how to recover the deleted files in FAT system and brief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Show how the digital evidence stored and explain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Part –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( 2*12 =  24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Analyze and write short notes on 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Forensic Duplication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Forensic Investigation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ind w:left="720" w:firstLine="0"/>
              <w:jc w:val="center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What is digital evidence? State and explain task that investigators perform when working with digital evidence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Summarize the steps involved in examining NTFS disk and explain it.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vertAlign w:val="baseline"/>
                <w:rtl w:val="0"/>
              </w:rPr>
              <w:t xml:space="preserve">Illustrate in detail on FAT32 file system and its directory structure in detail.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CIDFont+F2" w:cs="CIDFont+F2" w:eastAsia="CIDFont+F2" w:hAnsi="CIDFont+F2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*Program Indicators are available separately for Computer Science and Engineering in AICTE examination reforms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322529" cy="1743075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529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2405063" cy="194310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Approved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Scrutiny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IDFont+F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CIDFont+F2" w:cs="CIDFont+F2" w:eastAsia="CIDFont+F2" w:hAnsi="CIDFont+F2"/>
        <w:b w:val="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jAoFBTN0T9vQ9PMbXncPq5Bnxg==">AMUW2mWm45OhYiASSlFSoNZfQnsVaq/ZB/RmZ1GDVqwWgCxdMR43rfW0Ys687l2MYHPzrYTUWHKYQfwIDtLXB3U7Ya0LM4UTT4qy8O9FRuUDQFCwSjugoUCawYIBTt3V9YAAKxxjN3YpSiTrGlI58RalOuNuLdPDxL1NiAboyUdqx4T1Wzh40ynNiS6Yu+V2h0kg56UdMe74DCXy0VUUj9wPTds7GMjCjvH48gd0fPogiXB4iwxk8LAUSUg7Q92PETIcHMyHN4LTeVM6EUv/T8kArkfox8ut6wi1xRZnVlm8oUKFZ5F0E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2023-03-30T23:41:00Z</dcterms:created>
  <dc:creator>Dominic</dc:creator>
</cp:coreProperties>
</file>