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SET 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-24128</wp:posOffset>
            </wp:positionH>
            <wp:positionV relativeFrom="paragraph">
              <wp:posOffset>-2538</wp:posOffset>
            </wp:positionV>
            <wp:extent cx="1310005" cy="636270"/>
            <wp:effectExtent b="0" l="0" r="0" t="0"/>
            <wp:wrapNone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513"/>
          <w:tab w:val="right" w:leader="none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513"/>
          <w:tab w:val="right" w:leader="none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513"/>
          <w:tab w:val="right" w:leader="none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Networking and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SRM Nagar, Kattankulathur – 603203, Chengalpattu District, Tamilnadu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Academic Year: 2022-23 (Even)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Test: CLA-T2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Date: 03-05-2023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Code &amp; Title: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18CSE382T Forensics  and Incident Response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60 minutes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Year &amp; Sem: III Year / V Sem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30</w:t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Arial" w:cs="Arial" w:eastAsia="Arial" w:hAnsi="Arial"/>
          <w:b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sz w:val="15"/>
          <w:szCs w:val="15"/>
          <w:rtl w:val="0"/>
        </w:rPr>
        <w:t xml:space="preserve">Course Articulation Matrix: </w:t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rPr>
          <w:rFonts w:ascii="Arial" w:cs="Arial" w:eastAsia="Arial" w:hAnsi="Arial"/>
          <w:b w:val="1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 CO 5; Understand the windows and linux investigation procedures.</w:t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rPr>
          <w:rFonts w:ascii="Arial" w:cs="Arial" w:eastAsia="Arial" w:hAnsi="Arial"/>
          <w:b w:val="1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CO 6: Introduce the report writing guidelines and principles</w:t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3.0" w:type="dxa"/>
        <w:jc w:val="left"/>
        <w:tblInd w:w="-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"/>
        <w:gridCol w:w="115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90"/>
        <w:gridCol w:w="790"/>
        <w:gridCol w:w="790"/>
        <w:tblGridChange w:id="0">
          <w:tblGrid>
            <w:gridCol w:w="763"/>
            <w:gridCol w:w="1150"/>
            <w:gridCol w:w="670"/>
            <w:gridCol w:w="670"/>
            <w:gridCol w:w="670"/>
            <w:gridCol w:w="670"/>
            <w:gridCol w:w="670"/>
            <w:gridCol w:w="670"/>
            <w:gridCol w:w="670"/>
            <w:gridCol w:w="670"/>
            <w:gridCol w:w="670"/>
            <w:gridCol w:w="790"/>
            <w:gridCol w:w="790"/>
            <w:gridCol w:w="790"/>
          </w:tblGrid>
        </w:tblGridChange>
      </w:tblGrid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1305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305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-1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355"/>
        <w:gridCol w:w="900"/>
        <w:gridCol w:w="720"/>
        <w:gridCol w:w="720"/>
        <w:gridCol w:w="660"/>
        <w:gridCol w:w="780"/>
        <w:tblGridChange w:id="0">
          <w:tblGrid>
            <w:gridCol w:w="675"/>
            <w:gridCol w:w="5355"/>
            <w:gridCol w:w="900"/>
            <w:gridCol w:w="720"/>
            <w:gridCol w:w="720"/>
            <w:gridCol w:w="660"/>
            <w:gridCol w:w="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  C (3*10=30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5401"/>
        <w:gridCol w:w="907"/>
        <w:gridCol w:w="726"/>
        <w:gridCol w:w="726"/>
        <w:gridCol w:w="726"/>
        <w:gridCol w:w="730"/>
        <w:tblGridChange w:id="0">
          <w:tblGrid>
            <w:gridCol w:w="608"/>
            <w:gridCol w:w="5401"/>
            <w:gridCol w:w="907"/>
            <w:gridCol w:w="726"/>
            <w:gridCol w:w="726"/>
            <w:gridCol w:w="726"/>
            <w:gridCol w:w="730"/>
          </w:tblGrid>
        </w:tblGridChange>
      </w:tblGrid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1" w:hanging="3"/>
              <w:rPr>
                <w:rFonts w:ascii="CIDFont+F2" w:cs="CIDFont+F2" w:eastAsia="CIDFont+F2" w:hAnsi="CIDFont+F2"/>
                <w:sz w:val="26"/>
                <w:szCs w:val="26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rtl w:val="0"/>
              </w:rPr>
              <w:t xml:space="preserve">Corporate the following procedures for corporate high-tech investigation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rFonts w:ascii="CIDFont+F2" w:cs="CIDFont+F2" w:eastAsia="CIDFont+F2" w:hAnsi="CIDFont+F2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E-Mail abuse investigation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rFonts w:ascii="CIDFont+F2" w:cs="CIDFont+F2" w:eastAsia="CIDFont+F2" w:hAnsi="CIDFont+F2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Media leak investigation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left="1" w:hanging="3"/>
              <w:jc w:val="center"/>
              <w:rPr>
                <w:rFonts w:ascii="CIDFont+F2" w:cs="CIDFont+F2" w:eastAsia="CIDFont+F2" w:hAnsi="CIDFont+F2"/>
                <w:sz w:val="26"/>
                <w:szCs w:val="26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rtl w:val="0"/>
              </w:rPr>
              <w:t xml:space="preserve">(OR)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1.3.1</w:t>
            </w:r>
          </w:p>
        </w:tc>
      </w:tr>
      <w:tr>
        <w:trPr>
          <w:cantSplit w:val="0"/>
          <w:trHeight w:val="137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1" w:hanging="3"/>
              <w:rPr>
                <w:rFonts w:ascii="CIDFont+F2" w:cs="CIDFont+F2" w:eastAsia="CIDFont+F2" w:hAnsi="CIDFont+F2"/>
                <w:sz w:val="26"/>
                <w:szCs w:val="26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rtl w:val="0"/>
              </w:rPr>
              <w:t xml:space="preserve">Evaluate the problems and challenges forensic examiners face when preparing and processing investigations, including the ideas and questions they must consider.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1.2.1</w:t>
            </w:r>
          </w:p>
        </w:tc>
      </w:tr>
      <w:tr>
        <w:trPr>
          <w:cantSplit w:val="0"/>
          <w:trHeight w:val="137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1" w:hanging="3"/>
              <w:jc w:val="both"/>
              <w:rPr>
                <w:rFonts w:ascii="CIDFont+F2" w:cs="CIDFont+F2" w:eastAsia="CIDFont+F2" w:hAnsi="CIDFont+F2"/>
                <w:sz w:val="26"/>
                <w:szCs w:val="26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rtl w:val="0"/>
              </w:rPr>
              <w:t xml:space="preserve">Analyze and explain the following.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CIDFont+F2" w:cs="CIDFont+F2" w:eastAsia="CIDFont+F2" w:hAnsi="CIDFont+F2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Computer forensic Software tools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both"/>
              <w:rPr>
                <w:rFonts w:ascii="CIDFont+F2" w:cs="CIDFont+F2" w:eastAsia="CIDFont+F2" w:hAnsi="CIDFont+F2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Computer Forensic hardware tools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1" w:hanging="3"/>
              <w:jc w:val="center"/>
              <w:rPr>
                <w:rFonts w:ascii="CIDFont+F2" w:cs="CIDFont+F2" w:eastAsia="CIDFont+F2" w:hAnsi="CIDFont+F2"/>
                <w:sz w:val="26"/>
                <w:szCs w:val="26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rtl w:val="0"/>
              </w:rPr>
              <w:t xml:space="preserve">(OR)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1" w:hanging="3"/>
              <w:rPr>
                <w:rFonts w:ascii="CIDFont+F2" w:cs="CIDFont+F2" w:eastAsia="CIDFont+F2" w:hAnsi="CIDFont+F2"/>
                <w:sz w:val="26"/>
                <w:szCs w:val="26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6"/>
                <w:szCs w:val="26"/>
                <w:rtl w:val="0"/>
              </w:rPr>
              <w:t xml:space="preserve">Elaborate in detail on forensic report writing with an example.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1" w:hanging="3"/>
              <w:jc w:val="both"/>
              <w:rPr>
                <w:rFonts w:ascii="CIDFont+F2" w:cs="CIDFont+F2" w:eastAsia="CIDFont+F2" w:hAnsi="CIDFont+F2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2.6.3</w:t>
            </w:r>
          </w:p>
        </w:tc>
      </w:tr>
      <w:tr>
        <w:trPr>
          <w:cantSplit w:val="0"/>
          <w:trHeight w:val="618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rPr>
                <w:rFonts w:ascii="CIDFont+F2" w:cs="CIDFont+F2" w:eastAsia="CIDFont+F2" w:hAnsi="CIDFont+F2"/>
                <w:sz w:val="26"/>
                <w:szCs w:val="26"/>
              </w:rPr>
            </w:pPr>
            <w:r w:rsidDel="00000000" w:rsidR="00000000" w:rsidRPr="00000000">
              <w:rPr/>
              <w:pict>
                <v:shape id="_x0000_i1025" style="width:280.8pt;height:390pt" o:ole="" type="#_x0000_t75">
                  <v:imagedata r:id="rId1" o:title=""/>
                </v:shape>
                <o:OLEObject DrawAspect="Content" r:id="rId2" ObjectID="_1744531370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5,6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4,6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5.5.1</w:t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ind w:left="0" w:hanging="2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*Program Indicators are available separately for Computer Science and Engineering in AICTE examination reforms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57425" cy="1977147"/>
            <wp:effectExtent b="0" l="0" r="0" t="0"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7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2343150" cy="1994778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94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Approved by the Scrutiny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IDFont+F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lWS0vAPZt0RK31IMg6P9bGXZAA==">CgMxLjA4AHIhMW1BeEhQN1lIdjZJNXMtUk10UkEtd2NzaDFOWGw1LUsy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2023-05-01T22:32:00Z</dcterms:created>
  <dc:creator>Dominic</dc:creator>
</cp:coreProperties>
</file>