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A4715" w14:textId="77777777" w:rsidR="004B25CB" w:rsidRDefault="00645326">
      <w:r>
        <w:t>Results</w:t>
      </w:r>
    </w:p>
    <w:p w14:paraId="1815A887" w14:textId="77777777" w:rsidR="00BA598D" w:rsidRDefault="00645326" w:rsidP="00BA598D">
      <w:r>
        <w:t xml:space="preserve">The various outcome measures collected throughout the study, both quantitative and qualitative, are presented in this section using the </w:t>
      </w:r>
      <w:r w:rsidR="00BA598D">
        <w:t>well-established</w:t>
      </w:r>
      <w:r>
        <w:t xml:space="preserve"> framework for usability which consists of efficiency, effectiveness, and satisfaction. Each of these three will now be </w:t>
      </w:r>
      <w:r w:rsidR="00BA598D">
        <w:t>defined and all outcome measures classed under each category listed.</w:t>
      </w:r>
    </w:p>
    <w:tbl>
      <w:tblPr>
        <w:tblStyle w:val="TableGrid"/>
        <w:tblW w:w="0" w:type="auto"/>
        <w:tblLook w:val="04A0" w:firstRow="1" w:lastRow="0" w:firstColumn="1" w:lastColumn="0" w:noHBand="0" w:noVBand="1"/>
      </w:tblPr>
      <w:tblGrid>
        <w:gridCol w:w="3005"/>
        <w:gridCol w:w="3005"/>
        <w:gridCol w:w="3006"/>
      </w:tblGrid>
      <w:tr w:rsidR="00BA598D" w14:paraId="1EF7C884" w14:textId="77777777" w:rsidTr="00BA598D">
        <w:tc>
          <w:tcPr>
            <w:tcW w:w="3005" w:type="dxa"/>
          </w:tcPr>
          <w:p w14:paraId="11EF09DA" w14:textId="77777777" w:rsidR="00BA598D" w:rsidRPr="00BA598D" w:rsidRDefault="00BA598D" w:rsidP="00BA598D">
            <w:pPr>
              <w:rPr>
                <w:b/>
                <w:bCs/>
              </w:rPr>
            </w:pPr>
            <w:r w:rsidRPr="00BA598D">
              <w:rPr>
                <w:b/>
                <w:bCs/>
              </w:rPr>
              <w:t>Efficiency</w:t>
            </w:r>
          </w:p>
        </w:tc>
        <w:tc>
          <w:tcPr>
            <w:tcW w:w="3005" w:type="dxa"/>
          </w:tcPr>
          <w:p w14:paraId="1A59BCA0" w14:textId="77777777" w:rsidR="00BA598D" w:rsidRPr="00BA598D" w:rsidRDefault="00BA598D" w:rsidP="00BA598D">
            <w:pPr>
              <w:rPr>
                <w:b/>
                <w:bCs/>
              </w:rPr>
            </w:pPr>
            <w:r w:rsidRPr="00BA598D">
              <w:rPr>
                <w:b/>
                <w:bCs/>
              </w:rPr>
              <w:t>Effectiveness</w:t>
            </w:r>
          </w:p>
        </w:tc>
        <w:tc>
          <w:tcPr>
            <w:tcW w:w="3006" w:type="dxa"/>
          </w:tcPr>
          <w:p w14:paraId="7FA60416" w14:textId="77777777" w:rsidR="00BA598D" w:rsidRPr="00BA598D" w:rsidRDefault="00BA598D" w:rsidP="00BA598D">
            <w:pPr>
              <w:rPr>
                <w:b/>
                <w:bCs/>
              </w:rPr>
            </w:pPr>
            <w:r w:rsidRPr="00BA598D">
              <w:rPr>
                <w:b/>
                <w:bCs/>
              </w:rPr>
              <w:t>Satisfaction</w:t>
            </w:r>
          </w:p>
        </w:tc>
      </w:tr>
      <w:tr w:rsidR="00BA598D" w14:paraId="4C8257E2" w14:textId="77777777" w:rsidTr="00BA598D">
        <w:tc>
          <w:tcPr>
            <w:tcW w:w="3005" w:type="dxa"/>
          </w:tcPr>
          <w:p w14:paraId="22D421A2" w14:textId="77777777" w:rsidR="00BA598D" w:rsidRDefault="00BA598D" w:rsidP="00BA598D">
            <w:r>
              <w:t>Time for setup</w:t>
            </w:r>
          </w:p>
        </w:tc>
        <w:tc>
          <w:tcPr>
            <w:tcW w:w="3005" w:type="dxa"/>
          </w:tcPr>
          <w:p w14:paraId="3F1B07BD" w14:textId="77777777" w:rsidR="00BA598D" w:rsidRDefault="00BA598D" w:rsidP="00BA598D">
            <w:r>
              <w:t>EEG assessments</w:t>
            </w:r>
          </w:p>
        </w:tc>
        <w:tc>
          <w:tcPr>
            <w:tcW w:w="3006" w:type="dxa"/>
          </w:tcPr>
          <w:p w14:paraId="0B04A6DE" w14:textId="77777777" w:rsidR="00BA598D" w:rsidRPr="005824EC" w:rsidRDefault="00BA598D" w:rsidP="00BA598D">
            <w:pPr>
              <w:rPr>
                <w:strike/>
              </w:rPr>
            </w:pPr>
            <w:r w:rsidRPr="005824EC">
              <w:rPr>
                <w:strike/>
              </w:rPr>
              <w:t>Stress + Satisfaction measure</w:t>
            </w:r>
          </w:p>
        </w:tc>
      </w:tr>
      <w:tr w:rsidR="00BA598D" w14:paraId="77CDD146" w14:textId="77777777" w:rsidTr="00BA598D">
        <w:tc>
          <w:tcPr>
            <w:tcW w:w="3005" w:type="dxa"/>
          </w:tcPr>
          <w:p w14:paraId="3F724CA6" w14:textId="77777777" w:rsidR="00BA598D" w:rsidRPr="005824EC" w:rsidRDefault="00BA598D" w:rsidP="00BA598D">
            <w:pPr>
              <w:rPr>
                <w:strike/>
              </w:rPr>
            </w:pPr>
            <w:r w:rsidRPr="005824EC">
              <w:rPr>
                <w:strike/>
              </w:rPr>
              <w:t>Time for each activation</w:t>
            </w:r>
          </w:p>
        </w:tc>
        <w:tc>
          <w:tcPr>
            <w:tcW w:w="3005" w:type="dxa"/>
          </w:tcPr>
          <w:p w14:paraId="1EF34417" w14:textId="77777777" w:rsidR="00BA598D" w:rsidRDefault="00BA598D" w:rsidP="00BA598D">
            <w:r>
              <w:t>MMT</w:t>
            </w:r>
          </w:p>
        </w:tc>
        <w:tc>
          <w:tcPr>
            <w:tcW w:w="3006" w:type="dxa"/>
          </w:tcPr>
          <w:p w14:paraId="7587DA47" w14:textId="77777777" w:rsidR="00BA598D" w:rsidRPr="005824EC" w:rsidRDefault="00BA598D" w:rsidP="005824EC">
            <w:pPr>
              <w:tabs>
                <w:tab w:val="center" w:pos="1395"/>
              </w:tabs>
              <w:rPr>
                <w:strike/>
              </w:rPr>
            </w:pPr>
            <w:r w:rsidRPr="005824EC">
              <w:rPr>
                <w:strike/>
              </w:rPr>
              <w:t>QUEST</w:t>
            </w:r>
            <w:r w:rsidR="005824EC" w:rsidRPr="005824EC">
              <w:rPr>
                <w:strike/>
              </w:rPr>
              <w:tab/>
            </w:r>
          </w:p>
        </w:tc>
      </w:tr>
      <w:tr w:rsidR="00BA598D" w14:paraId="348B0687" w14:textId="77777777" w:rsidTr="00BA598D">
        <w:tc>
          <w:tcPr>
            <w:tcW w:w="3005" w:type="dxa"/>
          </w:tcPr>
          <w:p w14:paraId="2DE25175" w14:textId="77777777" w:rsidR="00BA598D" w:rsidRPr="005824EC" w:rsidRDefault="00BA598D" w:rsidP="00BA598D">
            <w:pPr>
              <w:rPr>
                <w:strike/>
              </w:rPr>
            </w:pPr>
            <w:r w:rsidRPr="005824EC">
              <w:rPr>
                <w:strike/>
              </w:rPr>
              <w:t>NASA TLX</w:t>
            </w:r>
          </w:p>
        </w:tc>
        <w:tc>
          <w:tcPr>
            <w:tcW w:w="3005" w:type="dxa"/>
          </w:tcPr>
          <w:p w14:paraId="5E5BC60D" w14:textId="77777777" w:rsidR="00BA598D" w:rsidRDefault="00BA598D" w:rsidP="00BA598D">
            <w:r>
              <w:t>ROM</w:t>
            </w:r>
          </w:p>
        </w:tc>
        <w:tc>
          <w:tcPr>
            <w:tcW w:w="3006" w:type="dxa"/>
          </w:tcPr>
          <w:p w14:paraId="01C9C4AE" w14:textId="77777777" w:rsidR="00BA598D" w:rsidRDefault="00BA598D" w:rsidP="00BA598D">
            <w:r>
              <w:t>Interviews</w:t>
            </w:r>
          </w:p>
        </w:tc>
      </w:tr>
      <w:tr w:rsidR="00BA598D" w14:paraId="745DB11E" w14:textId="77777777" w:rsidTr="00BA598D">
        <w:tc>
          <w:tcPr>
            <w:tcW w:w="3005" w:type="dxa"/>
          </w:tcPr>
          <w:p w14:paraId="54862F2D" w14:textId="77777777" w:rsidR="00BA598D" w:rsidRPr="005824EC" w:rsidRDefault="00BA598D" w:rsidP="00BA598D">
            <w:pPr>
              <w:rPr>
                <w:strike/>
              </w:rPr>
            </w:pPr>
            <w:r w:rsidRPr="005824EC">
              <w:rPr>
                <w:strike/>
              </w:rPr>
              <w:t>FES parameter repeatability</w:t>
            </w:r>
          </w:p>
        </w:tc>
        <w:tc>
          <w:tcPr>
            <w:tcW w:w="3005" w:type="dxa"/>
          </w:tcPr>
          <w:p w14:paraId="3ACCC2CA" w14:textId="77777777" w:rsidR="00BA598D" w:rsidRDefault="00BA598D" w:rsidP="00BA598D">
            <w:r>
              <w:t>SCIM</w:t>
            </w:r>
          </w:p>
        </w:tc>
        <w:tc>
          <w:tcPr>
            <w:tcW w:w="3006" w:type="dxa"/>
          </w:tcPr>
          <w:p w14:paraId="5C59995F" w14:textId="77777777" w:rsidR="00BA598D" w:rsidRPr="005824EC" w:rsidRDefault="00BA598D" w:rsidP="00BA598D">
            <w:pPr>
              <w:rPr>
                <w:strike/>
              </w:rPr>
            </w:pPr>
            <w:r w:rsidRPr="005824EC">
              <w:rPr>
                <w:strike/>
              </w:rPr>
              <w:t>Perceived Usefulness Q</w:t>
            </w:r>
          </w:p>
        </w:tc>
      </w:tr>
      <w:tr w:rsidR="00BA598D" w14:paraId="45A59A7A" w14:textId="77777777" w:rsidTr="00BA598D">
        <w:tc>
          <w:tcPr>
            <w:tcW w:w="3005" w:type="dxa"/>
          </w:tcPr>
          <w:p w14:paraId="4960C369" w14:textId="77777777" w:rsidR="00BA598D" w:rsidRPr="005824EC" w:rsidRDefault="00BA598D" w:rsidP="00BA598D">
            <w:pPr>
              <w:rPr>
                <w:strike/>
              </w:rPr>
            </w:pPr>
            <w:r w:rsidRPr="005824EC">
              <w:rPr>
                <w:strike/>
              </w:rPr>
              <w:t>Threshold repeatability</w:t>
            </w:r>
          </w:p>
        </w:tc>
        <w:tc>
          <w:tcPr>
            <w:tcW w:w="3005" w:type="dxa"/>
          </w:tcPr>
          <w:p w14:paraId="20356232" w14:textId="77777777" w:rsidR="00BA598D" w:rsidRDefault="00BA598D" w:rsidP="00BA598D"/>
        </w:tc>
        <w:tc>
          <w:tcPr>
            <w:tcW w:w="3006" w:type="dxa"/>
          </w:tcPr>
          <w:p w14:paraId="3B04E3D8" w14:textId="77777777" w:rsidR="00BA598D" w:rsidRDefault="00BA598D" w:rsidP="00BA598D"/>
        </w:tc>
      </w:tr>
      <w:tr w:rsidR="00BA598D" w14:paraId="6CDA368E" w14:textId="77777777" w:rsidTr="00BA598D">
        <w:tc>
          <w:tcPr>
            <w:tcW w:w="3005" w:type="dxa"/>
          </w:tcPr>
          <w:p w14:paraId="7D241F52" w14:textId="77777777" w:rsidR="00BA598D" w:rsidRPr="005824EC" w:rsidRDefault="00BA598D" w:rsidP="00BA598D">
            <w:pPr>
              <w:rPr>
                <w:strike/>
              </w:rPr>
            </w:pPr>
            <w:r w:rsidRPr="005824EC">
              <w:rPr>
                <w:strike/>
              </w:rPr>
              <w:t>TPR/FPR/TNR</w:t>
            </w:r>
          </w:p>
        </w:tc>
        <w:tc>
          <w:tcPr>
            <w:tcW w:w="3005" w:type="dxa"/>
          </w:tcPr>
          <w:p w14:paraId="6DD2874B" w14:textId="77777777" w:rsidR="00BA598D" w:rsidRDefault="00BA598D" w:rsidP="00BA598D"/>
        </w:tc>
        <w:tc>
          <w:tcPr>
            <w:tcW w:w="3006" w:type="dxa"/>
          </w:tcPr>
          <w:p w14:paraId="409D47D9" w14:textId="77777777" w:rsidR="00BA598D" w:rsidRDefault="00BA598D" w:rsidP="00BA598D"/>
        </w:tc>
      </w:tr>
      <w:tr w:rsidR="00BA598D" w14:paraId="41520F5E" w14:textId="77777777" w:rsidTr="00BA598D">
        <w:tc>
          <w:tcPr>
            <w:tcW w:w="3005" w:type="dxa"/>
          </w:tcPr>
          <w:p w14:paraId="0A6BE6EA" w14:textId="77777777" w:rsidR="00BA598D" w:rsidRPr="005824EC" w:rsidRDefault="00BA598D" w:rsidP="00BA598D">
            <w:pPr>
              <w:rPr>
                <w:strike/>
              </w:rPr>
            </w:pPr>
            <w:r w:rsidRPr="005824EC">
              <w:rPr>
                <w:strike/>
              </w:rPr>
              <w:t>Number of sessions with OT</w:t>
            </w:r>
          </w:p>
        </w:tc>
        <w:tc>
          <w:tcPr>
            <w:tcW w:w="3005" w:type="dxa"/>
          </w:tcPr>
          <w:p w14:paraId="68866643" w14:textId="77777777" w:rsidR="00BA598D" w:rsidRDefault="00BA598D" w:rsidP="00BA598D"/>
        </w:tc>
        <w:tc>
          <w:tcPr>
            <w:tcW w:w="3006" w:type="dxa"/>
          </w:tcPr>
          <w:p w14:paraId="070E0E95" w14:textId="77777777" w:rsidR="00BA598D" w:rsidRDefault="00BA598D" w:rsidP="00BA598D"/>
        </w:tc>
      </w:tr>
    </w:tbl>
    <w:p w14:paraId="04246D8E" w14:textId="77777777" w:rsidR="00BA598D" w:rsidRDefault="00BA598D" w:rsidP="00BA598D"/>
    <w:p w14:paraId="048BA35A" w14:textId="77777777" w:rsidR="00645326" w:rsidRDefault="00645326" w:rsidP="00645326">
      <w:pPr>
        <w:pStyle w:val="Heading2"/>
      </w:pPr>
      <w:r>
        <w:t>Efficiency</w:t>
      </w:r>
    </w:p>
    <w:p w14:paraId="7C066119" w14:textId="77777777" w:rsidR="00645326" w:rsidRDefault="00645326" w:rsidP="00645326">
      <w:r>
        <w:t>Time for setup</w:t>
      </w:r>
    </w:p>
    <w:p w14:paraId="1BC7FF22" w14:textId="77777777" w:rsidR="00D87C63" w:rsidRDefault="00BA598D" w:rsidP="00D87C63">
      <w:r>
        <w:t xml:space="preserve">Donning time was measured at each BCIFES session. </w:t>
      </w:r>
      <w:r w:rsidR="00365974">
        <w:t xml:space="preserve">It </w:t>
      </w:r>
      <w:r w:rsidR="003407D5">
        <w:t>was defined as the complete process of placing headset, achieving good contact of electrodes, setting up the training threshold, placing FES electrodes, setting FES current</w:t>
      </w:r>
      <w:r w:rsidR="00AC6132">
        <w:t>,</w:t>
      </w:r>
      <w:r w:rsidR="003407D5">
        <w:t xml:space="preserve"> and testing the threshold and parameters to make sure they are correct. </w:t>
      </w:r>
      <w:r w:rsidR="00C26294">
        <w:t xml:space="preserve">After finishing donning users occasionally needed to further readjust the parameters, but these additional changes were not included in the time for initial set up presented here.  </w:t>
      </w:r>
    </w:p>
    <w:p w14:paraId="6293895A" w14:textId="77777777" w:rsidR="00D23DF1" w:rsidRDefault="00D87C63" w:rsidP="00D87C63">
      <w:r>
        <w:t xml:space="preserve"> </w:t>
      </w:r>
      <w:r w:rsidR="00AF7F2A">
        <w:rPr>
          <w:noProof/>
        </w:rPr>
        <w:drawing>
          <wp:inline distT="0" distB="0" distL="0" distR="0" wp14:anchorId="27DED40A" wp14:editId="2A795708">
            <wp:extent cx="5731510" cy="42983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ll-S-1,5,10,14-Donni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51091EE8" w14:textId="77777777" w:rsidR="00D87C63" w:rsidRDefault="00D87C63" w:rsidP="00AF7F2A">
      <w:r>
        <w:lastRenderedPageBreak/>
        <w:t>Figure XX. Donning times for al</w:t>
      </w:r>
      <w:r w:rsidR="00AF7F2A">
        <w:t xml:space="preserve">l patients for sessions 1, 5, </w:t>
      </w:r>
      <w:r>
        <w:t>10</w:t>
      </w:r>
      <w:r w:rsidR="00AF7F2A">
        <w:t xml:space="preserve"> and 14</w:t>
      </w:r>
      <w:r>
        <w:t>. The number of users presented here are as follows: session 1 – 8 users, session 5 – 6 users, session 10 – 3 users</w:t>
      </w:r>
      <w:r w:rsidR="00AF7F2A">
        <w:t>, session 14 – 2 users</w:t>
      </w:r>
      <w:r>
        <w:t xml:space="preserve">. </w:t>
      </w:r>
    </w:p>
    <w:p w14:paraId="65F3829F" w14:textId="77777777" w:rsidR="008A1D8C" w:rsidRDefault="00D87C63" w:rsidP="00AF7F2A">
      <w:r>
        <w:t xml:space="preserve">In Figure XX above, session 1 represents the first training session with an OT, session 5 </w:t>
      </w:r>
      <w:r w:rsidR="008A1D8C">
        <w:t>is the last training session with an OT for some patients or the first independent (without OT) for others, and session</w:t>
      </w:r>
      <w:r w:rsidR="00AF7F2A">
        <w:t>s</w:t>
      </w:r>
      <w:r w:rsidR="008A1D8C">
        <w:t xml:space="preserve"> 10 </w:t>
      </w:r>
      <w:r w:rsidR="00AF7F2A">
        <w:t>and 14 are</w:t>
      </w:r>
      <w:r w:rsidR="008A1D8C">
        <w:t xml:space="preserve"> independent session</w:t>
      </w:r>
      <w:r w:rsidR="00AF7F2A">
        <w:t>s</w:t>
      </w:r>
      <w:r w:rsidR="008A1D8C">
        <w:t xml:space="preserve"> for all users who chose to continue with</w:t>
      </w:r>
      <w:r w:rsidR="00AF7F2A">
        <w:t xml:space="preserve"> optional</w:t>
      </w:r>
      <w:r w:rsidR="008A1D8C">
        <w:t xml:space="preserve"> therapy sessions. A clear trend of decreasing donning time can be observe</w:t>
      </w:r>
      <w:r w:rsidR="00944295">
        <w:t xml:space="preserve">d with the subsequent sessions down from approximately 30-60 min to approximately 15-25 min. </w:t>
      </w:r>
    </w:p>
    <w:p w14:paraId="49E6ED85" w14:textId="77777777" w:rsidR="008A1D8C" w:rsidRDefault="008A1D8C" w:rsidP="00645326">
      <w:r>
        <w:t>In the next figure, all sessions completed by the three users who chose to continue independent therapy are shown.</w:t>
      </w:r>
    </w:p>
    <w:p w14:paraId="3B32E667" w14:textId="77777777" w:rsidR="008A1D8C" w:rsidRDefault="008A1D8C" w:rsidP="00645326">
      <w:r>
        <w:rPr>
          <w:noProof/>
        </w:rPr>
        <w:drawing>
          <wp:inline distT="0" distB="0" distL="0" distR="0" wp14:anchorId="0C0C87C1" wp14:editId="57C0B348">
            <wp:extent cx="5731510" cy="42983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2,p5,p8-S-1to15-Donnin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2ABDC427" w14:textId="77777777" w:rsidR="008A1D8C" w:rsidRDefault="008A1D8C" w:rsidP="00645326">
      <w:r>
        <w:t xml:space="preserve">Figure XX. Donning times for users P2, P5, and P8, who completed 14, 15, and 10 sessions respectively. </w:t>
      </w:r>
    </w:p>
    <w:p w14:paraId="4D1AD1A0" w14:textId="77777777" w:rsidR="008A1D8C" w:rsidRDefault="00944295" w:rsidP="009C4ACB">
      <w:r>
        <w:t xml:space="preserve">Again the trend of decreasing donning times can be seen with a sub-sample of 3 users. It is interesting to note, that the boxplots for sessions 11-14 are based on just two users, one of whom was a male with a large head and no hair, while the other was a petite female with </w:t>
      </w:r>
      <w:r w:rsidR="0093097A">
        <w:t xml:space="preserve">a significantly smaller head and </w:t>
      </w:r>
      <w:r>
        <w:t>long hair</w:t>
      </w:r>
      <w:r w:rsidR="009C4ACB">
        <w:t>. T</w:t>
      </w:r>
      <w:r>
        <w:t xml:space="preserve">herefore the head size and hair length do not seem to be an obstacle in donning once the users have practiced the technique enough. </w:t>
      </w:r>
    </w:p>
    <w:p w14:paraId="18E8CF94" w14:textId="77777777" w:rsidR="00645326" w:rsidRDefault="00645326" w:rsidP="00645326">
      <w:r>
        <w:t>Time for each activation</w:t>
      </w:r>
    </w:p>
    <w:p w14:paraId="36701C2F" w14:textId="77777777" w:rsidR="00365974" w:rsidRDefault="00365974" w:rsidP="00645326"/>
    <w:p w14:paraId="05F6127E" w14:textId="77777777" w:rsidR="00645326" w:rsidRDefault="00645326" w:rsidP="00645326">
      <w:r>
        <w:t>NASA</w:t>
      </w:r>
    </w:p>
    <w:p w14:paraId="4C300FF7" w14:textId="77777777" w:rsidR="00D404BD" w:rsidRDefault="00D404BD" w:rsidP="00645326">
      <w:r>
        <w:lastRenderedPageBreak/>
        <w:t xml:space="preserve">Workload during the sessions was measured using the NASA TLX questionnaire </w:t>
      </w:r>
      <w:r>
        <w:fldChar w:fldCharType="begin" w:fldLock="1"/>
      </w:r>
      <w:r>
        <w:instrText>ADDIN CSL_CITATION {"citationItems":[{"id":"ITEM-1","itemData":{"DOI":"10.1177/154193120605000909","ISBN":"1071-1813","ISSN":"1541-9312","PMID":"451052","abstract":"NASA-TLX is a multi-dimensional scale designed to obtain workload estimates from one or more operators while they are performing a task or immediately afterwards. The years of research that preceded subscale selection and the weighted averaging approach resulted in a tool that has proven to be reasonably easy to use and reliably sensitive to experimentally important manipulations over the past 20 years. Its use has spread far beyond its original application (aviation), focus (crew complement), and language (English). This survey of 550 studies in which NASA-TLX was used or reviewed was undertaken to provide a resource for a new generation of users. The goal was to summarize the environments in which it has been applied, the types of activities the raters performed, other variables that were measured that did (or did not) covary, methodological issues, and lessons learned","author":[{"dropping-particle":"","family":"Hart","given":"Sandra G.","non-dropping-particle":"","parse-names":false,"suffix":""}],"container-title":"Proceedings of the Human Factors and Ergonomics Society Annual Meeting","id":"ITEM-1","issue":"9","issued":{"date-parts":[["2006"]]},"page":"904-908","title":"Nasa-Task Load Index (NASA-TLX); 20 Years Later","type":"article-journal","volume":"50"},"uris":["http://www.mendeley.com/documents/?uuid=bb4facb8-1c1f-4701-9def-e33b04712e69"]}],"mendeley":{"formattedCitation":"[1]","plainTextFormattedCitation":"[1]"},"properties":{"noteIndex":0},"schema":"https://github.com/citation-style-language/schema/raw/master/csl-citation.json"}</w:instrText>
      </w:r>
      <w:r>
        <w:fldChar w:fldCharType="separate"/>
      </w:r>
      <w:r w:rsidRPr="00D404BD">
        <w:rPr>
          <w:noProof/>
        </w:rPr>
        <w:t>[1]</w:t>
      </w:r>
      <w:r>
        <w:fldChar w:fldCharType="end"/>
      </w:r>
      <w:r>
        <w:t>. The figures below show selected results for both patients and carers, however because each user pair completed a different number of trials, the plots presented do not all have equal number of data points.</w:t>
      </w:r>
    </w:p>
    <w:p w14:paraId="6AE1464D" w14:textId="77777777" w:rsidR="00D404BD" w:rsidRDefault="00BE299E" w:rsidP="00645326">
      <w:r>
        <w:rPr>
          <w:noProof/>
        </w:rPr>
        <w:drawing>
          <wp:inline distT="0" distB="0" distL="0" distR="0" wp14:anchorId="16AAA587" wp14:editId="2B9CF3C0">
            <wp:extent cx="2830833" cy="212296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ll-S-,first,last training-tot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3762" cy="2155161"/>
                    </a:xfrm>
                    <a:prstGeom prst="rect">
                      <a:avLst/>
                    </a:prstGeom>
                  </pic:spPr>
                </pic:pic>
              </a:graphicData>
            </a:graphic>
          </wp:inline>
        </w:drawing>
      </w:r>
      <w:r>
        <w:rPr>
          <w:noProof/>
        </w:rPr>
        <w:drawing>
          <wp:inline distT="0" distB="0" distL="0" distR="0" wp14:anchorId="3F3FE012" wp14:editId="1083EBC8">
            <wp:extent cx="2808602" cy="21062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ll-S-,first,last training-tot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0664" cy="2122840"/>
                    </a:xfrm>
                    <a:prstGeom prst="rect">
                      <a:avLst/>
                    </a:prstGeom>
                  </pic:spPr>
                </pic:pic>
              </a:graphicData>
            </a:graphic>
          </wp:inline>
        </w:drawing>
      </w:r>
    </w:p>
    <w:p w14:paraId="5F52F46D" w14:textId="77777777" w:rsidR="00D51F38" w:rsidRDefault="00BE299E" w:rsidP="00645326">
      <w:r>
        <w:t xml:space="preserve">Figure XX. Overall Workload for the first and last training session for all carers (A) and all patients (B). </w:t>
      </w:r>
    </w:p>
    <w:p w14:paraId="0C77EE90" w14:textId="77777777" w:rsidR="00886301" w:rsidRDefault="00B90B7B" w:rsidP="00645326">
      <w:r>
        <w:rPr>
          <w:noProof/>
        </w:rPr>
        <w:drawing>
          <wp:inline distT="0" distB="0" distL="0" distR="0" wp14:anchorId="2FF917F2" wp14:editId="021872EA">
            <wp:extent cx="2845857" cy="2134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c5,c8-S-,first,last training,first independent,last-tot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9678" cy="2174598"/>
                    </a:xfrm>
                    <a:prstGeom prst="rect">
                      <a:avLst/>
                    </a:prstGeom>
                  </pic:spPr>
                </pic:pic>
              </a:graphicData>
            </a:graphic>
          </wp:inline>
        </w:drawing>
      </w:r>
      <w:r>
        <w:rPr>
          <w:noProof/>
        </w:rPr>
        <w:drawing>
          <wp:inline distT="0" distB="0" distL="0" distR="0" wp14:anchorId="7EFD1FDE" wp14:editId="4FBC95F0">
            <wp:extent cx="2872710" cy="215437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2,p5,p8-S-,first,last training,first independent,last-tot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5482" cy="2163951"/>
                    </a:xfrm>
                    <a:prstGeom prst="rect">
                      <a:avLst/>
                    </a:prstGeom>
                  </pic:spPr>
                </pic:pic>
              </a:graphicData>
            </a:graphic>
          </wp:inline>
        </w:drawing>
      </w:r>
    </w:p>
    <w:p w14:paraId="7007D28A" w14:textId="77777777" w:rsidR="00DC06E1" w:rsidRDefault="002C7908" w:rsidP="005E21F3">
      <w:r>
        <w:t xml:space="preserve">Figure XX. Overall Workload for selected sessions for carers (A) and patients (B) who continued with optional therapy. </w:t>
      </w:r>
      <w:r w:rsidR="005E21F3">
        <w:t>Last Training session was the 4</w:t>
      </w:r>
      <w:r w:rsidR="005E21F3" w:rsidRPr="005E21F3">
        <w:rPr>
          <w:vertAlign w:val="superscript"/>
        </w:rPr>
        <w:t>th</w:t>
      </w:r>
      <w:r w:rsidR="005E21F3">
        <w:t xml:space="preserve"> for two of the user pairs and the 5</w:t>
      </w:r>
      <w:r w:rsidR="005E21F3" w:rsidRPr="005E21F3">
        <w:rPr>
          <w:vertAlign w:val="superscript"/>
        </w:rPr>
        <w:t>th</w:t>
      </w:r>
      <w:r w:rsidR="005E21F3">
        <w:t xml:space="preserve"> for one pair. Consequently the First Independent session was the 5</w:t>
      </w:r>
      <w:r w:rsidR="005E21F3" w:rsidRPr="005E21F3">
        <w:rPr>
          <w:vertAlign w:val="superscript"/>
        </w:rPr>
        <w:t>th</w:t>
      </w:r>
      <w:r w:rsidR="005E21F3">
        <w:t xml:space="preserve"> for two pairs and the 6</w:t>
      </w:r>
      <w:r w:rsidR="005E21F3" w:rsidRPr="005E21F3">
        <w:rPr>
          <w:vertAlign w:val="superscript"/>
        </w:rPr>
        <w:t>th</w:t>
      </w:r>
      <w:r w:rsidR="005E21F3">
        <w:t xml:space="preserve"> for one. The La</w:t>
      </w:r>
      <w:r>
        <w:t>st session was 14</w:t>
      </w:r>
      <w:r w:rsidRPr="002C7908">
        <w:rPr>
          <w:vertAlign w:val="superscript"/>
        </w:rPr>
        <w:t>th</w:t>
      </w:r>
      <w:r w:rsidR="009676C8">
        <w:rPr>
          <w:vertAlign w:val="superscript"/>
        </w:rPr>
        <w:t xml:space="preserve"> </w:t>
      </w:r>
      <w:r w:rsidR="009676C8">
        <w:t>(10</w:t>
      </w:r>
      <w:r w:rsidR="009676C8" w:rsidRPr="009676C8">
        <w:rPr>
          <w:vertAlign w:val="superscript"/>
        </w:rPr>
        <w:t>th</w:t>
      </w:r>
      <w:r w:rsidR="009676C8">
        <w:t xml:space="preserve"> independent),</w:t>
      </w:r>
      <w:r>
        <w:t xml:space="preserve"> 15</w:t>
      </w:r>
      <w:r w:rsidRPr="002C7908">
        <w:rPr>
          <w:vertAlign w:val="superscript"/>
        </w:rPr>
        <w:t>th</w:t>
      </w:r>
      <w:r>
        <w:t xml:space="preserve"> </w:t>
      </w:r>
      <w:r w:rsidR="009676C8">
        <w:t>(10</w:t>
      </w:r>
      <w:r w:rsidR="009676C8" w:rsidRPr="009676C8">
        <w:rPr>
          <w:vertAlign w:val="superscript"/>
        </w:rPr>
        <w:t>th</w:t>
      </w:r>
      <w:r w:rsidR="009676C8">
        <w:t xml:space="preserve"> independent) </w:t>
      </w:r>
      <w:r>
        <w:t>and 10</w:t>
      </w:r>
      <w:r w:rsidRPr="002C7908">
        <w:rPr>
          <w:vertAlign w:val="superscript"/>
        </w:rPr>
        <w:t>th</w:t>
      </w:r>
      <w:r>
        <w:t xml:space="preserve"> </w:t>
      </w:r>
      <w:r w:rsidR="009676C8">
        <w:t>(6</w:t>
      </w:r>
      <w:r w:rsidR="009676C8" w:rsidRPr="009676C8">
        <w:rPr>
          <w:vertAlign w:val="superscript"/>
        </w:rPr>
        <w:t>th</w:t>
      </w:r>
      <w:r w:rsidR="009676C8">
        <w:t xml:space="preserve"> independent) </w:t>
      </w:r>
      <w:r>
        <w:t xml:space="preserve">for P2, P5, and P8 respectively. </w:t>
      </w:r>
    </w:p>
    <w:p w14:paraId="7724FC3A" w14:textId="77777777" w:rsidR="00CE2F86" w:rsidRDefault="00CE7CA1" w:rsidP="00CE2F86">
      <w:r>
        <w:t xml:space="preserve">As expected, Figure XX shows that the workload is lowest during the very last session after the users have had enough practice. Interestingly, for carers the workload </w:t>
      </w:r>
      <w:r w:rsidR="00324E61">
        <w:t xml:space="preserve">increases with each subsequent session with the highest at the first independent session. </w:t>
      </w:r>
    </w:p>
    <w:p w14:paraId="60ED4643" w14:textId="77777777" w:rsidR="00CE2F86" w:rsidRDefault="00CE2F86" w:rsidP="00324E61">
      <w:r>
        <w:rPr>
          <w:noProof/>
        </w:rPr>
        <w:lastRenderedPageBreak/>
        <w:drawing>
          <wp:inline distT="0" distB="0" distL="0" distR="0" wp14:anchorId="10D1068F" wp14:editId="3DF564C8">
            <wp:extent cx="2790825" cy="209296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2,c5,c8-S-Independent Sessions-tot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782" cy="2105681"/>
                    </a:xfrm>
                    <a:prstGeom prst="rect">
                      <a:avLst/>
                    </a:prstGeom>
                  </pic:spPr>
                </pic:pic>
              </a:graphicData>
            </a:graphic>
          </wp:inline>
        </w:drawing>
      </w:r>
      <w:r>
        <w:rPr>
          <w:noProof/>
        </w:rPr>
        <w:drawing>
          <wp:inline distT="0" distB="0" distL="0" distR="0" wp14:anchorId="0A28156A" wp14:editId="3ECA454C">
            <wp:extent cx="2762250" cy="2071533"/>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2,p5,p8-S-Independent Sessions-tot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5721" cy="2074136"/>
                    </a:xfrm>
                    <a:prstGeom prst="rect">
                      <a:avLst/>
                    </a:prstGeom>
                  </pic:spPr>
                </pic:pic>
              </a:graphicData>
            </a:graphic>
          </wp:inline>
        </w:drawing>
      </w:r>
    </w:p>
    <w:p w14:paraId="09AD68A9" w14:textId="77777777" w:rsidR="00EE5A24" w:rsidRDefault="00CE2F86" w:rsidP="00645326">
      <w:r>
        <w:t xml:space="preserve">Figure XX. Last Training session and </w:t>
      </w:r>
      <w:r w:rsidR="00231F02">
        <w:t xml:space="preserve">all </w:t>
      </w:r>
      <w:r>
        <w:t>the</w:t>
      </w:r>
      <w:r w:rsidR="00231F02">
        <w:t xml:space="preserve"> following independent sessions for user pairs who continued with optional therapy. </w:t>
      </w:r>
      <w:r>
        <w:t xml:space="preserve"> </w:t>
      </w:r>
      <w:r w:rsidR="00BE299E">
        <w:t xml:space="preserve">Two user pairs completed 10 independent sessions and one pair completed 6. </w:t>
      </w:r>
    </w:p>
    <w:p w14:paraId="5C94D995" w14:textId="77777777" w:rsidR="00EE5A24" w:rsidRDefault="006C7960" w:rsidP="00645326">
      <w:r>
        <w:t xml:space="preserve">The workload appears to decrease for the carers from with each subsequent independent session, until session number 7, and then jumps back up for the last few sessions, but because these last few boxplots are based on just two data points (as opposed to still only three for the previous sessions), more data is needed to determine the number of sessions after which the carers feel sufficiently comfortable using the system in order for the reported workload to stay at the plateau. </w:t>
      </w:r>
    </w:p>
    <w:p w14:paraId="556C2030" w14:textId="77777777" w:rsidR="006C7960" w:rsidRDefault="006C7960" w:rsidP="00645326">
      <w:r>
        <w:t xml:space="preserve">On the other hand, the workload for the patients seems to stay more constant. This is not surprising as the patients’ have less learning to do in their task of neurofeedback hand therapy. </w:t>
      </w:r>
    </w:p>
    <w:p w14:paraId="301BC354" w14:textId="77777777" w:rsidR="00645326" w:rsidRPr="0042415E" w:rsidRDefault="00645326" w:rsidP="00645326">
      <w:pPr>
        <w:rPr>
          <w:rStyle w:val="IntenseEmphasis"/>
        </w:rPr>
      </w:pPr>
      <w:r w:rsidRPr="0042415E">
        <w:rPr>
          <w:rStyle w:val="IntenseEmphasis"/>
        </w:rPr>
        <w:t>FES parameters repeatability</w:t>
      </w:r>
    </w:p>
    <w:p w14:paraId="34214AF4" w14:textId="77777777" w:rsidR="008E259B" w:rsidRDefault="008E259B" w:rsidP="0042415E">
      <w:r>
        <w:t xml:space="preserve">The FES </w:t>
      </w:r>
      <w:r w:rsidR="0042415E">
        <w:t>parameters</w:t>
      </w:r>
      <w:r>
        <w:t xml:space="preserve"> used by each patient and caregiver pair were initially </w:t>
      </w:r>
      <w:r w:rsidR="0042415E">
        <w:t xml:space="preserve">established by the OT during the training sessions. It was found that these remained unchanged for the overwhelming majority of the BCIFES sessions. </w:t>
      </w:r>
    </w:p>
    <w:p w14:paraId="4EFD8D8B" w14:textId="77777777" w:rsidR="00F57CCE" w:rsidRDefault="00F57CCE" w:rsidP="0042415E"/>
    <w:p w14:paraId="702BF113" w14:textId="044A13BA" w:rsidR="00F57CCE" w:rsidRDefault="00F57CCE" w:rsidP="0042415E">
      <w:r>
        <w:rPr>
          <w:noProof/>
        </w:rPr>
        <w:lastRenderedPageBreak/>
        <w:drawing>
          <wp:inline distT="0" distB="0" distL="0" distR="0" wp14:anchorId="61AD23E0" wp14:editId="6D2F355A">
            <wp:extent cx="4839057" cy="3629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ll Patients extensors Curren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1202" cy="3630634"/>
                    </a:xfrm>
                    <a:prstGeom prst="rect">
                      <a:avLst/>
                    </a:prstGeom>
                  </pic:spPr>
                </pic:pic>
              </a:graphicData>
            </a:graphic>
          </wp:inline>
        </w:drawing>
      </w:r>
      <w:r>
        <w:rPr>
          <w:noProof/>
        </w:rPr>
        <w:drawing>
          <wp:inline distT="0" distB="0" distL="0" distR="0" wp14:anchorId="28E38177" wp14:editId="5CB08C8B">
            <wp:extent cx="4933950" cy="37001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l Patients flexors Curren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54454" cy="3715569"/>
                    </a:xfrm>
                    <a:prstGeom prst="rect">
                      <a:avLst/>
                    </a:prstGeom>
                  </pic:spPr>
                </pic:pic>
              </a:graphicData>
            </a:graphic>
          </wp:inline>
        </w:drawing>
      </w:r>
    </w:p>
    <w:p w14:paraId="7C453985" w14:textId="77777777" w:rsidR="00645326" w:rsidRPr="00645326" w:rsidRDefault="00645326" w:rsidP="00645326">
      <w:r>
        <w:t>Repeatability of threshold</w:t>
      </w:r>
    </w:p>
    <w:p w14:paraId="06BC9D14" w14:textId="77777777" w:rsidR="00645326" w:rsidRDefault="00645326" w:rsidP="00645326">
      <w:r>
        <w:t>Number of sessions with OT</w:t>
      </w:r>
    </w:p>
    <w:p w14:paraId="0CE2C230" w14:textId="77777777" w:rsidR="00645326" w:rsidRPr="002F6A34" w:rsidRDefault="00645326" w:rsidP="00645326">
      <w:pPr>
        <w:rPr>
          <w:rStyle w:val="IntenseEmphasis"/>
        </w:rPr>
      </w:pPr>
      <w:r w:rsidRPr="002F6A34">
        <w:rPr>
          <w:rStyle w:val="IntenseEmphasis"/>
        </w:rPr>
        <w:t>TPR/FPR/TNR</w:t>
      </w:r>
    </w:p>
    <w:p w14:paraId="72406E92" w14:textId="77777777" w:rsidR="002F6A34" w:rsidRDefault="002F6A34" w:rsidP="00645326">
      <w:r>
        <w:rPr>
          <w:noProof/>
        </w:rPr>
        <w:lastRenderedPageBreak/>
        <w:drawing>
          <wp:inline distT="0" distB="0" distL="0" distR="0" wp14:anchorId="70D13A84" wp14:editId="25BEC5DA">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DECDA7" w14:textId="77777777" w:rsidR="00645326" w:rsidRDefault="00645326" w:rsidP="00645326">
      <w:pPr>
        <w:pStyle w:val="Heading2"/>
      </w:pPr>
      <w:r>
        <w:t>Effectiveness</w:t>
      </w:r>
    </w:p>
    <w:p w14:paraId="7A8447D2" w14:textId="77777777" w:rsidR="00645326" w:rsidRDefault="00645326">
      <w:r>
        <w:t>EEG assessment</w:t>
      </w:r>
    </w:p>
    <w:p w14:paraId="3FC4406B" w14:textId="77777777" w:rsidR="00D23DF1" w:rsidRDefault="00D23DF1"/>
    <w:p w14:paraId="66E82FE5" w14:textId="77777777" w:rsidR="00645326" w:rsidRDefault="00645326" w:rsidP="00645326">
      <w:r>
        <w:t>MMT</w:t>
      </w:r>
    </w:p>
    <w:p w14:paraId="74825B06" w14:textId="77777777" w:rsidR="00D23DF1" w:rsidRDefault="00D23DF1" w:rsidP="00645326"/>
    <w:p w14:paraId="47EAF887" w14:textId="77777777" w:rsidR="00645326" w:rsidRDefault="00645326" w:rsidP="00645326">
      <w:r>
        <w:t>ROM</w:t>
      </w:r>
    </w:p>
    <w:p w14:paraId="1C4D3CEB" w14:textId="77777777" w:rsidR="00D23DF1" w:rsidRDefault="00D23DF1" w:rsidP="00645326"/>
    <w:p w14:paraId="5A26D019" w14:textId="77777777" w:rsidR="00645326" w:rsidRDefault="00645326" w:rsidP="00645326">
      <w:r>
        <w:t>SCIM</w:t>
      </w:r>
    </w:p>
    <w:p w14:paraId="1E0A28EC" w14:textId="77777777" w:rsidR="00645326" w:rsidRDefault="00645326" w:rsidP="00645326">
      <w:pPr>
        <w:pStyle w:val="Heading2"/>
      </w:pPr>
      <w:r>
        <w:t>Satisfaction</w:t>
      </w:r>
    </w:p>
    <w:p w14:paraId="06D0B769" w14:textId="77777777" w:rsidR="00645326" w:rsidRDefault="00D23DF1" w:rsidP="00645326">
      <w:r>
        <w:t>Stress and</w:t>
      </w:r>
      <w:r w:rsidR="00645326">
        <w:t xml:space="preserve"> Satisfaction</w:t>
      </w:r>
    </w:p>
    <w:p w14:paraId="1018EA2D" w14:textId="77777777" w:rsidR="00D23DF1" w:rsidRDefault="00D23DF1" w:rsidP="00D23DF1">
      <w:r>
        <w:t xml:space="preserve">The patients and caregivers were asked rate their stress and satisfaction levels after each BCIFES session on a scale from 0 to 10. </w:t>
      </w:r>
    </w:p>
    <w:p w14:paraId="7096AB5E" w14:textId="04D436F4" w:rsidR="00EE5A24" w:rsidRDefault="00B21F9B" w:rsidP="00B21F9B">
      <w:r>
        <w:rPr>
          <w:noProof/>
        </w:rPr>
        <w:drawing>
          <wp:inline distT="0" distB="0" distL="0" distR="0" wp14:anchorId="1059EEAE" wp14:editId="01DFE2F4">
            <wp:extent cx="2832111" cy="212392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l-S-,first,last training-stre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7556" cy="2143009"/>
                    </a:xfrm>
                    <a:prstGeom prst="rect">
                      <a:avLst/>
                    </a:prstGeom>
                  </pic:spPr>
                </pic:pic>
              </a:graphicData>
            </a:graphic>
          </wp:inline>
        </w:drawing>
      </w:r>
      <w:r>
        <w:rPr>
          <w:noProof/>
        </w:rPr>
        <w:drawing>
          <wp:inline distT="0" distB="0" distL="0" distR="0" wp14:anchorId="5C4CD839" wp14:editId="123F15F1">
            <wp:extent cx="2783182" cy="208723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ll-S-,first,last training-stres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1940" cy="2101300"/>
                    </a:xfrm>
                    <a:prstGeom prst="rect">
                      <a:avLst/>
                    </a:prstGeom>
                  </pic:spPr>
                </pic:pic>
              </a:graphicData>
            </a:graphic>
          </wp:inline>
        </w:drawing>
      </w:r>
    </w:p>
    <w:p w14:paraId="7EF26948" w14:textId="69E8C0D1" w:rsidR="00B21F9B" w:rsidRDefault="00B21F9B" w:rsidP="00B21F9B">
      <w:r>
        <w:rPr>
          <w:noProof/>
        </w:rPr>
        <w:lastRenderedPageBreak/>
        <w:drawing>
          <wp:inline distT="0" distB="0" distL="0" distR="0" wp14:anchorId="1D1160D7" wp14:editId="327223D6">
            <wp:extent cx="2921217" cy="2190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2,c5,c8-S-,first,last training,first independent,last-stres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0137" cy="2227437"/>
                    </a:xfrm>
                    <a:prstGeom prst="rect">
                      <a:avLst/>
                    </a:prstGeom>
                  </pic:spPr>
                </pic:pic>
              </a:graphicData>
            </a:graphic>
          </wp:inline>
        </w:drawing>
      </w:r>
      <w:r>
        <w:rPr>
          <w:noProof/>
        </w:rPr>
        <w:drawing>
          <wp:inline distT="0" distB="0" distL="0" distR="0" wp14:anchorId="2139EF37" wp14:editId="731EE11E">
            <wp:extent cx="2800350" cy="21001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2,p5,p8-S-,first,last training,first independent,last-stre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0350" cy="2100107"/>
                    </a:xfrm>
                    <a:prstGeom prst="rect">
                      <a:avLst/>
                    </a:prstGeom>
                  </pic:spPr>
                </pic:pic>
              </a:graphicData>
            </a:graphic>
          </wp:inline>
        </w:drawing>
      </w:r>
    </w:p>
    <w:p w14:paraId="01B77EDD" w14:textId="6B6340B0" w:rsidR="00F57CCE" w:rsidRDefault="00F57CCE" w:rsidP="00645326">
      <w:r>
        <w:t>Satisfaction</w:t>
      </w:r>
    </w:p>
    <w:p w14:paraId="5F39277D" w14:textId="77777777" w:rsidR="00D23DF1" w:rsidRDefault="00D23DF1" w:rsidP="00645326">
      <w:bookmarkStart w:id="0" w:name="_GoBack"/>
      <w:bookmarkEnd w:id="0"/>
    </w:p>
    <w:p w14:paraId="2EACC772" w14:textId="300FC25D" w:rsidR="00BB197F" w:rsidRDefault="00F57CCE" w:rsidP="00645326">
      <w:r>
        <w:rPr>
          <w:noProof/>
        </w:rPr>
        <w:drawing>
          <wp:inline distT="0" distB="0" distL="0" distR="0" wp14:anchorId="5183096B" wp14:editId="468BF15E">
            <wp:extent cx="2818762" cy="2113915"/>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ll-S-,first,last training-satisfac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7027" cy="2127613"/>
                    </a:xfrm>
                    <a:prstGeom prst="rect">
                      <a:avLst/>
                    </a:prstGeom>
                  </pic:spPr>
                </pic:pic>
              </a:graphicData>
            </a:graphic>
          </wp:inline>
        </w:drawing>
      </w:r>
      <w:r w:rsidR="009E1413">
        <w:rPr>
          <w:noProof/>
        </w:rPr>
        <w:drawing>
          <wp:inline distT="0" distB="0" distL="0" distR="0" wp14:anchorId="67A03BD4" wp14:editId="4F83B050">
            <wp:extent cx="2781508"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ll-S-,first,last training-satisfac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6374" cy="2112122"/>
                    </a:xfrm>
                    <a:prstGeom prst="rect">
                      <a:avLst/>
                    </a:prstGeom>
                  </pic:spPr>
                </pic:pic>
              </a:graphicData>
            </a:graphic>
          </wp:inline>
        </w:drawing>
      </w:r>
    </w:p>
    <w:p w14:paraId="59B584A4" w14:textId="77777777" w:rsidR="00F57CCE" w:rsidRDefault="00F57CCE" w:rsidP="00645326"/>
    <w:p w14:paraId="23AE6637" w14:textId="0E247C3D" w:rsidR="00F57CCE" w:rsidRDefault="00F57CCE" w:rsidP="00645326">
      <w:r>
        <w:rPr>
          <w:noProof/>
        </w:rPr>
        <w:drawing>
          <wp:inline distT="0" distB="0" distL="0" distR="0" wp14:anchorId="7DFC9B9C" wp14:editId="54C676F1">
            <wp:extent cx="2857493" cy="214296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2,c5,c8-S-,first,last training,first independent,last-satisfac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79502" cy="2159469"/>
                    </a:xfrm>
                    <a:prstGeom prst="rect">
                      <a:avLst/>
                    </a:prstGeom>
                  </pic:spPr>
                </pic:pic>
              </a:graphicData>
            </a:graphic>
          </wp:inline>
        </w:drawing>
      </w:r>
      <w:r w:rsidR="009E1413">
        <w:rPr>
          <w:noProof/>
        </w:rPr>
        <w:drawing>
          <wp:inline distT="0" distB="0" distL="0" distR="0" wp14:anchorId="28BEDE3E" wp14:editId="0A413C3D">
            <wp:extent cx="2781300" cy="2085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5,p8-S-,first,last training,first independent,last-satisfac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94844" cy="2095978"/>
                    </a:xfrm>
                    <a:prstGeom prst="rect">
                      <a:avLst/>
                    </a:prstGeom>
                  </pic:spPr>
                </pic:pic>
              </a:graphicData>
            </a:graphic>
          </wp:inline>
        </w:drawing>
      </w:r>
    </w:p>
    <w:p w14:paraId="356C1C82" w14:textId="77777777" w:rsidR="00645326" w:rsidRPr="00BB197F" w:rsidRDefault="00645326" w:rsidP="00645326">
      <w:pPr>
        <w:rPr>
          <w:rStyle w:val="IntenseEmphasis"/>
        </w:rPr>
      </w:pPr>
      <w:r w:rsidRPr="00BB197F">
        <w:rPr>
          <w:rStyle w:val="IntenseEmphasis"/>
        </w:rPr>
        <w:t>QUEST</w:t>
      </w:r>
    </w:p>
    <w:p w14:paraId="0F8E74A1" w14:textId="77777777" w:rsidR="00BA598D" w:rsidRDefault="00BA598D" w:rsidP="00BA598D">
      <w:r>
        <w:t>The results of the QUEST questionnaire patients and carers filled out after the last training session with OT (either 4</w:t>
      </w:r>
      <w:r w:rsidRPr="00BA598D">
        <w:rPr>
          <w:vertAlign w:val="superscript"/>
        </w:rPr>
        <w:t>th</w:t>
      </w:r>
      <w:r>
        <w:t xml:space="preserve"> or 5</w:t>
      </w:r>
      <w:r w:rsidRPr="00BA598D">
        <w:rPr>
          <w:vertAlign w:val="superscript"/>
        </w:rPr>
        <w:t>th</w:t>
      </w:r>
      <w:r>
        <w:t xml:space="preserve"> session total) are presented below. </w:t>
      </w:r>
    </w:p>
    <w:p w14:paraId="671D1050" w14:textId="77777777" w:rsidR="00BA598D" w:rsidRDefault="00BB197F" w:rsidP="00BB197F">
      <w:r>
        <w:t>When rating the three most important aspects to the users, the most commonly chosen was ‘Easy to Use’ and ‘Effective’. Details of the results are shown in Figure XX below.</w:t>
      </w:r>
    </w:p>
    <w:p w14:paraId="6107C65F" w14:textId="77777777" w:rsidR="00BB197F" w:rsidRDefault="00BB197F" w:rsidP="000400B5">
      <w:pPr>
        <w:jc w:val="center"/>
      </w:pPr>
      <w:r>
        <w:rPr>
          <w:noProof/>
        </w:rPr>
        <w:lastRenderedPageBreak/>
        <w:drawing>
          <wp:inline distT="0" distB="0" distL="0" distR="0" wp14:anchorId="01E1FE28" wp14:editId="55DFF69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2520747" w14:textId="77777777" w:rsidR="00BB197F" w:rsidRDefault="00BB197F" w:rsidP="00BB197F">
      <w:r>
        <w:t xml:space="preserve">Figure XX. Most important factors chosen by users. Maximum for each category is 6. Categories which were not chosen by any user are not shown. </w:t>
      </w:r>
    </w:p>
    <w:p w14:paraId="1FEDDD53" w14:textId="77777777" w:rsidR="00ED6FAA" w:rsidRDefault="00ED6FAA" w:rsidP="00F93F88">
      <w:pPr>
        <w:jc w:val="center"/>
      </w:pPr>
      <w:r>
        <w:rPr>
          <w:noProof/>
        </w:rPr>
        <w:drawing>
          <wp:inline distT="0" distB="0" distL="0" distR="0" wp14:anchorId="0C0398DD" wp14:editId="010BFB8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3508B48" w14:textId="77777777" w:rsidR="00ED6FAA" w:rsidRDefault="00F93F88" w:rsidP="00F93F88">
      <w:r>
        <w:t xml:space="preserve">Figure XX. User satisfaction with each aspect from the QUEST. Maximum in each category is 5. </w:t>
      </w:r>
    </w:p>
    <w:p w14:paraId="43FBF045" w14:textId="77777777" w:rsidR="00BB197F" w:rsidRDefault="00BB197F" w:rsidP="000400B5">
      <w:r>
        <w:t xml:space="preserve">Across users, the satisfaction with ‘Easy to Use’ and ‘Effective’ was rated as 3.43 </w:t>
      </w:r>
      <w:r w:rsidR="000400B5">
        <w:rPr>
          <w:rFonts w:ascii="Times New Roman" w:hAnsi="Times New Roman" w:cs="Times New Roman"/>
        </w:rPr>
        <w:t xml:space="preserve">± </w:t>
      </w:r>
      <w:r>
        <w:t xml:space="preserve">0.90 and </w:t>
      </w:r>
      <w:r w:rsidR="000400B5">
        <w:t xml:space="preserve">3.29 </w:t>
      </w:r>
      <w:r w:rsidR="000400B5">
        <w:rPr>
          <w:rFonts w:ascii="Times New Roman" w:hAnsi="Times New Roman" w:cs="Times New Roman"/>
        </w:rPr>
        <w:t xml:space="preserve">± </w:t>
      </w:r>
      <w:r w:rsidR="000400B5">
        <w:t xml:space="preserve">0.70 respectively. The highest rated fields were ‘Safe and Secure’ at 4.43 </w:t>
      </w:r>
      <w:r w:rsidR="000400B5">
        <w:rPr>
          <w:rFonts w:ascii="Times New Roman" w:hAnsi="Times New Roman" w:cs="Times New Roman"/>
        </w:rPr>
        <w:t xml:space="preserve">± </w:t>
      </w:r>
      <w:r w:rsidR="000400B5">
        <w:t xml:space="preserve">0.9, ‘Weight’ at 4.43 </w:t>
      </w:r>
      <w:r w:rsidR="000400B5">
        <w:rPr>
          <w:rFonts w:ascii="Times New Roman" w:hAnsi="Times New Roman" w:cs="Times New Roman"/>
        </w:rPr>
        <w:t xml:space="preserve">± </w:t>
      </w:r>
      <w:r w:rsidR="000400B5">
        <w:t xml:space="preserve">0.9, and ‘Professional Services’ at 4.43 </w:t>
      </w:r>
      <w:r w:rsidR="000400B5">
        <w:rPr>
          <w:rFonts w:ascii="Times New Roman" w:hAnsi="Times New Roman" w:cs="Times New Roman"/>
        </w:rPr>
        <w:t xml:space="preserve">± </w:t>
      </w:r>
      <w:r w:rsidR="000400B5">
        <w:t xml:space="preserve">0.73. </w:t>
      </w:r>
    </w:p>
    <w:p w14:paraId="333D59DE" w14:textId="77777777" w:rsidR="00F93F88" w:rsidRDefault="00F93F88" w:rsidP="00F93F88">
      <w:r>
        <w:t xml:space="preserve">The average satisfaction with various aspects of the device itself (‘Dimensions’ through ‘Effective’ in Figure XX above) was 3.68 out of 5, and with services provided relating to the device (‘Service Delivery’ through ‘Follow-up Services’ in Figure XX) was 4.14 out of 5. </w:t>
      </w:r>
    </w:p>
    <w:p w14:paraId="53AD591D" w14:textId="77777777" w:rsidR="00645326" w:rsidRPr="00F93F88" w:rsidRDefault="00645326" w:rsidP="00645326">
      <w:pPr>
        <w:rPr>
          <w:rStyle w:val="IntenseEmphasis"/>
        </w:rPr>
      </w:pPr>
      <w:r w:rsidRPr="00F93F88">
        <w:rPr>
          <w:rStyle w:val="IntenseEmphasis"/>
        </w:rPr>
        <w:t>Interviews</w:t>
      </w:r>
    </w:p>
    <w:p w14:paraId="3C40819B" w14:textId="77777777" w:rsidR="00F93F88" w:rsidRDefault="00F93F88" w:rsidP="00645326">
      <w:r>
        <w:t>[Nina]</w:t>
      </w:r>
    </w:p>
    <w:p w14:paraId="11B8E982" w14:textId="77777777" w:rsidR="00645326" w:rsidRPr="00FA51A6" w:rsidRDefault="00FA51A6" w:rsidP="00645326">
      <w:pPr>
        <w:rPr>
          <w:rStyle w:val="IntenseEmphasis"/>
        </w:rPr>
      </w:pPr>
      <w:r w:rsidRPr="00FA51A6">
        <w:rPr>
          <w:rStyle w:val="IntenseEmphasis"/>
        </w:rPr>
        <w:t>Perceived Usefulness Questionnaire</w:t>
      </w:r>
    </w:p>
    <w:p w14:paraId="7DE2DDAA" w14:textId="77777777" w:rsidR="00FA51A6" w:rsidRDefault="00FA51A6" w:rsidP="00645326">
      <w:r>
        <w:lastRenderedPageBreak/>
        <w:t>After the initial training session with an OT, each patient and caregiver pair answered questions aimed at gauging their first impression of the system and general attitude towards new technology. The general findings were as follows.</w:t>
      </w:r>
    </w:p>
    <w:p w14:paraId="035EC0DE" w14:textId="77777777" w:rsidR="00FA51A6" w:rsidRDefault="00FA51A6" w:rsidP="00FA51A6">
      <w:r w:rsidRPr="00FA51A6">
        <w:rPr>
          <w:i/>
          <w:iCs/>
        </w:rPr>
        <w:t>Understanding</w:t>
      </w:r>
      <w:r>
        <w:t xml:space="preserve"> – The patients and caregivers stated that the main purpose of the system is neither very easy nor very hard to understand, however when asked to describe the purpose of each component (EEG, software, FES) most had some understanding but not a complete grasp of the purpose and concepts involved.</w:t>
      </w:r>
    </w:p>
    <w:p w14:paraId="6519ACBC" w14:textId="77777777" w:rsidR="00FA51A6" w:rsidRDefault="00FA51A6" w:rsidP="00FA51A6">
      <w:r>
        <w:rPr>
          <w:i/>
          <w:iCs/>
        </w:rPr>
        <w:t xml:space="preserve">Perceived Ease of Use </w:t>
      </w:r>
      <w:r>
        <w:t>– When asked about the ease of use of the system, participants generally reported that it is fairly easy to use given proper training. Most commonly they reported the hardest part would be the EEG headset and its correct positioning (3</w:t>
      </w:r>
      <w:r w:rsidR="00ED6FAA">
        <w:t xml:space="preserve"> pairs</w:t>
      </w:r>
      <w:r>
        <w:t>)</w:t>
      </w:r>
      <w:r w:rsidR="00C54D26">
        <w:t xml:space="preserve">, one pair reported FES, and two pairs mentioned other factors. </w:t>
      </w:r>
    </w:p>
    <w:p w14:paraId="250488F5" w14:textId="77777777" w:rsidR="00FA51A6" w:rsidRDefault="00FA51A6" w:rsidP="00FA51A6">
      <w:r>
        <w:rPr>
          <w:i/>
          <w:iCs/>
        </w:rPr>
        <w:t xml:space="preserve">Perceived </w:t>
      </w:r>
      <w:r w:rsidRPr="00FA51A6">
        <w:rPr>
          <w:i/>
          <w:iCs/>
        </w:rPr>
        <w:t>Effectiveness</w:t>
      </w:r>
      <w:r>
        <w:t xml:space="preserve"> – Patients and caregivers were moderately convinced (</w:t>
      </w:r>
      <w:r w:rsidR="00ED6FAA">
        <w:t xml:space="preserve">approximately </w:t>
      </w:r>
      <w:r>
        <w:t xml:space="preserve">8/10) that the BCIFES system would improve their muscle strength and hand function. </w:t>
      </w:r>
    </w:p>
    <w:p w14:paraId="3A06DE9E" w14:textId="77777777" w:rsidR="00FA51A6" w:rsidRDefault="00FA51A6" w:rsidP="00FA51A6">
      <w:r>
        <w:rPr>
          <w:i/>
          <w:iCs/>
        </w:rPr>
        <w:t xml:space="preserve">Potential Continued Use </w:t>
      </w:r>
      <w:r>
        <w:t xml:space="preserve">– Most patients and caregivers (4) expressed the wish for potential future use of the system at home, while some (2) stated it would depend on the level of support given. </w:t>
      </w:r>
    </w:p>
    <w:p w14:paraId="34973568" w14:textId="77777777" w:rsidR="00C54D26" w:rsidRPr="00C54D26" w:rsidRDefault="00C54D26" w:rsidP="00FA51A6">
      <w:r>
        <w:rPr>
          <w:i/>
          <w:iCs/>
        </w:rPr>
        <w:t>Self-Consciousness</w:t>
      </w:r>
      <w:r>
        <w:t xml:space="preserve"> – Patients reported they would feel neutral to amused </w:t>
      </w:r>
      <w:r w:rsidR="00ED6FAA">
        <w:t xml:space="preserve">(as opposed to embarrassed) </w:t>
      </w:r>
      <w:r>
        <w:t>if others would know</w:t>
      </w:r>
      <w:r w:rsidR="00ED6FAA">
        <w:t xml:space="preserve"> about</w:t>
      </w:r>
      <w:r>
        <w:t xml:space="preserve">/see them using the BCIFES at home. </w:t>
      </w:r>
    </w:p>
    <w:p w14:paraId="27E8A0BD" w14:textId="77777777" w:rsidR="00FA51A6" w:rsidRPr="00C54D26" w:rsidRDefault="00C54D26" w:rsidP="00FA51A6">
      <w:pPr>
        <w:rPr>
          <w:i/>
          <w:iCs/>
        </w:rPr>
      </w:pPr>
      <w:r w:rsidRPr="00C54D26">
        <w:rPr>
          <w:i/>
          <w:iCs/>
        </w:rPr>
        <w:t xml:space="preserve">Attitude Towards New Technology </w:t>
      </w:r>
      <w:r>
        <w:t xml:space="preserve">– Generally participants reported excitement towards new technology (as opposed to avoidance), stating that price, size, and technical support would be the most important factors to take into account when buying new technology. </w:t>
      </w:r>
      <w:r w:rsidRPr="00C54D26">
        <w:t xml:space="preserve"> </w:t>
      </w:r>
    </w:p>
    <w:p w14:paraId="226B30DA" w14:textId="77777777" w:rsidR="00FA51A6" w:rsidRPr="00FA51A6" w:rsidRDefault="00FA51A6" w:rsidP="00FA51A6"/>
    <w:p w14:paraId="053DEBE6" w14:textId="77777777" w:rsidR="00FA51A6" w:rsidRDefault="00FA51A6" w:rsidP="00645326"/>
    <w:p w14:paraId="338F7BB8" w14:textId="77777777" w:rsidR="00BA598D" w:rsidRDefault="00BA598D" w:rsidP="00645326"/>
    <w:p w14:paraId="228A1F48" w14:textId="77777777" w:rsidR="00BA598D" w:rsidRDefault="00BA598D" w:rsidP="00645326"/>
    <w:sectPr w:rsidR="00BA5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10187"/>
    <w:multiLevelType w:val="hybridMultilevel"/>
    <w:tmpl w:val="31609260"/>
    <w:lvl w:ilvl="0" w:tplc="7D6E536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74E"/>
    <w:rsid w:val="00001E19"/>
    <w:rsid w:val="000031F8"/>
    <w:rsid w:val="000052DF"/>
    <w:rsid w:val="00006E44"/>
    <w:rsid w:val="00012449"/>
    <w:rsid w:val="000132EE"/>
    <w:rsid w:val="000167A5"/>
    <w:rsid w:val="00016C40"/>
    <w:rsid w:val="00021C14"/>
    <w:rsid w:val="0002245B"/>
    <w:rsid w:val="00022B8E"/>
    <w:rsid w:val="00024FCC"/>
    <w:rsid w:val="00026900"/>
    <w:rsid w:val="0003138F"/>
    <w:rsid w:val="00031CB5"/>
    <w:rsid w:val="0003392C"/>
    <w:rsid w:val="00033C91"/>
    <w:rsid w:val="00037406"/>
    <w:rsid w:val="000400B5"/>
    <w:rsid w:val="00045945"/>
    <w:rsid w:val="00045C3A"/>
    <w:rsid w:val="000473CB"/>
    <w:rsid w:val="00050C39"/>
    <w:rsid w:val="00050F86"/>
    <w:rsid w:val="000513EF"/>
    <w:rsid w:val="00052461"/>
    <w:rsid w:val="00053375"/>
    <w:rsid w:val="0005375F"/>
    <w:rsid w:val="00054BCB"/>
    <w:rsid w:val="000641B2"/>
    <w:rsid w:val="00071F5B"/>
    <w:rsid w:val="000739DC"/>
    <w:rsid w:val="00073FAB"/>
    <w:rsid w:val="00080498"/>
    <w:rsid w:val="000812B9"/>
    <w:rsid w:val="000814CC"/>
    <w:rsid w:val="0008216F"/>
    <w:rsid w:val="00086AED"/>
    <w:rsid w:val="00092D8F"/>
    <w:rsid w:val="00095DEF"/>
    <w:rsid w:val="000960E7"/>
    <w:rsid w:val="000A1533"/>
    <w:rsid w:val="000B2548"/>
    <w:rsid w:val="000B4F45"/>
    <w:rsid w:val="000B6D00"/>
    <w:rsid w:val="000C14AE"/>
    <w:rsid w:val="000C2AB8"/>
    <w:rsid w:val="000C34AB"/>
    <w:rsid w:val="000C5720"/>
    <w:rsid w:val="000C7100"/>
    <w:rsid w:val="000D0274"/>
    <w:rsid w:val="000D32BF"/>
    <w:rsid w:val="000D472B"/>
    <w:rsid w:val="000D6E53"/>
    <w:rsid w:val="000E0A14"/>
    <w:rsid w:val="000E1B0C"/>
    <w:rsid w:val="000E38B8"/>
    <w:rsid w:val="000E481F"/>
    <w:rsid w:val="000E5A1C"/>
    <w:rsid w:val="000F0820"/>
    <w:rsid w:val="001032C1"/>
    <w:rsid w:val="00103E95"/>
    <w:rsid w:val="00104C2D"/>
    <w:rsid w:val="0010737B"/>
    <w:rsid w:val="00111D48"/>
    <w:rsid w:val="001136C0"/>
    <w:rsid w:val="00113F52"/>
    <w:rsid w:val="00121964"/>
    <w:rsid w:val="00121C96"/>
    <w:rsid w:val="00124B16"/>
    <w:rsid w:val="00130412"/>
    <w:rsid w:val="00131759"/>
    <w:rsid w:val="00132A95"/>
    <w:rsid w:val="00135D91"/>
    <w:rsid w:val="00136830"/>
    <w:rsid w:val="001415F1"/>
    <w:rsid w:val="0014316F"/>
    <w:rsid w:val="001450D3"/>
    <w:rsid w:val="001468D5"/>
    <w:rsid w:val="0014733D"/>
    <w:rsid w:val="00151230"/>
    <w:rsid w:val="00151F7C"/>
    <w:rsid w:val="001521A0"/>
    <w:rsid w:val="00152F7D"/>
    <w:rsid w:val="00154338"/>
    <w:rsid w:val="001557E4"/>
    <w:rsid w:val="001562E8"/>
    <w:rsid w:val="0016093A"/>
    <w:rsid w:val="00161FE4"/>
    <w:rsid w:val="001626AF"/>
    <w:rsid w:val="001640F3"/>
    <w:rsid w:val="00170C72"/>
    <w:rsid w:val="00171B9C"/>
    <w:rsid w:val="001728EA"/>
    <w:rsid w:val="001750E7"/>
    <w:rsid w:val="00177A67"/>
    <w:rsid w:val="001832BB"/>
    <w:rsid w:val="00184B8C"/>
    <w:rsid w:val="0018534A"/>
    <w:rsid w:val="00186881"/>
    <w:rsid w:val="001876B0"/>
    <w:rsid w:val="00193706"/>
    <w:rsid w:val="001939C0"/>
    <w:rsid w:val="001962BE"/>
    <w:rsid w:val="001A0BE2"/>
    <w:rsid w:val="001A12B3"/>
    <w:rsid w:val="001A1388"/>
    <w:rsid w:val="001A22DE"/>
    <w:rsid w:val="001A375F"/>
    <w:rsid w:val="001A37A7"/>
    <w:rsid w:val="001A430C"/>
    <w:rsid w:val="001A6B5E"/>
    <w:rsid w:val="001A77B6"/>
    <w:rsid w:val="001B2E56"/>
    <w:rsid w:val="001B4BDA"/>
    <w:rsid w:val="001B6A5B"/>
    <w:rsid w:val="001C231D"/>
    <w:rsid w:val="001C5A60"/>
    <w:rsid w:val="001C64BF"/>
    <w:rsid w:val="001D13EC"/>
    <w:rsid w:val="001D48D6"/>
    <w:rsid w:val="001D768E"/>
    <w:rsid w:val="001E0085"/>
    <w:rsid w:val="001E21C7"/>
    <w:rsid w:val="001E5127"/>
    <w:rsid w:val="001E662A"/>
    <w:rsid w:val="001F2F19"/>
    <w:rsid w:val="001F48C3"/>
    <w:rsid w:val="00202E42"/>
    <w:rsid w:val="0020393A"/>
    <w:rsid w:val="002061F9"/>
    <w:rsid w:val="00216D58"/>
    <w:rsid w:val="00221363"/>
    <w:rsid w:val="00231F02"/>
    <w:rsid w:val="002321A1"/>
    <w:rsid w:val="00233A44"/>
    <w:rsid w:val="00235252"/>
    <w:rsid w:val="0023548E"/>
    <w:rsid w:val="00235FBF"/>
    <w:rsid w:val="00237E43"/>
    <w:rsid w:val="002425A0"/>
    <w:rsid w:val="00245197"/>
    <w:rsid w:val="00247B28"/>
    <w:rsid w:val="00251FFD"/>
    <w:rsid w:val="002526F4"/>
    <w:rsid w:val="002570B1"/>
    <w:rsid w:val="00257FF8"/>
    <w:rsid w:val="0026022B"/>
    <w:rsid w:val="0026029D"/>
    <w:rsid w:val="00261B6D"/>
    <w:rsid w:val="00267ECD"/>
    <w:rsid w:val="002710C7"/>
    <w:rsid w:val="00273043"/>
    <w:rsid w:val="0027612A"/>
    <w:rsid w:val="00280BA8"/>
    <w:rsid w:val="00281FF6"/>
    <w:rsid w:val="0028285E"/>
    <w:rsid w:val="00282EF1"/>
    <w:rsid w:val="002843E0"/>
    <w:rsid w:val="002867AD"/>
    <w:rsid w:val="002877CD"/>
    <w:rsid w:val="0029011F"/>
    <w:rsid w:val="00296094"/>
    <w:rsid w:val="002A2575"/>
    <w:rsid w:val="002A283D"/>
    <w:rsid w:val="002A4FB1"/>
    <w:rsid w:val="002A5035"/>
    <w:rsid w:val="002A68BA"/>
    <w:rsid w:val="002A7C26"/>
    <w:rsid w:val="002B0874"/>
    <w:rsid w:val="002B530C"/>
    <w:rsid w:val="002C0AD2"/>
    <w:rsid w:val="002C42A1"/>
    <w:rsid w:val="002C4A3D"/>
    <w:rsid w:val="002C7908"/>
    <w:rsid w:val="002C7D96"/>
    <w:rsid w:val="002D45C7"/>
    <w:rsid w:val="002D778B"/>
    <w:rsid w:val="002E298F"/>
    <w:rsid w:val="002E4558"/>
    <w:rsid w:val="002E4EF6"/>
    <w:rsid w:val="002E58CC"/>
    <w:rsid w:val="002E6A9D"/>
    <w:rsid w:val="002F0D08"/>
    <w:rsid w:val="002F0DB1"/>
    <w:rsid w:val="002F2A5C"/>
    <w:rsid w:val="002F6890"/>
    <w:rsid w:val="002F6A34"/>
    <w:rsid w:val="002F73DA"/>
    <w:rsid w:val="002F7640"/>
    <w:rsid w:val="00300FDA"/>
    <w:rsid w:val="00302A24"/>
    <w:rsid w:val="00312C93"/>
    <w:rsid w:val="003146C8"/>
    <w:rsid w:val="00315C85"/>
    <w:rsid w:val="00316170"/>
    <w:rsid w:val="00321536"/>
    <w:rsid w:val="00324E61"/>
    <w:rsid w:val="00324F46"/>
    <w:rsid w:val="00325D18"/>
    <w:rsid w:val="00330892"/>
    <w:rsid w:val="00337746"/>
    <w:rsid w:val="003407D5"/>
    <w:rsid w:val="00340F57"/>
    <w:rsid w:val="00344C06"/>
    <w:rsid w:val="00346984"/>
    <w:rsid w:val="0035031F"/>
    <w:rsid w:val="00353C99"/>
    <w:rsid w:val="00357206"/>
    <w:rsid w:val="003604FE"/>
    <w:rsid w:val="00361394"/>
    <w:rsid w:val="00362A30"/>
    <w:rsid w:val="00363AA3"/>
    <w:rsid w:val="00365974"/>
    <w:rsid w:val="00367973"/>
    <w:rsid w:val="003754ED"/>
    <w:rsid w:val="00377068"/>
    <w:rsid w:val="003838FC"/>
    <w:rsid w:val="00384567"/>
    <w:rsid w:val="00385027"/>
    <w:rsid w:val="00385B1C"/>
    <w:rsid w:val="00394D77"/>
    <w:rsid w:val="00394D79"/>
    <w:rsid w:val="00396046"/>
    <w:rsid w:val="00396708"/>
    <w:rsid w:val="0039777E"/>
    <w:rsid w:val="003A0CC4"/>
    <w:rsid w:val="003A29E3"/>
    <w:rsid w:val="003A4289"/>
    <w:rsid w:val="003A479E"/>
    <w:rsid w:val="003A5383"/>
    <w:rsid w:val="003A7058"/>
    <w:rsid w:val="003A7DAB"/>
    <w:rsid w:val="003C5739"/>
    <w:rsid w:val="003D2A11"/>
    <w:rsid w:val="003E01A0"/>
    <w:rsid w:val="003E0BEF"/>
    <w:rsid w:val="003E1338"/>
    <w:rsid w:val="003E1A2A"/>
    <w:rsid w:val="003E2F6D"/>
    <w:rsid w:val="003F09A5"/>
    <w:rsid w:val="003F2746"/>
    <w:rsid w:val="003F3347"/>
    <w:rsid w:val="003F52F4"/>
    <w:rsid w:val="003F621F"/>
    <w:rsid w:val="003F734E"/>
    <w:rsid w:val="004005CE"/>
    <w:rsid w:val="00401358"/>
    <w:rsid w:val="004028DE"/>
    <w:rsid w:val="00403CE9"/>
    <w:rsid w:val="004079E0"/>
    <w:rsid w:val="0041135E"/>
    <w:rsid w:val="00412168"/>
    <w:rsid w:val="004132D6"/>
    <w:rsid w:val="0041384B"/>
    <w:rsid w:val="00415583"/>
    <w:rsid w:val="00421717"/>
    <w:rsid w:val="00423212"/>
    <w:rsid w:val="0042415E"/>
    <w:rsid w:val="00430AE4"/>
    <w:rsid w:val="00431A3D"/>
    <w:rsid w:val="00433173"/>
    <w:rsid w:val="004334A7"/>
    <w:rsid w:val="004334ED"/>
    <w:rsid w:val="00435582"/>
    <w:rsid w:val="0044042B"/>
    <w:rsid w:val="00442478"/>
    <w:rsid w:val="0044291C"/>
    <w:rsid w:val="004431E5"/>
    <w:rsid w:val="00447C79"/>
    <w:rsid w:val="00450237"/>
    <w:rsid w:val="00450787"/>
    <w:rsid w:val="00451376"/>
    <w:rsid w:val="00452DC8"/>
    <w:rsid w:val="00455CA1"/>
    <w:rsid w:val="00457AF0"/>
    <w:rsid w:val="00464C47"/>
    <w:rsid w:val="00466AB2"/>
    <w:rsid w:val="00467CD2"/>
    <w:rsid w:val="0047366C"/>
    <w:rsid w:val="0047487C"/>
    <w:rsid w:val="00481355"/>
    <w:rsid w:val="004842DB"/>
    <w:rsid w:val="004849CC"/>
    <w:rsid w:val="0048672C"/>
    <w:rsid w:val="004868D4"/>
    <w:rsid w:val="0048738F"/>
    <w:rsid w:val="004900E5"/>
    <w:rsid w:val="00491392"/>
    <w:rsid w:val="00495374"/>
    <w:rsid w:val="00495A23"/>
    <w:rsid w:val="00497A0E"/>
    <w:rsid w:val="00497DCB"/>
    <w:rsid w:val="004A228C"/>
    <w:rsid w:val="004A523A"/>
    <w:rsid w:val="004A5623"/>
    <w:rsid w:val="004B25CB"/>
    <w:rsid w:val="004B3686"/>
    <w:rsid w:val="004B3BC7"/>
    <w:rsid w:val="004B3DE0"/>
    <w:rsid w:val="004B3E64"/>
    <w:rsid w:val="004C035B"/>
    <w:rsid w:val="004C1EFD"/>
    <w:rsid w:val="004C221F"/>
    <w:rsid w:val="004C2F22"/>
    <w:rsid w:val="004C37B3"/>
    <w:rsid w:val="004C42BD"/>
    <w:rsid w:val="004C4B86"/>
    <w:rsid w:val="004C6071"/>
    <w:rsid w:val="004C6EBB"/>
    <w:rsid w:val="004C781E"/>
    <w:rsid w:val="004D2A9A"/>
    <w:rsid w:val="004D3A6B"/>
    <w:rsid w:val="004D485D"/>
    <w:rsid w:val="004D52F6"/>
    <w:rsid w:val="004D62BD"/>
    <w:rsid w:val="004E1223"/>
    <w:rsid w:val="004E1509"/>
    <w:rsid w:val="004E30A9"/>
    <w:rsid w:val="004E3A68"/>
    <w:rsid w:val="004E568D"/>
    <w:rsid w:val="004E60B3"/>
    <w:rsid w:val="004F1A4B"/>
    <w:rsid w:val="004F23F2"/>
    <w:rsid w:val="004F46A7"/>
    <w:rsid w:val="004F487F"/>
    <w:rsid w:val="004F7570"/>
    <w:rsid w:val="004F7BCA"/>
    <w:rsid w:val="00501120"/>
    <w:rsid w:val="00501E44"/>
    <w:rsid w:val="00502E0A"/>
    <w:rsid w:val="00512C4A"/>
    <w:rsid w:val="00514381"/>
    <w:rsid w:val="005148FE"/>
    <w:rsid w:val="00520DA6"/>
    <w:rsid w:val="00525250"/>
    <w:rsid w:val="00525297"/>
    <w:rsid w:val="00531A00"/>
    <w:rsid w:val="00535AA2"/>
    <w:rsid w:val="00537EE1"/>
    <w:rsid w:val="0054541E"/>
    <w:rsid w:val="005458D9"/>
    <w:rsid w:val="005474D6"/>
    <w:rsid w:val="00551AC5"/>
    <w:rsid w:val="0055651F"/>
    <w:rsid w:val="00557A56"/>
    <w:rsid w:val="00562E70"/>
    <w:rsid w:val="005656F5"/>
    <w:rsid w:val="00576C17"/>
    <w:rsid w:val="005812CF"/>
    <w:rsid w:val="005824EC"/>
    <w:rsid w:val="0058352C"/>
    <w:rsid w:val="00590943"/>
    <w:rsid w:val="00594896"/>
    <w:rsid w:val="005949BC"/>
    <w:rsid w:val="0059614A"/>
    <w:rsid w:val="005A664C"/>
    <w:rsid w:val="005B22BD"/>
    <w:rsid w:val="005C286C"/>
    <w:rsid w:val="005C3A3F"/>
    <w:rsid w:val="005C4CB1"/>
    <w:rsid w:val="005C5452"/>
    <w:rsid w:val="005C68B9"/>
    <w:rsid w:val="005E21F3"/>
    <w:rsid w:val="005E447E"/>
    <w:rsid w:val="005E4784"/>
    <w:rsid w:val="005E751E"/>
    <w:rsid w:val="005F125D"/>
    <w:rsid w:val="005F2DF7"/>
    <w:rsid w:val="005F425E"/>
    <w:rsid w:val="005F4DC9"/>
    <w:rsid w:val="005F4EB4"/>
    <w:rsid w:val="0060051E"/>
    <w:rsid w:val="0060299B"/>
    <w:rsid w:val="00610B44"/>
    <w:rsid w:val="00614B73"/>
    <w:rsid w:val="0061674D"/>
    <w:rsid w:val="00621045"/>
    <w:rsid w:val="006210B6"/>
    <w:rsid w:val="00622274"/>
    <w:rsid w:val="00623EC2"/>
    <w:rsid w:val="006259CB"/>
    <w:rsid w:val="00626E74"/>
    <w:rsid w:val="00627252"/>
    <w:rsid w:val="00631B94"/>
    <w:rsid w:val="006359C5"/>
    <w:rsid w:val="006371AD"/>
    <w:rsid w:val="00645326"/>
    <w:rsid w:val="00646508"/>
    <w:rsid w:val="00646C28"/>
    <w:rsid w:val="00647297"/>
    <w:rsid w:val="00650824"/>
    <w:rsid w:val="0065126B"/>
    <w:rsid w:val="00652B7C"/>
    <w:rsid w:val="0065488D"/>
    <w:rsid w:val="00662FB7"/>
    <w:rsid w:val="006646A7"/>
    <w:rsid w:val="00666623"/>
    <w:rsid w:val="00670B47"/>
    <w:rsid w:val="00676DEE"/>
    <w:rsid w:val="006770FF"/>
    <w:rsid w:val="006812B5"/>
    <w:rsid w:val="00681C19"/>
    <w:rsid w:val="00683060"/>
    <w:rsid w:val="006933D2"/>
    <w:rsid w:val="006935FD"/>
    <w:rsid w:val="00693EC8"/>
    <w:rsid w:val="00694CDE"/>
    <w:rsid w:val="00694D64"/>
    <w:rsid w:val="006955FC"/>
    <w:rsid w:val="00697B00"/>
    <w:rsid w:val="006A3706"/>
    <w:rsid w:val="006A71C5"/>
    <w:rsid w:val="006B5EA1"/>
    <w:rsid w:val="006B60BB"/>
    <w:rsid w:val="006B7607"/>
    <w:rsid w:val="006C16C1"/>
    <w:rsid w:val="006C2520"/>
    <w:rsid w:val="006C3CEF"/>
    <w:rsid w:val="006C4AAC"/>
    <w:rsid w:val="006C77A4"/>
    <w:rsid w:val="006C7960"/>
    <w:rsid w:val="006E1C7E"/>
    <w:rsid w:val="006E66EF"/>
    <w:rsid w:val="006F2344"/>
    <w:rsid w:val="006F25A0"/>
    <w:rsid w:val="006F3C8B"/>
    <w:rsid w:val="006F4460"/>
    <w:rsid w:val="006F544F"/>
    <w:rsid w:val="006F5887"/>
    <w:rsid w:val="007041DF"/>
    <w:rsid w:val="00704860"/>
    <w:rsid w:val="00706511"/>
    <w:rsid w:val="00710639"/>
    <w:rsid w:val="00713380"/>
    <w:rsid w:val="00716299"/>
    <w:rsid w:val="00717C73"/>
    <w:rsid w:val="00720E2A"/>
    <w:rsid w:val="00722813"/>
    <w:rsid w:val="0072692E"/>
    <w:rsid w:val="0073297C"/>
    <w:rsid w:val="007331A1"/>
    <w:rsid w:val="007347D9"/>
    <w:rsid w:val="00736EDA"/>
    <w:rsid w:val="0074185D"/>
    <w:rsid w:val="007527C2"/>
    <w:rsid w:val="007567A3"/>
    <w:rsid w:val="007572DC"/>
    <w:rsid w:val="007609E6"/>
    <w:rsid w:val="0077538F"/>
    <w:rsid w:val="007805CB"/>
    <w:rsid w:val="0078075D"/>
    <w:rsid w:val="007835B4"/>
    <w:rsid w:val="0078799D"/>
    <w:rsid w:val="00792652"/>
    <w:rsid w:val="00792C54"/>
    <w:rsid w:val="00793827"/>
    <w:rsid w:val="00793835"/>
    <w:rsid w:val="00793FDC"/>
    <w:rsid w:val="00794234"/>
    <w:rsid w:val="00796873"/>
    <w:rsid w:val="007A16E2"/>
    <w:rsid w:val="007A2328"/>
    <w:rsid w:val="007B21B9"/>
    <w:rsid w:val="007B36AA"/>
    <w:rsid w:val="007B3717"/>
    <w:rsid w:val="007B4482"/>
    <w:rsid w:val="007B6938"/>
    <w:rsid w:val="007C037A"/>
    <w:rsid w:val="007C0BD4"/>
    <w:rsid w:val="007C1909"/>
    <w:rsid w:val="007C1FA4"/>
    <w:rsid w:val="007C4C6A"/>
    <w:rsid w:val="007C713A"/>
    <w:rsid w:val="007D344B"/>
    <w:rsid w:val="007D4857"/>
    <w:rsid w:val="007D4E2B"/>
    <w:rsid w:val="007D6F42"/>
    <w:rsid w:val="007E0EFD"/>
    <w:rsid w:val="007E0F35"/>
    <w:rsid w:val="007E6DC4"/>
    <w:rsid w:val="007E7424"/>
    <w:rsid w:val="007F0D2B"/>
    <w:rsid w:val="007F608E"/>
    <w:rsid w:val="007F6737"/>
    <w:rsid w:val="00800B63"/>
    <w:rsid w:val="008010E3"/>
    <w:rsid w:val="00804775"/>
    <w:rsid w:val="008058B5"/>
    <w:rsid w:val="00807B36"/>
    <w:rsid w:val="0081100B"/>
    <w:rsid w:val="00811948"/>
    <w:rsid w:val="0082058F"/>
    <w:rsid w:val="008206CA"/>
    <w:rsid w:val="008235B6"/>
    <w:rsid w:val="00824FE8"/>
    <w:rsid w:val="00833B3E"/>
    <w:rsid w:val="00835CE1"/>
    <w:rsid w:val="008361DC"/>
    <w:rsid w:val="00837A7E"/>
    <w:rsid w:val="0084131E"/>
    <w:rsid w:val="00841567"/>
    <w:rsid w:val="008428A1"/>
    <w:rsid w:val="008539BE"/>
    <w:rsid w:val="00853A26"/>
    <w:rsid w:val="0085564A"/>
    <w:rsid w:val="00856F81"/>
    <w:rsid w:val="00864D09"/>
    <w:rsid w:val="00866353"/>
    <w:rsid w:val="008668E4"/>
    <w:rsid w:val="008724F7"/>
    <w:rsid w:val="00874A15"/>
    <w:rsid w:val="00875A33"/>
    <w:rsid w:val="00877A52"/>
    <w:rsid w:val="00880031"/>
    <w:rsid w:val="00881502"/>
    <w:rsid w:val="00882072"/>
    <w:rsid w:val="00883532"/>
    <w:rsid w:val="00884944"/>
    <w:rsid w:val="0088515C"/>
    <w:rsid w:val="00886301"/>
    <w:rsid w:val="00886963"/>
    <w:rsid w:val="008935DA"/>
    <w:rsid w:val="00894D2E"/>
    <w:rsid w:val="00894FB8"/>
    <w:rsid w:val="00895ECB"/>
    <w:rsid w:val="00896B3A"/>
    <w:rsid w:val="008A0DFC"/>
    <w:rsid w:val="008A1D8C"/>
    <w:rsid w:val="008A5B85"/>
    <w:rsid w:val="008A5F98"/>
    <w:rsid w:val="008A6DB9"/>
    <w:rsid w:val="008A721F"/>
    <w:rsid w:val="008B0F3C"/>
    <w:rsid w:val="008B2AE9"/>
    <w:rsid w:val="008B2F32"/>
    <w:rsid w:val="008B3CCE"/>
    <w:rsid w:val="008C0C05"/>
    <w:rsid w:val="008C2083"/>
    <w:rsid w:val="008C2F29"/>
    <w:rsid w:val="008C624A"/>
    <w:rsid w:val="008C647C"/>
    <w:rsid w:val="008C6991"/>
    <w:rsid w:val="008C7A1E"/>
    <w:rsid w:val="008D2E49"/>
    <w:rsid w:val="008D481A"/>
    <w:rsid w:val="008D634B"/>
    <w:rsid w:val="008E0422"/>
    <w:rsid w:val="008E1A13"/>
    <w:rsid w:val="008E259B"/>
    <w:rsid w:val="008E75D9"/>
    <w:rsid w:val="008E7E86"/>
    <w:rsid w:val="008F1D29"/>
    <w:rsid w:val="008F3928"/>
    <w:rsid w:val="009011EF"/>
    <w:rsid w:val="00903986"/>
    <w:rsid w:val="00904B9B"/>
    <w:rsid w:val="00905DD0"/>
    <w:rsid w:val="00907BE8"/>
    <w:rsid w:val="009129AA"/>
    <w:rsid w:val="00917D6D"/>
    <w:rsid w:val="0092386D"/>
    <w:rsid w:val="00926C24"/>
    <w:rsid w:val="00930586"/>
    <w:rsid w:val="0093097A"/>
    <w:rsid w:val="0093374A"/>
    <w:rsid w:val="00933EEC"/>
    <w:rsid w:val="00934A10"/>
    <w:rsid w:val="00934B7B"/>
    <w:rsid w:val="009369C5"/>
    <w:rsid w:val="00944295"/>
    <w:rsid w:val="00944ACE"/>
    <w:rsid w:val="00944B2A"/>
    <w:rsid w:val="0094726C"/>
    <w:rsid w:val="00951901"/>
    <w:rsid w:val="00952BAF"/>
    <w:rsid w:val="009565DE"/>
    <w:rsid w:val="00960014"/>
    <w:rsid w:val="00962B7D"/>
    <w:rsid w:val="00964F2D"/>
    <w:rsid w:val="009676C8"/>
    <w:rsid w:val="00973372"/>
    <w:rsid w:val="009815F3"/>
    <w:rsid w:val="00981AB4"/>
    <w:rsid w:val="009857E6"/>
    <w:rsid w:val="00986BE6"/>
    <w:rsid w:val="00995297"/>
    <w:rsid w:val="0099530F"/>
    <w:rsid w:val="0099554C"/>
    <w:rsid w:val="009A2AC4"/>
    <w:rsid w:val="009A713D"/>
    <w:rsid w:val="009A7B11"/>
    <w:rsid w:val="009B01B4"/>
    <w:rsid w:val="009B0BBB"/>
    <w:rsid w:val="009B1ADC"/>
    <w:rsid w:val="009B6457"/>
    <w:rsid w:val="009B6891"/>
    <w:rsid w:val="009B6A0E"/>
    <w:rsid w:val="009B6BF1"/>
    <w:rsid w:val="009C02CE"/>
    <w:rsid w:val="009C2879"/>
    <w:rsid w:val="009C478B"/>
    <w:rsid w:val="009C4ACB"/>
    <w:rsid w:val="009C6D4C"/>
    <w:rsid w:val="009C6F9C"/>
    <w:rsid w:val="009E1413"/>
    <w:rsid w:val="009E1E02"/>
    <w:rsid w:val="009E2B59"/>
    <w:rsid w:val="009E63F7"/>
    <w:rsid w:val="009E72A7"/>
    <w:rsid w:val="009F0D0B"/>
    <w:rsid w:val="009F1342"/>
    <w:rsid w:val="009F3703"/>
    <w:rsid w:val="00A03D45"/>
    <w:rsid w:val="00A06D42"/>
    <w:rsid w:val="00A10BC8"/>
    <w:rsid w:val="00A10BF0"/>
    <w:rsid w:val="00A139A8"/>
    <w:rsid w:val="00A1554F"/>
    <w:rsid w:val="00A155C3"/>
    <w:rsid w:val="00A214DB"/>
    <w:rsid w:val="00A2393F"/>
    <w:rsid w:val="00A23D58"/>
    <w:rsid w:val="00A263C6"/>
    <w:rsid w:val="00A35C24"/>
    <w:rsid w:val="00A370D8"/>
    <w:rsid w:val="00A552B0"/>
    <w:rsid w:val="00A55EF6"/>
    <w:rsid w:val="00A56348"/>
    <w:rsid w:val="00A56679"/>
    <w:rsid w:val="00A57C7F"/>
    <w:rsid w:val="00A6165E"/>
    <w:rsid w:val="00A675F3"/>
    <w:rsid w:val="00A75AD7"/>
    <w:rsid w:val="00A75C75"/>
    <w:rsid w:val="00A76068"/>
    <w:rsid w:val="00A812B2"/>
    <w:rsid w:val="00A82CF0"/>
    <w:rsid w:val="00A83507"/>
    <w:rsid w:val="00A85BDC"/>
    <w:rsid w:val="00A8664A"/>
    <w:rsid w:val="00A87052"/>
    <w:rsid w:val="00A92976"/>
    <w:rsid w:val="00A97E98"/>
    <w:rsid w:val="00AB0081"/>
    <w:rsid w:val="00AB2288"/>
    <w:rsid w:val="00AB22FD"/>
    <w:rsid w:val="00AB3174"/>
    <w:rsid w:val="00AB46A7"/>
    <w:rsid w:val="00AB649B"/>
    <w:rsid w:val="00AC1AFA"/>
    <w:rsid w:val="00AC6132"/>
    <w:rsid w:val="00AD194C"/>
    <w:rsid w:val="00AD3C08"/>
    <w:rsid w:val="00AD6942"/>
    <w:rsid w:val="00AE6F56"/>
    <w:rsid w:val="00AE7345"/>
    <w:rsid w:val="00AF6EAD"/>
    <w:rsid w:val="00AF7008"/>
    <w:rsid w:val="00AF7F2A"/>
    <w:rsid w:val="00B0236D"/>
    <w:rsid w:val="00B04975"/>
    <w:rsid w:val="00B050D0"/>
    <w:rsid w:val="00B051D2"/>
    <w:rsid w:val="00B05632"/>
    <w:rsid w:val="00B11885"/>
    <w:rsid w:val="00B11A17"/>
    <w:rsid w:val="00B130C9"/>
    <w:rsid w:val="00B145B4"/>
    <w:rsid w:val="00B21D65"/>
    <w:rsid w:val="00B21F9B"/>
    <w:rsid w:val="00B22C28"/>
    <w:rsid w:val="00B23D18"/>
    <w:rsid w:val="00B25AEA"/>
    <w:rsid w:val="00B32249"/>
    <w:rsid w:val="00B332DB"/>
    <w:rsid w:val="00B339A8"/>
    <w:rsid w:val="00B35383"/>
    <w:rsid w:val="00B376FF"/>
    <w:rsid w:val="00B43441"/>
    <w:rsid w:val="00B43C77"/>
    <w:rsid w:val="00B46123"/>
    <w:rsid w:val="00B468FA"/>
    <w:rsid w:val="00B51384"/>
    <w:rsid w:val="00B52D9C"/>
    <w:rsid w:val="00B5574E"/>
    <w:rsid w:val="00B55A25"/>
    <w:rsid w:val="00B56C23"/>
    <w:rsid w:val="00B57A7F"/>
    <w:rsid w:val="00B60B60"/>
    <w:rsid w:val="00B60E80"/>
    <w:rsid w:val="00B64A36"/>
    <w:rsid w:val="00B656DC"/>
    <w:rsid w:val="00B657E0"/>
    <w:rsid w:val="00B67EFC"/>
    <w:rsid w:val="00B70AF3"/>
    <w:rsid w:val="00B71B65"/>
    <w:rsid w:val="00B73112"/>
    <w:rsid w:val="00B74F97"/>
    <w:rsid w:val="00B75DEE"/>
    <w:rsid w:val="00B76CA9"/>
    <w:rsid w:val="00B81531"/>
    <w:rsid w:val="00B86BDC"/>
    <w:rsid w:val="00B9004F"/>
    <w:rsid w:val="00B90B7B"/>
    <w:rsid w:val="00B9449F"/>
    <w:rsid w:val="00B94788"/>
    <w:rsid w:val="00B94A0F"/>
    <w:rsid w:val="00BA56FD"/>
    <w:rsid w:val="00BA598D"/>
    <w:rsid w:val="00BA723B"/>
    <w:rsid w:val="00BB197F"/>
    <w:rsid w:val="00BB2E1F"/>
    <w:rsid w:val="00BB5742"/>
    <w:rsid w:val="00BB6FD5"/>
    <w:rsid w:val="00BC4343"/>
    <w:rsid w:val="00BC45A3"/>
    <w:rsid w:val="00BC4A07"/>
    <w:rsid w:val="00BC63B1"/>
    <w:rsid w:val="00BD2C15"/>
    <w:rsid w:val="00BE1DA6"/>
    <w:rsid w:val="00BE299E"/>
    <w:rsid w:val="00BE29B6"/>
    <w:rsid w:val="00BE48E4"/>
    <w:rsid w:val="00BE75AB"/>
    <w:rsid w:val="00BF0D56"/>
    <w:rsid w:val="00BF4674"/>
    <w:rsid w:val="00BF4F7A"/>
    <w:rsid w:val="00BF53D9"/>
    <w:rsid w:val="00BF59EE"/>
    <w:rsid w:val="00BF5C36"/>
    <w:rsid w:val="00C000FE"/>
    <w:rsid w:val="00C03239"/>
    <w:rsid w:val="00C0538B"/>
    <w:rsid w:val="00C10CD7"/>
    <w:rsid w:val="00C12CD5"/>
    <w:rsid w:val="00C13FF8"/>
    <w:rsid w:val="00C153C2"/>
    <w:rsid w:val="00C231F3"/>
    <w:rsid w:val="00C2440E"/>
    <w:rsid w:val="00C2526B"/>
    <w:rsid w:val="00C26294"/>
    <w:rsid w:val="00C264F6"/>
    <w:rsid w:val="00C26930"/>
    <w:rsid w:val="00C3199F"/>
    <w:rsid w:val="00C31E87"/>
    <w:rsid w:val="00C337BD"/>
    <w:rsid w:val="00C3544B"/>
    <w:rsid w:val="00C36BAB"/>
    <w:rsid w:val="00C36C59"/>
    <w:rsid w:val="00C37DD3"/>
    <w:rsid w:val="00C41DF9"/>
    <w:rsid w:val="00C440C7"/>
    <w:rsid w:val="00C44D0A"/>
    <w:rsid w:val="00C47D00"/>
    <w:rsid w:val="00C521E8"/>
    <w:rsid w:val="00C53BDD"/>
    <w:rsid w:val="00C54D26"/>
    <w:rsid w:val="00C56DFC"/>
    <w:rsid w:val="00C65599"/>
    <w:rsid w:val="00C66C5F"/>
    <w:rsid w:val="00C67347"/>
    <w:rsid w:val="00C75835"/>
    <w:rsid w:val="00C80D46"/>
    <w:rsid w:val="00C85157"/>
    <w:rsid w:val="00CA0284"/>
    <w:rsid w:val="00CA0A39"/>
    <w:rsid w:val="00CA5E48"/>
    <w:rsid w:val="00CA6007"/>
    <w:rsid w:val="00CB018C"/>
    <w:rsid w:val="00CB1AD0"/>
    <w:rsid w:val="00CB1C76"/>
    <w:rsid w:val="00CB51E2"/>
    <w:rsid w:val="00CB5CE1"/>
    <w:rsid w:val="00CC055B"/>
    <w:rsid w:val="00CC4E6D"/>
    <w:rsid w:val="00CC695F"/>
    <w:rsid w:val="00CD0630"/>
    <w:rsid w:val="00CD412C"/>
    <w:rsid w:val="00CD49FF"/>
    <w:rsid w:val="00CD4A44"/>
    <w:rsid w:val="00CD73D9"/>
    <w:rsid w:val="00CE2F86"/>
    <w:rsid w:val="00CE3F84"/>
    <w:rsid w:val="00CE4571"/>
    <w:rsid w:val="00CE4CC6"/>
    <w:rsid w:val="00CE4E5D"/>
    <w:rsid w:val="00CE58AB"/>
    <w:rsid w:val="00CE7CA1"/>
    <w:rsid w:val="00CF11F5"/>
    <w:rsid w:val="00CF4748"/>
    <w:rsid w:val="00CF5A47"/>
    <w:rsid w:val="00CF6791"/>
    <w:rsid w:val="00D0144F"/>
    <w:rsid w:val="00D02374"/>
    <w:rsid w:val="00D05656"/>
    <w:rsid w:val="00D076AB"/>
    <w:rsid w:val="00D11385"/>
    <w:rsid w:val="00D1402E"/>
    <w:rsid w:val="00D17648"/>
    <w:rsid w:val="00D204FC"/>
    <w:rsid w:val="00D20554"/>
    <w:rsid w:val="00D22717"/>
    <w:rsid w:val="00D23C70"/>
    <w:rsid w:val="00D23DF1"/>
    <w:rsid w:val="00D26E5A"/>
    <w:rsid w:val="00D26FD7"/>
    <w:rsid w:val="00D272CA"/>
    <w:rsid w:val="00D3008F"/>
    <w:rsid w:val="00D35A9A"/>
    <w:rsid w:val="00D35C12"/>
    <w:rsid w:val="00D371D3"/>
    <w:rsid w:val="00D404BD"/>
    <w:rsid w:val="00D40B9C"/>
    <w:rsid w:val="00D418D8"/>
    <w:rsid w:val="00D42CA6"/>
    <w:rsid w:val="00D443DB"/>
    <w:rsid w:val="00D4758F"/>
    <w:rsid w:val="00D507F6"/>
    <w:rsid w:val="00D50E73"/>
    <w:rsid w:val="00D51F38"/>
    <w:rsid w:val="00D520C7"/>
    <w:rsid w:val="00D553BF"/>
    <w:rsid w:val="00D567C2"/>
    <w:rsid w:val="00D60B7D"/>
    <w:rsid w:val="00D60CF6"/>
    <w:rsid w:val="00D61996"/>
    <w:rsid w:val="00D7021A"/>
    <w:rsid w:val="00D71111"/>
    <w:rsid w:val="00D72066"/>
    <w:rsid w:val="00D75079"/>
    <w:rsid w:val="00D75F57"/>
    <w:rsid w:val="00D7629D"/>
    <w:rsid w:val="00D76473"/>
    <w:rsid w:val="00D77CB1"/>
    <w:rsid w:val="00D80F0E"/>
    <w:rsid w:val="00D879A4"/>
    <w:rsid w:val="00D87C63"/>
    <w:rsid w:val="00D91022"/>
    <w:rsid w:val="00D91FAD"/>
    <w:rsid w:val="00D97EA7"/>
    <w:rsid w:val="00DA2565"/>
    <w:rsid w:val="00DA7FB1"/>
    <w:rsid w:val="00DB00F8"/>
    <w:rsid w:val="00DB343B"/>
    <w:rsid w:val="00DB3977"/>
    <w:rsid w:val="00DB4195"/>
    <w:rsid w:val="00DB43FD"/>
    <w:rsid w:val="00DB52E3"/>
    <w:rsid w:val="00DB616D"/>
    <w:rsid w:val="00DB6E48"/>
    <w:rsid w:val="00DC0210"/>
    <w:rsid w:val="00DC06E1"/>
    <w:rsid w:val="00DC5352"/>
    <w:rsid w:val="00DC5AD7"/>
    <w:rsid w:val="00DC7E2D"/>
    <w:rsid w:val="00DD2B66"/>
    <w:rsid w:val="00DD454F"/>
    <w:rsid w:val="00DD5145"/>
    <w:rsid w:val="00DD6B0B"/>
    <w:rsid w:val="00DD7CDB"/>
    <w:rsid w:val="00DE1A3F"/>
    <w:rsid w:val="00DE43F5"/>
    <w:rsid w:val="00DE4A21"/>
    <w:rsid w:val="00DE5556"/>
    <w:rsid w:val="00DE6E5B"/>
    <w:rsid w:val="00DE79E7"/>
    <w:rsid w:val="00DF321A"/>
    <w:rsid w:val="00DF35A1"/>
    <w:rsid w:val="00DF5EFF"/>
    <w:rsid w:val="00DF7E1C"/>
    <w:rsid w:val="00E00389"/>
    <w:rsid w:val="00E0092D"/>
    <w:rsid w:val="00E0131E"/>
    <w:rsid w:val="00E03F26"/>
    <w:rsid w:val="00E048AB"/>
    <w:rsid w:val="00E048B0"/>
    <w:rsid w:val="00E04D7B"/>
    <w:rsid w:val="00E10EA9"/>
    <w:rsid w:val="00E13D23"/>
    <w:rsid w:val="00E154D1"/>
    <w:rsid w:val="00E20C0D"/>
    <w:rsid w:val="00E210B7"/>
    <w:rsid w:val="00E22D98"/>
    <w:rsid w:val="00E23A07"/>
    <w:rsid w:val="00E2557F"/>
    <w:rsid w:val="00E25CDA"/>
    <w:rsid w:val="00E31E6A"/>
    <w:rsid w:val="00E40DAA"/>
    <w:rsid w:val="00E4137D"/>
    <w:rsid w:val="00E4160C"/>
    <w:rsid w:val="00E42CF6"/>
    <w:rsid w:val="00E44121"/>
    <w:rsid w:val="00E503C9"/>
    <w:rsid w:val="00E5244B"/>
    <w:rsid w:val="00E5295D"/>
    <w:rsid w:val="00E54409"/>
    <w:rsid w:val="00E54443"/>
    <w:rsid w:val="00E5710D"/>
    <w:rsid w:val="00E60DC4"/>
    <w:rsid w:val="00E637FF"/>
    <w:rsid w:val="00E6493B"/>
    <w:rsid w:val="00E76090"/>
    <w:rsid w:val="00E807E4"/>
    <w:rsid w:val="00E81EE4"/>
    <w:rsid w:val="00E87721"/>
    <w:rsid w:val="00E94FA5"/>
    <w:rsid w:val="00EA161D"/>
    <w:rsid w:val="00EA191F"/>
    <w:rsid w:val="00EA4822"/>
    <w:rsid w:val="00EA5AF2"/>
    <w:rsid w:val="00EB5F62"/>
    <w:rsid w:val="00EB696D"/>
    <w:rsid w:val="00EB723A"/>
    <w:rsid w:val="00EC1E20"/>
    <w:rsid w:val="00EC20FE"/>
    <w:rsid w:val="00EC5691"/>
    <w:rsid w:val="00EC7C40"/>
    <w:rsid w:val="00ED2904"/>
    <w:rsid w:val="00ED2C3B"/>
    <w:rsid w:val="00ED4DC0"/>
    <w:rsid w:val="00ED5C8B"/>
    <w:rsid w:val="00ED6035"/>
    <w:rsid w:val="00ED6FAA"/>
    <w:rsid w:val="00ED7236"/>
    <w:rsid w:val="00EE2359"/>
    <w:rsid w:val="00EE37CA"/>
    <w:rsid w:val="00EE5A24"/>
    <w:rsid w:val="00EF1230"/>
    <w:rsid w:val="00EF3013"/>
    <w:rsid w:val="00EF3524"/>
    <w:rsid w:val="00EF3E9B"/>
    <w:rsid w:val="00EF41EF"/>
    <w:rsid w:val="00EF4E17"/>
    <w:rsid w:val="00EF4E55"/>
    <w:rsid w:val="00EF67D3"/>
    <w:rsid w:val="00EF76A4"/>
    <w:rsid w:val="00F01410"/>
    <w:rsid w:val="00F026E9"/>
    <w:rsid w:val="00F100C0"/>
    <w:rsid w:val="00F11BFD"/>
    <w:rsid w:val="00F11DED"/>
    <w:rsid w:val="00F15208"/>
    <w:rsid w:val="00F1782C"/>
    <w:rsid w:val="00F24AF3"/>
    <w:rsid w:val="00F255C0"/>
    <w:rsid w:val="00F2582D"/>
    <w:rsid w:val="00F27317"/>
    <w:rsid w:val="00F2771A"/>
    <w:rsid w:val="00F2797F"/>
    <w:rsid w:val="00F3099A"/>
    <w:rsid w:val="00F367CE"/>
    <w:rsid w:val="00F3767C"/>
    <w:rsid w:val="00F37BFD"/>
    <w:rsid w:val="00F42004"/>
    <w:rsid w:val="00F42494"/>
    <w:rsid w:val="00F45671"/>
    <w:rsid w:val="00F47E9B"/>
    <w:rsid w:val="00F50A49"/>
    <w:rsid w:val="00F51366"/>
    <w:rsid w:val="00F5341F"/>
    <w:rsid w:val="00F537A0"/>
    <w:rsid w:val="00F54ED3"/>
    <w:rsid w:val="00F55672"/>
    <w:rsid w:val="00F55885"/>
    <w:rsid w:val="00F55D33"/>
    <w:rsid w:val="00F56257"/>
    <w:rsid w:val="00F56823"/>
    <w:rsid w:val="00F57549"/>
    <w:rsid w:val="00F57CCE"/>
    <w:rsid w:val="00F6025A"/>
    <w:rsid w:val="00F615DF"/>
    <w:rsid w:val="00F62022"/>
    <w:rsid w:val="00F66E8E"/>
    <w:rsid w:val="00F67179"/>
    <w:rsid w:val="00F67655"/>
    <w:rsid w:val="00F67BD5"/>
    <w:rsid w:val="00F72DFB"/>
    <w:rsid w:val="00F73B2E"/>
    <w:rsid w:val="00F74BB6"/>
    <w:rsid w:val="00F75227"/>
    <w:rsid w:val="00F75D5A"/>
    <w:rsid w:val="00F81D58"/>
    <w:rsid w:val="00F8231F"/>
    <w:rsid w:val="00F8404C"/>
    <w:rsid w:val="00F85205"/>
    <w:rsid w:val="00F92199"/>
    <w:rsid w:val="00F9222B"/>
    <w:rsid w:val="00F93F88"/>
    <w:rsid w:val="00F9444A"/>
    <w:rsid w:val="00F951F4"/>
    <w:rsid w:val="00FA23FA"/>
    <w:rsid w:val="00FA51A6"/>
    <w:rsid w:val="00FA5473"/>
    <w:rsid w:val="00FA71BD"/>
    <w:rsid w:val="00FA7EC2"/>
    <w:rsid w:val="00FB0AC6"/>
    <w:rsid w:val="00FB2AE3"/>
    <w:rsid w:val="00FB3E5B"/>
    <w:rsid w:val="00FB489F"/>
    <w:rsid w:val="00FC1DD6"/>
    <w:rsid w:val="00FD042E"/>
    <w:rsid w:val="00FD23AF"/>
    <w:rsid w:val="00FD4748"/>
    <w:rsid w:val="00FD50C0"/>
    <w:rsid w:val="00FE0546"/>
    <w:rsid w:val="00FE0F92"/>
    <w:rsid w:val="00FE115F"/>
    <w:rsid w:val="00FE1E84"/>
    <w:rsid w:val="00FE742D"/>
    <w:rsid w:val="00FE7E6C"/>
    <w:rsid w:val="00FF0B4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5CED"/>
  <w15:chartTrackingRefBased/>
  <w15:docId w15:val="{83B1264B-9F13-47E2-BD2C-7990E3E5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3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3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3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532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A5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BB197F"/>
    <w:rPr>
      <w:i/>
      <w:iCs/>
      <w:color w:val="5B9BD5" w:themeColor="accent1"/>
    </w:rPr>
  </w:style>
  <w:style w:type="paragraph" w:styleId="ListParagraph">
    <w:name w:val="List Paragraph"/>
    <w:basedOn w:val="Normal"/>
    <w:uiPriority w:val="34"/>
    <w:qFormat/>
    <w:rsid w:val="00FA51A6"/>
    <w:pPr>
      <w:ind w:left="720"/>
      <w:contextualSpacing/>
    </w:pPr>
  </w:style>
  <w:style w:type="character" w:styleId="CommentReference">
    <w:name w:val="annotation reference"/>
    <w:basedOn w:val="DefaultParagraphFont"/>
    <w:uiPriority w:val="99"/>
    <w:semiHidden/>
    <w:unhideWhenUsed/>
    <w:rsid w:val="00886301"/>
    <w:rPr>
      <w:sz w:val="16"/>
      <w:szCs w:val="16"/>
    </w:rPr>
  </w:style>
  <w:style w:type="paragraph" w:styleId="CommentText">
    <w:name w:val="annotation text"/>
    <w:basedOn w:val="Normal"/>
    <w:link w:val="CommentTextChar"/>
    <w:uiPriority w:val="99"/>
    <w:semiHidden/>
    <w:unhideWhenUsed/>
    <w:rsid w:val="00886301"/>
    <w:pPr>
      <w:spacing w:line="240" w:lineRule="auto"/>
    </w:pPr>
    <w:rPr>
      <w:sz w:val="20"/>
      <w:szCs w:val="20"/>
    </w:rPr>
  </w:style>
  <w:style w:type="character" w:customStyle="1" w:styleId="CommentTextChar">
    <w:name w:val="Comment Text Char"/>
    <w:basedOn w:val="DefaultParagraphFont"/>
    <w:link w:val="CommentText"/>
    <w:uiPriority w:val="99"/>
    <w:semiHidden/>
    <w:rsid w:val="00886301"/>
    <w:rPr>
      <w:sz w:val="20"/>
      <w:szCs w:val="20"/>
    </w:rPr>
  </w:style>
  <w:style w:type="paragraph" w:styleId="CommentSubject">
    <w:name w:val="annotation subject"/>
    <w:basedOn w:val="CommentText"/>
    <w:next w:val="CommentText"/>
    <w:link w:val="CommentSubjectChar"/>
    <w:uiPriority w:val="99"/>
    <w:semiHidden/>
    <w:unhideWhenUsed/>
    <w:rsid w:val="00886301"/>
    <w:rPr>
      <w:b/>
      <w:bCs/>
    </w:rPr>
  </w:style>
  <w:style w:type="character" w:customStyle="1" w:styleId="CommentSubjectChar">
    <w:name w:val="Comment Subject Char"/>
    <w:basedOn w:val="CommentTextChar"/>
    <w:link w:val="CommentSubject"/>
    <w:uiPriority w:val="99"/>
    <w:semiHidden/>
    <w:rsid w:val="00886301"/>
    <w:rPr>
      <w:b/>
      <w:bCs/>
      <w:sz w:val="20"/>
      <w:szCs w:val="20"/>
    </w:rPr>
  </w:style>
  <w:style w:type="paragraph" w:styleId="BalloonText">
    <w:name w:val="Balloon Text"/>
    <w:basedOn w:val="Normal"/>
    <w:link w:val="BalloonTextChar"/>
    <w:uiPriority w:val="99"/>
    <w:semiHidden/>
    <w:unhideWhenUsed/>
    <w:rsid w:val="00886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3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bcifes\data\other\donning_nasa_tpr_pai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bcifes\data\other\QU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bcifes\data\other\QUES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TPR for Each</a:t>
            </a:r>
            <a:r>
              <a:rPr lang="en-GB" baseline="0"/>
              <a:t> Patient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6"/>
              </a:solidFill>
              <a:ln>
                <a:solidFill>
                  <a:schemeClr val="accent6"/>
                </a:solidFill>
              </a:ln>
              <a:effectLst/>
            </c:spPr>
          </c:dPt>
          <c:dPt>
            <c:idx val="2"/>
            <c:invertIfNegative val="0"/>
            <c:bubble3D val="0"/>
            <c:spPr>
              <a:solidFill>
                <a:schemeClr val="accent3"/>
              </a:solidFill>
              <a:ln>
                <a:solidFill>
                  <a:schemeClr val="accent3"/>
                </a:solidFill>
              </a:ln>
              <a:effectLst/>
            </c:spPr>
          </c:dPt>
          <c:dPt>
            <c:idx val="3"/>
            <c:invertIfNegative val="0"/>
            <c:bubble3D val="0"/>
            <c:spPr>
              <a:solidFill>
                <a:schemeClr val="accent4"/>
              </a:solidFill>
              <a:ln>
                <a:solidFill>
                  <a:schemeClr val="accent4"/>
                </a:solidFill>
              </a:ln>
              <a:effectLst/>
            </c:spPr>
          </c:dPt>
          <c:dPt>
            <c:idx val="4"/>
            <c:invertIfNegative val="0"/>
            <c:bubble3D val="0"/>
            <c:spPr>
              <a:solidFill>
                <a:srgbClr val="FFC000"/>
              </a:solidFill>
              <a:ln>
                <a:solidFill>
                  <a:srgbClr val="FFC000"/>
                </a:solidFill>
              </a:ln>
              <a:effectLst/>
            </c:spPr>
          </c:dPt>
          <c:dPt>
            <c:idx val="5"/>
            <c:invertIfNegative val="0"/>
            <c:bubble3D val="0"/>
            <c:spPr>
              <a:solidFill>
                <a:schemeClr val="accent5"/>
              </a:solidFill>
              <a:ln>
                <a:solidFill>
                  <a:schemeClr val="accent5"/>
                </a:solidFill>
              </a:ln>
              <a:effectLst/>
            </c:spPr>
          </c:dPt>
          <c:dPt>
            <c:idx val="6"/>
            <c:invertIfNegative val="0"/>
            <c:bubble3D val="0"/>
            <c:spPr>
              <a:solidFill>
                <a:srgbClr val="9D2323"/>
              </a:solidFill>
              <a:ln>
                <a:solidFill>
                  <a:srgbClr val="9D2323"/>
                </a:solidFill>
              </a:ln>
              <a:effectLst/>
            </c:spPr>
          </c:dPt>
          <c:errBars>
            <c:errBarType val="both"/>
            <c:errValType val="cust"/>
            <c:noEndCap val="0"/>
            <c:plus>
              <c:numRef>
                <c:f>(TPR!$J$23,TPR!$M$35,TPR!$M$45,TPR!$J$63,TPR!$J$74,TPR!$J$88,TPR!$J$105)</c:f>
                <c:numCache>
                  <c:formatCode>General</c:formatCode>
                  <c:ptCount val="7"/>
                  <c:pt idx="0">
                    <c:v>7.384882473802393</c:v>
                  </c:pt>
                  <c:pt idx="1">
                    <c:v>12.681988933487718</c:v>
                  </c:pt>
                  <c:pt idx="2">
                    <c:v>24.494897427831791</c:v>
                  </c:pt>
                  <c:pt idx="3">
                    <c:v>10.466878978738274</c:v>
                  </c:pt>
                  <c:pt idx="4">
                    <c:v>14.725089298460817</c:v>
                  </c:pt>
                  <c:pt idx="5">
                    <c:v>14.282856857085671</c:v>
                  </c:pt>
                  <c:pt idx="6">
                    <c:v>12.683118537838951</c:v>
                  </c:pt>
                </c:numCache>
              </c:numRef>
            </c:plus>
            <c:minus>
              <c:numRef>
                <c:f>(TPR!$J$23,TPR!$M$35,TPR!$M$45,TPR!$J$63,TPR!$J$74,TPR!$J$88,TPR!$J$105)</c:f>
                <c:numCache>
                  <c:formatCode>General</c:formatCode>
                  <c:ptCount val="7"/>
                  <c:pt idx="0">
                    <c:v>7.384882473802393</c:v>
                  </c:pt>
                  <c:pt idx="1">
                    <c:v>12.681988933487718</c:v>
                  </c:pt>
                  <c:pt idx="2">
                    <c:v>24.494897427831791</c:v>
                  </c:pt>
                  <c:pt idx="3">
                    <c:v>10.466878978738274</c:v>
                  </c:pt>
                  <c:pt idx="4">
                    <c:v>14.725089298460817</c:v>
                  </c:pt>
                  <c:pt idx="5">
                    <c:v>14.282856857085671</c:v>
                  </c:pt>
                  <c:pt idx="6">
                    <c:v>12.683118537838951</c:v>
                  </c:pt>
                </c:numCache>
              </c:numRef>
            </c:minus>
            <c:spPr>
              <a:noFill/>
              <a:ln w="9525" cap="flat" cmpd="sng" algn="ctr">
                <a:solidFill>
                  <a:schemeClr val="tx1">
                    <a:lumMod val="65000"/>
                    <a:lumOff val="35000"/>
                  </a:schemeClr>
                </a:solidFill>
                <a:round/>
              </a:ln>
              <a:effectLst/>
            </c:spPr>
          </c:errBars>
          <c:cat>
            <c:numRef>
              <c:f>TPR!$K$4:$K$11</c:f>
              <c:numCache>
                <c:formatCode>General</c:formatCode>
                <c:ptCount val="8"/>
                <c:pt idx="0">
                  <c:v>13</c:v>
                </c:pt>
                <c:pt idx="1">
                  <c:v>6</c:v>
                </c:pt>
                <c:pt idx="2">
                  <c:v>2</c:v>
                </c:pt>
                <c:pt idx="3">
                  <c:v>15</c:v>
                </c:pt>
                <c:pt idx="4">
                  <c:v>4</c:v>
                </c:pt>
                <c:pt idx="5">
                  <c:v>5</c:v>
                </c:pt>
                <c:pt idx="6">
                  <c:v>10</c:v>
                </c:pt>
                <c:pt idx="7">
                  <c:v>1</c:v>
                </c:pt>
              </c:numCache>
            </c:numRef>
          </c:cat>
          <c:val>
            <c:numRef>
              <c:f>(TPR!$G$112,TPR!$G$23,TPR!$J$35,TPR!$J$45,TPR!$G$63,TPR!$G$74,TPR!$G$88,TPR!$G$105)</c:f>
              <c:numCache>
                <c:formatCode>General</c:formatCode>
                <c:ptCount val="8"/>
                <c:pt idx="0">
                  <c:v>75.618421052631589</c:v>
                </c:pt>
                <c:pt idx="1">
                  <c:v>87.564102564102569</c:v>
                </c:pt>
                <c:pt idx="2">
                  <c:v>70.454587240301521</c:v>
                </c:pt>
                <c:pt idx="3">
                  <c:v>65</c:v>
                </c:pt>
                <c:pt idx="4">
                  <c:v>85.666666666666686</c:v>
                </c:pt>
                <c:pt idx="5">
                  <c:v>82.368421052631575</c:v>
                </c:pt>
                <c:pt idx="6">
                  <c:v>81</c:v>
                </c:pt>
                <c:pt idx="7">
                  <c:v>87.473684210526329</c:v>
                </c:pt>
              </c:numCache>
            </c:numRef>
          </c:val>
        </c:ser>
        <c:dLbls>
          <c:showLegendKey val="0"/>
          <c:showVal val="0"/>
          <c:showCatName val="0"/>
          <c:showSerName val="0"/>
          <c:showPercent val="0"/>
          <c:showBubbleSize val="0"/>
        </c:dLbls>
        <c:gapWidth val="219"/>
        <c:overlap val="-27"/>
        <c:axId val="246886544"/>
        <c:axId val="365262544"/>
      </c:barChart>
      <c:catAx>
        <c:axId val="246886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Sessions</a:t>
                </a:r>
              </a:p>
            </c:rich>
          </c:tx>
          <c:layout>
            <c:manualLayout>
              <c:xMode val="edge"/>
              <c:yMode val="edge"/>
              <c:x val="0.38785083114610669"/>
              <c:y val="0.897198891805190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62544"/>
        <c:crosses val="autoZero"/>
        <c:auto val="1"/>
        <c:lblAlgn val="ctr"/>
        <c:lblOffset val="100"/>
        <c:noMultiLvlLbl val="0"/>
      </c:catAx>
      <c:valAx>
        <c:axId val="365262544"/>
        <c:scaling>
          <c:orientation val="minMax"/>
        </c:scaling>
        <c:delete val="0"/>
        <c:axPos val="l"/>
        <c:majorGridlines>
          <c:spPr>
            <a:ln w="9525" cap="flat" cmpd="sng" algn="ctr">
              <a:solidFill>
                <a:schemeClr val="tx1">
                  <a:lumMod val="15000"/>
                  <a:lumOff val="85000"/>
                </a:schemeClr>
              </a:solidFill>
              <a:prstDash val="dash"/>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True</a:t>
                </a:r>
                <a:r>
                  <a:rPr lang="en-GB" baseline="0"/>
                  <a:t> Positive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886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Most</a:t>
            </a:r>
            <a:r>
              <a:rPr lang="en-GB" baseline="0"/>
              <a:t> Important to Users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(Sheet1!$B$24,Sheet1!$B$25,Sheet1!$B$27,Sheet1!$B$28,Sheet1!$B$29,Sheet1!$B$33)</c:f>
              <c:strCache>
                <c:ptCount val="6"/>
                <c:pt idx="0">
                  <c:v>Ease in Adjusting</c:v>
                </c:pt>
                <c:pt idx="1">
                  <c:v>Safe and Secure</c:v>
                </c:pt>
                <c:pt idx="2">
                  <c:v>Easy to Use</c:v>
                </c:pt>
                <c:pt idx="3">
                  <c:v>Comfortable</c:v>
                </c:pt>
                <c:pt idx="4">
                  <c:v>Effective</c:v>
                </c:pt>
                <c:pt idx="5">
                  <c:v>Follow-up Services</c:v>
                </c:pt>
              </c:strCache>
            </c:strRef>
          </c:cat>
          <c:val>
            <c:numRef>
              <c:f>(Sheet1!$N$24,Sheet1!$N$25,Sheet1!$N$27,Sheet1!$N$28,Sheet1!$N$29,Sheet1!$N$33)</c:f>
              <c:numCache>
                <c:formatCode>General</c:formatCode>
                <c:ptCount val="6"/>
                <c:pt idx="0">
                  <c:v>1</c:v>
                </c:pt>
                <c:pt idx="1">
                  <c:v>2</c:v>
                </c:pt>
                <c:pt idx="2">
                  <c:v>6</c:v>
                </c:pt>
                <c:pt idx="3">
                  <c:v>2</c:v>
                </c:pt>
                <c:pt idx="4">
                  <c:v>5</c:v>
                </c:pt>
                <c:pt idx="5">
                  <c:v>2</c:v>
                </c:pt>
              </c:numCache>
            </c:numRef>
          </c:val>
        </c:ser>
        <c:dLbls>
          <c:showLegendKey val="0"/>
          <c:showVal val="0"/>
          <c:showCatName val="0"/>
          <c:showSerName val="0"/>
          <c:showPercent val="0"/>
          <c:showBubbleSize val="0"/>
        </c:dLbls>
        <c:gapWidth val="219"/>
        <c:overlap val="-27"/>
        <c:axId val="365264784"/>
        <c:axId val="365265344"/>
      </c:barChart>
      <c:catAx>
        <c:axId val="36526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65344"/>
        <c:crosses val="autoZero"/>
        <c:auto val="1"/>
        <c:lblAlgn val="ctr"/>
        <c:lblOffset val="100"/>
        <c:noMultiLvlLbl val="0"/>
      </c:catAx>
      <c:valAx>
        <c:axId val="365265344"/>
        <c:scaling>
          <c:orientation val="minMax"/>
          <c:max val="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64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Detailed User Satisfaction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Sheet1!$O$8:$O$19</c:f>
                <c:numCache>
                  <c:formatCode>General</c:formatCode>
                  <c:ptCount val="12"/>
                  <c:pt idx="0">
                    <c:v>1.5907898179514348</c:v>
                  </c:pt>
                  <c:pt idx="1">
                    <c:v>0.90350790290525129</c:v>
                  </c:pt>
                  <c:pt idx="2">
                    <c:v>1.4568627181693672</c:v>
                  </c:pt>
                  <c:pt idx="3">
                    <c:v>0.90350790290525129</c:v>
                  </c:pt>
                  <c:pt idx="4">
                    <c:v>0.83299312783504287</c:v>
                  </c:pt>
                  <c:pt idx="5">
                    <c:v>0.90350790290525129</c:v>
                  </c:pt>
                  <c:pt idx="6">
                    <c:v>0.98974331861078702</c:v>
                  </c:pt>
                  <c:pt idx="7">
                    <c:v>0.6998542122237652</c:v>
                  </c:pt>
                  <c:pt idx="8">
                    <c:v>0.7453559924999299</c:v>
                  </c:pt>
                  <c:pt idx="9">
                    <c:v>1.247219128924647</c:v>
                  </c:pt>
                  <c:pt idx="10">
                    <c:v>0.72843135908468359</c:v>
                  </c:pt>
                  <c:pt idx="11">
                    <c:v>1.4142135623730951</c:v>
                  </c:pt>
                </c:numCache>
              </c:numRef>
            </c:plus>
            <c:minus>
              <c:numRef>
                <c:f>Sheet1!$O$8:$O$19</c:f>
                <c:numCache>
                  <c:formatCode>General</c:formatCode>
                  <c:ptCount val="12"/>
                  <c:pt idx="0">
                    <c:v>1.5907898179514348</c:v>
                  </c:pt>
                  <c:pt idx="1">
                    <c:v>0.90350790290525129</c:v>
                  </c:pt>
                  <c:pt idx="2">
                    <c:v>1.4568627181693672</c:v>
                  </c:pt>
                  <c:pt idx="3">
                    <c:v>0.90350790290525129</c:v>
                  </c:pt>
                  <c:pt idx="4">
                    <c:v>0.83299312783504287</c:v>
                  </c:pt>
                  <c:pt idx="5">
                    <c:v>0.90350790290525129</c:v>
                  </c:pt>
                  <c:pt idx="6">
                    <c:v>0.98974331861078702</c:v>
                  </c:pt>
                  <c:pt idx="7">
                    <c:v>0.6998542122237652</c:v>
                  </c:pt>
                  <c:pt idx="8">
                    <c:v>0.7453559924999299</c:v>
                  </c:pt>
                  <c:pt idx="9">
                    <c:v>1.247219128924647</c:v>
                  </c:pt>
                  <c:pt idx="10">
                    <c:v>0.72843135908468359</c:v>
                  </c:pt>
                  <c:pt idx="11">
                    <c:v>1.4142135623730951</c:v>
                  </c:pt>
                </c:numCache>
              </c:numRef>
            </c:minus>
            <c:spPr>
              <a:noFill/>
              <a:ln w="9525" cap="flat" cmpd="sng" algn="ctr">
                <a:solidFill>
                  <a:schemeClr val="tx1">
                    <a:lumMod val="65000"/>
                    <a:lumOff val="35000"/>
                  </a:schemeClr>
                </a:solidFill>
                <a:round/>
              </a:ln>
              <a:effectLst/>
            </c:spPr>
          </c:errBars>
          <c:cat>
            <c:strRef>
              <c:f>Sheet1!$B$8:$B$19</c:f>
              <c:strCache>
                <c:ptCount val="12"/>
                <c:pt idx="0">
                  <c:v>Dimensions</c:v>
                </c:pt>
                <c:pt idx="1">
                  <c:v>Weight</c:v>
                </c:pt>
                <c:pt idx="2">
                  <c:v>Ease in Adjusting</c:v>
                </c:pt>
                <c:pt idx="3">
                  <c:v>Safe and Secure</c:v>
                </c:pt>
                <c:pt idx="4">
                  <c:v>Durability</c:v>
                </c:pt>
                <c:pt idx="5">
                  <c:v>Easy to Use</c:v>
                </c:pt>
                <c:pt idx="6">
                  <c:v>Comfortable</c:v>
                </c:pt>
                <c:pt idx="7">
                  <c:v>Effective</c:v>
                </c:pt>
                <c:pt idx="8">
                  <c:v>Service Delivery</c:v>
                </c:pt>
                <c:pt idx="9">
                  <c:v>Repairs and Servicing</c:v>
                </c:pt>
                <c:pt idx="10">
                  <c:v>Professional Services</c:v>
                </c:pt>
                <c:pt idx="11">
                  <c:v>Follow-up Services</c:v>
                </c:pt>
              </c:strCache>
            </c:strRef>
          </c:cat>
          <c:val>
            <c:numRef>
              <c:f>Sheet1!$N$8:$N$19</c:f>
              <c:numCache>
                <c:formatCode>0.00</c:formatCode>
                <c:ptCount val="12"/>
                <c:pt idx="0">
                  <c:v>3.4285714285714284</c:v>
                </c:pt>
                <c:pt idx="1">
                  <c:v>4.4285714285714288</c:v>
                </c:pt>
                <c:pt idx="2">
                  <c:v>3.1428571428571428</c:v>
                </c:pt>
                <c:pt idx="3">
                  <c:v>4.4285714285714288</c:v>
                </c:pt>
                <c:pt idx="4">
                  <c:v>4.1428571428571432</c:v>
                </c:pt>
                <c:pt idx="5">
                  <c:v>3.4285714285714284</c:v>
                </c:pt>
                <c:pt idx="6">
                  <c:v>3.1428571428571428</c:v>
                </c:pt>
                <c:pt idx="7">
                  <c:v>3.2857142857142856</c:v>
                </c:pt>
                <c:pt idx="8">
                  <c:v>4.333333333333333</c:v>
                </c:pt>
                <c:pt idx="9">
                  <c:v>3.3333333333333335</c:v>
                </c:pt>
                <c:pt idx="10">
                  <c:v>4.4285714285714288</c:v>
                </c:pt>
                <c:pt idx="11">
                  <c:v>4</c:v>
                </c:pt>
              </c:numCache>
            </c:numRef>
          </c:val>
        </c:ser>
        <c:dLbls>
          <c:showLegendKey val="0"/>
          <c:showVal val="0"/>
          <c:showCatName val="0"/>
          <c:showSerName val="0"/>
          <c:showPercent val="0"/>
          <c:showBubbleSize val="0"/>
        </c:dLbls>
        <c:gapWidth val="219"/>
        <c:overlap val="-27"/>
        <c:axId val="253381616"/>
        <c:axId val="253382176"/>
      </c:barChart>
      <c:catAx>
        <c:axId val="25338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382176"/>
        <c:crosses val="autoZero"/>
        <c:auto val="1"/>
        <c:lblAlgn val="ctr"/>
        <c:lblOffset val="100"/>
        <c:noMultiLvlLbl val="0"/>
      </c:catAx>
      <c:valAx>
        <c:axId val="253382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381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84A81D-7C20-45BF-AB32-715C2781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1</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School of Engineering</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ZULAUF</dc:creator>
  <cp:keywords/>
  <dc:description/>
  <cp:lastModifiedBy>Anna Zulauf-Czaja (student)</cp:lastModifiedBy>
  <cp:revision>8</cp:revision>
  <dcterms:created xsi:type="dcterms:W3CDTF">2019-11-07T14:56:00Z</dcterms:created>
  <dcterms:modified xsi:type="dcterms:W3CDTF">2019-11-12T17:03:00Z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a492a3bd-fa08-3a2c-be6d-b89e22cd9525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