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A4BD8" w14:textId="77777777" w:rsidR="00860AF4" w:rsidRPr="00860AF4" w:rsidRDefault="00860AF4" w:rsidP="00860AF4">
      <w:pPr>
        <w:pStyle w:val="Title"/>
        <w:spacing w:before="0" w:after="0"/>
        <w:rPr>
          <w:rFonts w:ascii="Times New Roman" w:hAnsi="Times New Roman"/>
          <w:sz w:val="22"/>
          <w:szCs w:val="22"/>
        </w:rPr>
      </w:pPr>
      <w:r w:rsidRPr="00860AF4">
        <w:rPr>
          <w:rFonts w:ascii="Times New Roman" w:hAnsi="Times New Roman"/>
          <w:sz w:val="22"/>
          <w:szCs w:val="22"/>
        </w:rPr>
        <w:t>BT 200: Financial Accounting</w:t>
      </w:r>
    </w:p>
    <w:p w14:paraId="513C68D9" w14:textId="77777777" w:rsidR="00860AF4" w:rsidRPr="00860AF4" w:rsidRDefault="00860AF4" w:rsidP="00860AF4">
      <w:pPr>
        <w:pStyle w:val="Subtitle"/>
        <w:spacing w:after="0"/>
        <w:rPr>
          <w:rFonts w:ascii="Times New Roman" w:hAnsi="Times New Roman"/>
          <w:i w:val="0"/>
          <w:sz w:val="22"/>
          <w:szCs w:val="22"/>
        </w:rPr>
      </w:pPr>
      <w:r w:rsidRPr="00860AF4">
        <w:rPr>
          <w:rFonts w:ascii="Times New Roman" w:hAnsi="Times New Roman"/>
          <w:i w:val="0"/>
          <w:sz w:val="22"/>
          <w:szCs w:val="22"/>
        </w:rPr>
        <w:t>Spring 2017</w:t>
      </w:r>
    </w:p>
    <w:p w14:paraId="158F1C55" w14:textId="77777777" w:rsidR="00016C5C" w:rsidRDefault="00860AF4" w:rsidP="00860AF4">
      <w:pPr>
        <w:jc w:val="center"/>
        <w:rPr>
          <w:sz w:val="22"/>
          <w:szCs w:val="22"/>
        </w:rPr>
      </w:pPr>
      <w:r w:rsidRPr="00860AF4">
        <w:rPr>
          <w:sz w:val="22"/>
          <w:szCs w:val="22"/>
        </w:rPr>
        <w:t>Written Assignment # 1</w:t>
      </w:r>
    </w:p>
    <w:p w14:paraId="2E3EB801" w14:textId="77777777" w:rsidR="00860AF4" w:rsidRDefault="00860AF4" w:rsidP="00860AF4">
      <w:pPr>
        <w:jc w:val="center"/>
        <w:rPr>
          <w:sz w:val="22"/>
          <w:szCs w:val="22"/>
        </w:rPr>
      </w:pPr>
    </w:p>
    <w:p w14:paraId="2EA05D55" w14:textId="77777777" w:rsidR="00DE530D" w:rsidRDefault="00DE530D" w:rsidP="00DE530D">
      <w:pPr>
        <w:rPr>
          <w:sz w:val="22"/>
          <w:szCs w:val="22"/>
        </w:rPr>
      </w:pPr>
      <w:r>
        <w:rPr>
          <w:sz w:val="22"/>
          <w:szCs w:val="22"/>
        </w:rPr>
        <w:t>This assignment is based on the financial statements of a real company. Each student should prepare his or her own assignment independently without collaboration.</w:t>
      </w:r>
    </w:p>
    <w:p w14:paraId="3725D103" w14:textId="77777777" w:rsidR="00860AF4" w:rsidRDefault="00860AF4" w:rsidP="00860AF4">
      <w:pPr>
        <w:rPr>
          <w:sz w:val="22"/>
          <w:szCs w:val="22"/>
        </w:rPr>
      </w:pPr>
    </w:p>
    <w:p w14:paraId="0B8DFC34" w14:textId="0AD5738F" w:rsidR="00860AF4" w:rsidRDefault="00860AF4" w:rsidP="00860AF4">
      <w:pPr>
        <w:rPr>
          <w:sz w:val="22"/>
          <w:szCs w:val="22"/>
        </w:rPr>
      </w:pPr>
      <w:r>
        <w:rPr>
          <w:sz w:val="22"/>
          <w:szCs w:val="22"/>
        </w:rPr>
        <w:t xml:space="preserve">Your assignment should be handwritten, not typed. The assignment is due </w:t>
      </w:r>
      <w:r w:rsidR="004B5E8A">
        <w:rPr>
          <w:sz w:val="22"/>
          <w:szCs w:val="22"/>
        </w:rPr>
        <w:t>at the beginning of class on</w:t>
      </w:r>
      <w:r>
        <w:rPr>
          <w:sz w:val="22"/>
          <w:szCs w:val="22"/>
        </w:rPr>
        <w:t xml:space="preserve"> </w:t>
      </w:r>
      <w:r w:rsidR="007C114D">
        <w:rPr>
          <w:sz w:val="22"/>
          <w:szCs w:val="22"/>
        </w:rPr>
        <w:t>Thursday February 2nd</w:t>
      </w:r>
      <w:r>
        <w:rPr>
          <w:sz w:val="22"/>
          <w:szCs w:val="22"/>
        </w:rPr>
        <w:t>.</w:t>
      </w:r>
      <w:bookmarkStart w:id="0" w:name="_GoBack"/>
      <w:bookmarkEnd w:id="0"/>
      <w:r w:rsidR="001C5663">
        <w:rPr>
          <w:rStyle w:val="FootnoteReference"/>
          <w:sz w:val="22"/>
          <w:szCs w:val="22"/>
        </w:rPr>
        <w:footnoteReference w:id="1"/>
      </w:r>
      <w:r w:rsidR="001C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7C114D">
        <w:rPr>
          <w:sz w:val="22"/>
          <w:szCs w:val="22"/>
        </w:rPr>
        <w:t>In case you are unable to attend class for any reason on February 2</w:t>
      </w:r>
      <w:r w:rsidR="007C114D" w:rsidRPr="007C114D">
        <w:rPr>
          <w:sz w:val="22"/>
          <w:szCs w:val="22"/>
          <w:vertAlign w:val="superscript"/>
        </w:rPr>
        <w:t>nd</w:t>
      </w:r>
      <w:r w:rsidR="007C114D">
        <w:rPr>
          <w:sz w:val="22"/>
          <w:szCs w:val="22"/>
        </w:rPr>
        <w:t xml:space="preserve">, you can submit your assignment early. </w:t>
      </w:r>
    </w:p>
    <w:p w14:paraId="6465F9BA" w14:textId="77777777" w:rsidR="00860AF4" w:rsidRDefault="00860AF4" w:rsidP="00860AF4">
      <w:pPr>
        <w:rPr>
          <w:sz w:val="22"/>
          <w:szCs w:val="22"/>
        </w:rPr>
      </w:pPr>
    </w:p>
    <w:p w14:paraId="37D6AC5E" w14:textId="77777777" w:rsidR="00C95401" w:rsidRDefault="00DE530D" w:rsidP="00860AF4">
      <w:pPr>
        <w:rPr>
          <w:sz w:val="22"/>
          <w:szCs w:val="22"/>
        </w:rPr>
      </w:pPr>
      <w:r w:rsidRPr="00DE530D">
        <w:rPr>
          <w:b/>
          <w:sz w:val="22"/>
          <w:szCs w:val="22"/>
        </w:rPr>
        <w:t>Instructions:</w:t>
      </w:r>
      <w:r>
        <w:rPr>
          <w:sz w:val="22"/>
          <w:szCs w:val="22"/>
        </w:rPr>
        <w:t xml:space="preserve"> </w:t>
      </w:r>
    </w:p>
    <w:p w14:paraId="13545FF8" w14:textId="1D07152F" w:rsidR="00C95401" w:rsidRPr="001F619D" w:rsidRDefault="001C2492" w:rsidP="001F61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F619D">
        <w:rPr>
          <w:rFonts w:ascii="Times New Roman" w:hAnsi="Times New Roman" w:cs="Times New Roman"/>
          <w:sz w:val="22"/>
          <w:szCs w:val="22"/>
        </w:rPr>
        <w:t>Select one</w:t>
      </w:r>
      <w:r w:rsidR="00860AF4" w:rsidRPr="001F619D">
        <w:rPr>
          <w:rFonts w:ascii="Times New Roman" w:hAnsi="Times New Roman" w:cs="Times New Roman"/>
          <w:sz w:val="22"/>
          <w:szCs w:val="22"/>
        </w:rPr>
        <w:t xml:space="preserve"> </w:t>
      </w:r>
      <w:r w:rsidR="00C95401" w:rsidRPr="001F619D">
        <w:rPr>
          <w:rFonts w:ascii="Times New Roman" w:hAnsi="Times New Roman" w:cs="Times New Roman"/>
          <w:sz w:val="22"/>
          <w:szCs w:val="22"/>
        </w:rPr>
        <w:t xml:space="preserve">of the following companies: </w:t>
      </w:r>
    </w:p>
    <w:p w14:paraId="65E8FA4B" w14:textId="7577E624" w:rsidR="001C2492" w:rsidRPr="001C2492" w:rsidRDefault="001C2492" w:rsidP="001C2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2492">
        <w:rPr>
          <w:rFonts w:ascii="Times New Roman" w:hAnsi="Times New Roman" w:cs="Times New Roman"/>
          <w:sz w:val="22"/>
          <w:szCs w:val="22"/>
        </w:rPr>
        <w:t>Starbucks Corporation (NASDAQ:SBUX)</w:t>
      </w:r>
    </w:p>
    <w:p w14:paraId="6C9AE499" w14:textId="16DBB6EF" w:rsidR="00D0739A" w:rsidRPr="00D0739A" w:rsidRDefault="00D0739A" w:rsidP="00D07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739A">
        <w:rPr>
          <w:rFonts w:ascii="Times New Roman" w:hAnsi="Times New Roman" w:cs="Times New Roman"/>
          <w:sz w:val="22"/>
          <w:szCs w:val="22"/>
        </w:rPr>
        <w:t>Dunkin Brands Group Inc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0739A">
        <w:rPr>
          <w:rFonts w:ascii="Times New Roman" w:hAnsi="Times New Roman" w:cs="Times New Roman"/>
          <w:sz w:val="22"/>
          <w:szCs w:val="22"/>
        </w:rPr>
        <w:t>(NASDAQ:DNKN)</w:t>
      </w:r>
    </w:p>
    <w:p w14:paraId="2B04E1C0" w14:textId="6501F338" w:rsidR="001C2492" w:rsidRPr="001C2492" w:rsidRDefault="001C2492" w:rsidP="001C2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2492">
        <w:rPr>
          <w:rFonts w:ascii="Times New Roman" w:hAnsi="Times New Roman" w:cs="Times New Roman"/>
          <w:sz w:val="22"/>
          <w:szCs w:val="22"/>
        </w:rPr>
        <w:t>Apple Inc. (NASDAQ:AAPL)</w:t>
      </w:r>
    </w:p>
    <w:p w14:paraId="3006E684" w14:textId="346698F4" w:rsidR="001C2492" w:rsidRPr="001C2492" w:rsidRDefault="001C2492" w:rsidP="001C2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C2492">
        <w:rPr>
          <w:rFonts w:ascii="Times New Roman" w:hAnsi="Times New Roman" w:cs="Times New Roman"/>
          <w:sz w:val="22"/>
          <w:szCs w:val="22"/>
        </w:rPr>
        <w:t>Microsoft Corporation (NASDAQ:MSFT)</w:t>
      </w:r>
    </w:p>
    <w:p w14:paraId="12878DD8" w14:textId="33C47A13" w:rsidR="001C2492" w:rsidRDefault="001C2492" w:rsidP="001C2492">
      <w:pPr>
        <w:rPr>
          <w:sz w:val="22"/>
          <w:szCs w:val="22"/>
        </w:rPr>
      </w:pPr>
    </w:p>
    <w:p w14:paraId="372A3621" w14:textId="4DF9AE84" w:rsidR="00212F40" w:rsidRPr="001F619D" w:rsidRDefault="00212F40" w:rsidP="001F61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F619D">
        <w:rPr>
          <w:rFonts w:ascii="Times New Roman" w:hAnsi="Times New Roman" w:cs="Times New Roman"/>
          <w:sz w:val="22"/>
          <w:szCs w:val="22"/>
        </w:rPr>
        <w:t>Locate the company’s most recent Form 10-K on</w:t>
      </w:r>
      <w:r w:rsidR="001C2492" w:rsidRPr="001F619D">
        <w:rPr>
          <w:rFonts w:ascii="Times New Roman" w:hAnsi="Times New Roman" w:cs="Times New Roman"/>
          <w:sz w:val="22"/>
          <w:szCs w:val="22"/>
        </w:rPr>
        <w:t xml:space="preserve"> the SEC website</w:t>
      </w:r>
      <w:r w:rsidRPr="001F619D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1F619D">
          <w:rPr>
            <w:rStyle w:val="Hyperlink"/>
            <w:rFonts w:ascii="Times New Roman" w:hAnsi="Times New Roman" w:cs="Times New Roman"/>
            <w:sz w:val="22"/>
            <w:szCs w:val="22"/>
          </w:rPr>
          <w:t>www.sec.gov</w:t>
        </w:r>
      </w:hyperlink>
      <w:r>
        <w:rPr>
          <w:rStyle w:val="FootnoteReference"/>
          <w:rFonts w:ascii="Times New Roman" w:hAnsi="Times New Roman" w:cs="Times New Roman"/>
          <w:sz w:val="22"/>
          <w:szCs w:val="22"/>
        </w:rPr>
        <w:footnoteReference w:id="2"/>
      </w:r>
      <w:r w:rsidRPr="001F619D">
        <w:rPr>
          <w:rFonts w:ascii="Times New Roman" w:hAnsi="Times New Roman" w:cs="Times New Roman"/>
          <w:sz w:val="22"/>
          <w:szCs w:val="22"/>
        </w:rPr>
        <w:t xml:space="preserve"> or on the company’s Investor Relations website</w:t>
      </w:r>
      <w:r w:rsidR="00860AF4" w:rsidRPr="001F619D">
        <w:rPr>
          <w:rFonts w:ascii="Times New Roman" w:hAnsi="Times New Roman" w:cs="Times New Roman"/>
          <w:sz w:val="22"/>
          <w:szCs w:val="22"/>
        </w:rPr>
        <w:t>, and answer the following questions</w:t>
      </w:r>
      <w:r w:rsidR="00DE530D" w:rsidRPr="001F619D">
        <w:rPr>
          <w:rFonts w:ascii="Times New Roman" w:hAnsi="Times New Roman" w:cs="Times New Roman"/>
          <w:sz w:val="22"/>
          <w:szCs w:val="22"/>
        </w:rPr>
        <w:t>, using complete sentences where appropriate</w:t>
      </w:r>
      <w:r w:rsidR="00860AF4" w:rsidRPr="001F619D">
        <w:rPr>
          <w:rFonts w:ascii="Times New Roman" w:hAnsi="Times New Roman" w:cs="Times New Roman"/>
          <w:sz w:val="22"/>
          <w:szCs w:val="22"/>
        </w:rPr>
        <w:t>.</w:t>
      </w:r>
    </w:p>
    <w:p w14:paraId="696B567E" w14:textId="77777777" w:rsidR="00212F40" w:rsidRDefault="00212F40" w:rsidP="00860AF4">
      <w:pPr>
        <w:rPr>
          <w:sz w:val="22"/>
          <w:szCs w:val="22"/>
        </w:rPr>
      </w:pPr>
    </w:p>
    <w:p w14:paraId="4701F005" w14:textId="77777777" w:rsidR="00F8440D" w:rsidRDefault="00212F40" w:rsidP="00212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the </w:t>
      </w:r>
      <w:r w:rsidR="00F8440D">
        <w:rPr>
          <w:rFonts w:ascii="Times New Roman" w:hAnsi="Times New Roman" w:cs="Times New Roman"/>
          <w:sz w:val="22"/>
          <w:szCs w:val="22"/>
        </w:rPr>
        <w:t>date of the company’s most recent fiscal year end?</w:t>
      </w:r>
    </w:p>
    <w:p w14:paraId="54DFF985" w14:textId="7EA8DE02" w:rsidR="00F8440D" w:rsidRDefault="00F8440D" w:rsidP="00212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what page</w:t>
      </w:r>
      <w:r w:rsidR="001C2492">
        <w:rPr>
          <w:rFonts w:ascii="Times New Roman" w:hAnsi="Times New Roman" w:cs="Times New Roman"/>
          <w:sz w:val="22"/>
          <w:szCs w:val="22"/>
        </w:rPr>
        <w:t xml:space="preserve"> of the Form 10-K</w:t>
      </w:r>
      <w:r>
        <w:rPr>
          <w:rFonts w:ascii="Times New Roman" w:hAnsi="Times New Roman" w:cs="Times New Roman"/>
          <w:sz w:val="22"/>
          <w:szCs w:val="22"/>
        </w:rPr>
        <w:t xml:space="preserve"> is the company’s balance sheet?</w:t>
      </w:r>
    </w:p>
    <w:p w14:paraId="55E21D0D" w14:textId="355D3C53" w:rsidR="00860AF4" w:rsidRDefault="00F8440D" w:rsidP="00212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much Cash (including Cash Equivalents)</w:t>
      </w:r>
      <w:r w:rsidR="00860AF4" w:rsidRPr="00212F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did the company have as of the most recent fiscal year end?</w:t>
      </w:r>
    </w:p>
    <w:p w14:paraId="79CF88B4" w14:textId="55509BE2" w:rsidR="00F8440D" w:rsidRDefault="00F8440D" w:rsidP="00212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were the company’s total assets as of the most recent fiscal year end?</w:t>
      </w:r>
    </w:p>
    <w:p w14:paraId="5F04C6EF" w14:textId="197FF80F" w:rsidR="00F8440D" w:rsidRPr="00212F40" w:rsidRDefault="00F8440D" w:rsidP="00212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the company’s accounting equation for each of the most recent two fiscal years by filling in dollar amounts. </w:t>
      </w:r>
      <w:r w:rsidR="00DE530D">
        <w:rPr>
          <w:rFonts w:ascii="Times New Roman" w:hAnsi="Times New Roman" w:cs="Times New Roman"/>
          <w:sz w:val="22"/>
          <w:szCs w:val="22"/>
        </w:rPr>
        <w:t>Assets = Liabilities + Equity</w:t>
      </w:r>
    </w:p>
    <w:p w14:paraId="5E817089" w14:textId="77777777" w:rsidR="00860AF4" w:rsidRDefault="00860AF4" w:rsidP="00860AF4">
      <w:pPr>
        <w:rPr>
          <w:sz w:val="22"/>
          <w:szCs w:val="22"/>
        </w:rPr>
      </w:pPr>
    </w:p>
    <w:p w14:paraId="217401A1" w14:textId="7A6F3D40" w:rsidR="008D3D03" w:rsidRDefault="008D3D03" w:rsidP="00860AF4">
      <w:pPr>
        <w:rPr>
          <w:sz w:val="22"/>
          <w:szCs w:val="22"/>
        </w:rPr>
      </w:pPr>
      <w:r>
        <w:rPr>
          <w:sz w:val="22"/>
          <w:szCs w:val="22"/>
        </w:rPr>
        <w:t>Grading Rubric</w:t>
      </w:r>
    </w:p>
    <w:tbl>
      <w:tblPr>
        <w:tblStyle w:val="TableGrid0"/>
        <w:tblW w:w="9350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898"/>
        <w:gridCol w:w="6206"/>
      </w:tblGrid>
      <w:tr w:rsidR="008D3D03" w:rsidRPr="008D3D03" w14:paraId="1374D1FA" w14:textId="77777777" w:rsidTr="009C5CD2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EB77" w14:textId="77777777" w:rsidR="008D3D03" w:rsidRPr="008D3D03" w:rsidRDefault="008D3D03" w:rsidP="009C5CD2">
            <w:pPr>
              <w:ind w:left="5"/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Excellent 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EDD9" w14:textId="77777777" w:rsidR="008D3D03" w:rsidRPr="008D3D03" w:rsidRDefault="008D3D03" w:rsidP="009C5CD2">
            <w:p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100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91D3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Complies with all requirements.  </w:t>
            </w:r>
          </w:p>
          <w:p w14:paraId="0EDE0606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Correct information. </w:t>
            </w:r>
          </w:p>
          <w:p w14:paraId="7699DAC2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Content shows evidence of thoughtfulness.  </w:t>
            </w:r>
          </w:p>
          <w:p w14:paraId="076A48BB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Impeccable spelling and grammar. </w:t>
            </w:r>
          </w:p>
        </w:tc>
      </w:tr>
      <w:tr w:rsidR="008D3D03" w:rsidRPr="008D3D03" w14:paraId="522DE87C" w14:textId="77777777" w:rsidTr="009C5CD2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2576" w14:textId="77777777" w:rsidR="008D3D03" w:rsidRPr="008D3D03" w:rsidRDefault="008D3D03" w:rsidP="009C5CD2">
            <w:pPr>
              <w:ind w:left="5"/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Good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D7D6" w14:textId="77777777" w:rsidR="008D3D03" w:rsidRPr="008D3D03" w:rsidRDefault="008D3D03" w:rsidP="009C5CD2">
            <w:p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90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20E2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Complies with all requirements.  </w:t>
            </w:r>
          </w:p>
          <w:p w14:paraId="6DA44668" w14:textId="4389A84F" w:rsidR="008D3D03" w:rsidRPr="008D3D03" w:rsidRDefault="008D3D03" w:rsidP="004C14F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Correct information. </w:t>
            </w:r>
          </w:p>
        </w:tc>
      </w:tr>
      <w:tr w:rsidR="008D3D03" w:rsidRPr="008D3D03" w14:paraId="2390CAA4" w14:textId="77777777" w:rsidTr="009C5CD2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BBAE" w14:textId="468DA898" w:rsidR="008D3D03" w:rsidRPr="008D3D03" w:rsidRDefault="004C14F3" w:rsidP="009C5CD2">
            <w:pPr>
              <w:ind w:left="5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Okay</w:t>
            </w:r>
            <w:r w:rsidR="008D3D03" w:rsidRPr="008D3D03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BDD" w14:textId="77777777" w:rsidR="008D3D03" w:rsidRPr="008D3D03" w:rsidRDefault="008D3D03" w:rsidP="009C5CD2">
            <w:p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80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51B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Complies with all requirements.  </w:t>
            </w:r>
          </w:p>
          <w:p w14:paraId="586B3302" w14:textId="130AB76B" w:rsidR="008D3D03" w:rsidRPr="008D3D03" w:rsidRDefault="008D3D03" w:rsidP="004C14F3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Some incorrect information. </w:t>
            </w:r>
          </w:p>
        </w:tc>
      </w:tr>
      <w:tr w:rsidR="008D3D03" w:rsidRPr="008D3D03" w14:paraId="0E4E87F2" w14:textId="77777777" w:rsidTr="009C5CD2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B32C" w14:textId="77777777" w:rsidR="008D3D03" w:rsidRPr="008D3D03" w:rsidRDefault="008D3D03" w:rsidP="009C5CD2">
            <w:pPr>
              <w:ind w:left="5"/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Poor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5E4D" w14:textId="77777777" w:rsidR="008D3D03" w:rsidRPr="008D3D03" w:rsidRDefault="008D3D03" w:rsidP="009C5CD2">
            <w:p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60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761A" w14:textId="77777777" w:rsidR="008D3D03" w:rsidRPr="008D3D03" w:rsidRDefault="008D3D03" w:rsidP="008D3D0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Does not comply with all requirements. </w:t>
            </w:r>
          </w:p>
          <w:p w14:paraId="7DADC43E" w14:textId="1D2B39BF" w:rsidR="008D3D03" w:rsidRPr="008D3D03" w:rsidRDefault="008D3D03" w:rsidP="004C14F3">
            <w:pPr>
              <w:numPr>
                <w:ilvl w:val="0"/>
                <w:numId w:val="6"/>
              </w:numPr>
              <w:rPr>
                <w:rFonts w:eastAsia="Times New Roman"/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>Incorrect information.</w:t>
            </w:r>
          </w:p>
        </w:tc>
      </w:tr>
      <w:tr w:rsidR="008D3D03" w:rsidRPr="008D3D03" w14:paraId="50748736" w14:textId="77777777" w:rsidTr="009C5CD2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077B" w14:textId="77777777" w:rsidR="008D3D03" w:rsidRPr="008D3D03" w:rsidRDefault="008D3D03" w:rsidP="009C5CD2">
            <w:pPr>
              <w:ind w:left="5"/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Unacceptable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FF35" w14:textId="77777777" w:rsidR="008D3D03" w:rsidRPr="008D3D03" w:rsidRDefault="008D3D03" w:rsidP="009C5CD2">
            <w:pPr>
              <w:rPr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621C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rFonts w:eastAsia="Times New Roman"/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>Incomplete or missing. OR</w:t>
            </w:r>
          </w:p>
          <w:p w14:paraId="3D8C7515" w14:textId="77777777" w:rsidR="008D3D03" w:rsidRPr="008D3D03" w:rsidRDefault="008D3D03" w:rsidP="008D3D03">
            <w:pPr>
              <w:numPr>
                <w:ilvl w:val="0"/>
                <w:numId w:val="6"/>
              </w:numPr>
              <w:rPr>
                <w:rFonts w:eastAsia="Times New Roman"/>
                <w:sz w:val="20"/>
                <w:szCs w:val="20"/>
              </w:rPr>
            </w:pPr>
            <w:r w:rsidRPr="008D3D03">
              <w:rPr>
                <w:rFonts w:eastAsia="Times New Roman"/>
                <w:sz w:val="20"/>
                <w:szCs w:val="20"/>
              </w:rPr>
              <w:t>Uses directly quoted information without proper attribution.</w:t>
            </w:r>
          </w:p>
        </w:tc>
      </w:tr>
    </w:tbl>
    <w:p w14:paraId="1B7F5B38" w14:textId="77777777" w:rsidR="008D3D03" w:rsidRDefault="008D3D03" w:rsidP="00860AF4">
      <w:pPr>
        <w:rPr>
          <w:sz w:val="22"/>
          <w:szCs w:val="22"/>
        </w:rPr>
      </w:pPr>
    </w:p>
    <w:p w14:paraId="205085D6" w14:textId="73C0DE9E" w:rsidR="007C114D" w:rsidRDefault="007C114D" w:rsidP="00860AF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C2B19BD" w14:textId="15CBC842" w:rsidR="007C114D" w:rsidRDefault="007C114D" w:rsidP="00860AF4">
      <w:pPr>
        <w:rPr>
          <w:sz w:val="22"/>
          <w:szCs w:val="22"/>
        </w:rPr>
      </w:pPr>
    </w:p>
    <w:p w14:paraId="2825112F" w14:textId="26E6AF45" w:rsidR="001248A8" w:rsidRPr="00933534" w:rsidRDefault="00B5236C" w:rsidP="001248A8">
      <w:pPr>
        <w:rPr>
          <w:b/>
          <w:sz w:val="22"/>
          <w:szCs w:val="22"/>
        </w:rPr>
      </w:pPr>
      <w:r w:rsidRPr="00933534">
        <w:rPr>
          <w:b/>
          <w:sz w:val="22"/>
          <w:szCs w:val="22"/>
        </w:rPr>
        <w:t>Example of Assignment u</w:t>
      </w:r>
      <w:r w:rsidR="001248A8" w:rsidRPr="00933534">
        <w:rPr>
          <w:b/>
          <w:sz w:val="22"/>
          <w:szCs w:val="22"/>
        </w:rPr>
        <w:t xml:space="preserve">sing </w:t>
      </w:r>
      <w:r w:rsidR="008D059D" w:rsidRPr="00933534">
        <w:rPr>
          <w:b/>
          <w:sz w:val="22"/>
          <w:szCs w:val="22"/>
        </w:rPr>
        <w:t>Under Armour, Inc</w:t>
      </w:r>
      <w:r w:rsidR="001248A8" w:rsidRPr="00933534">
        <w:rPr>
          <w:b/>
          <w:sz w:val="22"/>
          <w:szCs w:val="22"/>
        </w:rPr>
        <w:t>.</w:t>
      </w:r>
    </w:p>
    <w:p w14:paraId="184141D0" w14:textId="7A837735" w:rsidR="00946C86" w:rsidRPr="00946C86" w:rsidRDefault="00946C86" w:rsidP="001248A8">
      <w:pPr>
        <w:rPr>
          <w:i/>
          <w:sz w:val="22"/>
          <w:szCs w:val="22"/>
        </w:rPr>
      </w:pPr>
      <w:r w:rsidRPr="00946C86">
        <w:rPr>
          <w:i/>
          <w:sz w:val="22"/>
          <w:szCs w:val="22"/>
        </w:rPr>
        <w:t>This example is based on the most recent Form 10-K available at the time of this writing,</w:t>
      </w:r>
      <w:r w:rsidR="00117AF0" w:rsidRPr="00117AF0">
        <w:rPr>
          <w:i/>
          <w:sz w:val="22"/>
          <w:szCs w:val="22"/>
        </w:rPr>
        <w:t xml:space="preserve"> </w:t>
      </w:r>
      <w:r w:rsidR="00117AF0" w:rsidRPr="00946C86">
        <w:rPr>
          <w:i/>
          <w:sz w:val="22"/>
          <w:szCs w:val="22"/>
        </w:rPr>
        <w:t>Under Armour’s</w:t>
      </w:r>
      <w:r w:rsidR="00117AF0">
        <w:rPr>
          <w:i/>
          <w:sz w:val="22"/>
          <w:szCs w:val="22"/>
        </w:rPr>
        <w:t xml:space="preserve"> 2015 </w:t>
      </w:r>
      <w:r w:rsidR="0010121F">
        <w:rPr>
          <w:i/>
          <w:sz w:val="22"/>
          <w:szCs w:val="22"/>
        </w:rPr>
        <w:t>Form 10-K which was</w:t>
      </w:r>
      <w:r w:rsidRPr="00946C86">
        <w:rPr>
          <w:i/>
          <w:sz w:val="22"/>
          <w:szCs w:val="22"/>
        </w:rPr>
        <w:t xml:space="preserve"> filed </w:t>
      </w:r>
      <w:r w:rsidR="00117AF0">
        <w:rPr>
          <w:i/>
          <w:sz w:val="22"/>
          <w:szCs w:val="22"/>
        </w:rPr>
        <w:t xml:space="preserve">on </w:t>
      </w:r>
      <w:r w:rsidRPr="00946C86">
        <w:rPr>
          <w:i/>
          <w:sz w:val="22"/>
          <w:szCs w:val="22"/>
        </w:rPr>
        <w:t>February 22, 2016.</w:t>
      </w:r>
    </w:p>
    <w:p w14:paraId="5DC5C7B4" w14:textId="77777777" w:rsidR="007C114D" w:rsidRDefault="007C114D" w:rsidP="007C114D">
      <w:pPr>
        <w:rPr>
          <w:sz w:val="22"/>
          <w:szCs w:val="22"/>
        </w:rPr>
      </w:pPr>
    </w:p>
    <w:p w14:paraId="078B243A" w14:textId="45F05916" w:rsidR="007C114D" w:rsidRDefault="00946C86" w:rsidP="007C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="007C114D">
        <w:rPr>
          <w:rFonts w:ascii="Times New Roman" w:hAnsi="Times New Roman" w:cs="Times New Roman"/>
          <w:sz w:val="22"/>
          <w:szCs w:val="22"/>
        </w:rPr>
        <w:t>hat is the date of the company’s most recent fiscal year end?</w:t>
      </w:r>
    </w:p>
    <w:p w14:paraId="04F448A2" w14:textId="7CA1D529" w:rsidR="001248A8" w:rsidRPr="005B3C6F" w:rsidRDefault="00946C86" w:rsidP="001248A8">
      <w:pPr>
        <w:pStyle w:val="ListParagraph"/>
        <w:ind w:left="0"/>
        <w:rPr>
          <w:rFonts w:ascii="Lucida Handwriting" w:eastAsia="Times New Roman" w:hAnsi="Lucida Handwriting" w:cs="Times New Roman"/>
          <w:bCs/>
          <w:i/>
          <w:sz w:val="22"/>
          <w:szCs w:val="22"/>
        </w:rPr>
      </w:pPr>
      <w:r w:rsidRPr="005B3C6F">
        <w:rPr>
          <w:rFonts w:ascii="Lucida Handwriting" w:hAnsi="Lucida Handwriting" w:cs="Times New Roman"/>
          <w:i/>
          <w:sz w:val="22"/>
          <w:szCs w:val="22"/>
        </w:rPr>
        <w:t xml:space="preserve">The date of Under Armour’s </w:t>
      </w:r>
      <w:r w:rsidR="001248A8" w:rsidRPr="005B3C6F">
        <w:rPr>
          <w:rFonts w:ascii="Lucida Handwriting" w:hAnsi="Lucida Handwriting" w:cs="Times New Roman"/>
          <w:i/>
          <w:sz w:val="22"/>
          <w:szCs w:val="22"/>
        </w:rPr>
        <w:t>most recent fiscal ye</w:t>
      </w:r>
      <w:r w:rsidRPr="005B3C6F">
        <w:rPr>
          <w:rFonts w:ascii="Lucida Handwriting" w:hAnsi="Lucida Handwriting" w:cs="Times New Roman"/>
          <w:i/>
          <w:sz w:val="22"/>
          <w:szCs w:val="22"/>
        </w:rPr>
        <w:t xml:space="preserve">ar end is </w:t>
      </w:r>
      <w:r w:rsidRPr="009A33AC">
        <w:rPr>
          <w:rFonts w:ascii="Lucida Handwriting" w:eastAsia="Times New Roman" w:hAnsi="Lucida Handwriting" w:cs="Times New Roman"/>
          <w:bCs/>
          <w:i/>
          <w:sz w:val="22"/>
          <w:szCs w:val="22"/>
        </w:rPr>
        <w:t>December 31, 2015</w:t>
      </w:r>
    </w:p>
    <w:p w14:paraId="688C2490" w14:textId="77777777" w:rsidR="00946C86" w:rsidRPr="00946C86" w:rsidRDefault="00946C86" w:rsidP="001248A8">
      <w:pPr>
        <w:pStyle w:val="ListParagraph"/>
        <w:ind w:left="0"/>
        <w:rPr>
          <w:rFonts w:ascii="Times New Roman" w:hAnsi="Times New Roman" w:cs="Times New Roman"/>
          <w:b/>
          <w:i/>
          <w:sz w:val="22"/>
          <w:szCs w:val="22"/>
        </w:rPr>
      </w:pPr>
    </w:p>
    <w:p w14:paraId="7FF984C1" w14:textId="77777777" w:rsidR="007C114D" w:rsidRDefault="007C114D" w:rsidP="007C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what page is the company’s balance sheet?</w:t>
      </w:r>
    </w:p>
    <w:p w14:paraId="0C353C77" w14:textId="000F9CEC" w:rsidR="001248A8" w:rsidRPr="005B3C6F" w:rsidRDefault="00946C86" w:rsidP="005B3C6F">
      <w:pPr>
        <w:pStyle w:val="ListParagraph"/>
        <w:ind w:left="0"/>
        <w:rPr>
          <w:rFonts w:ascii="Lucida Handwriting" w:hAnsi="Lucida Handwriting" w:cs="Times New Roman"/>
          <w:i/>
          <w:sz w:val="22"/>
          <w:szCs w:val="22"/>
        </w:rPr>
      </w:pPr>
      <w:r w:rsidRPr="005B3C6F">
        <w:rPr>
          <w:rFonts w:ascii="Lucida Handwriting" w:hAnsi="Lucida Handwriting" w:cs="Times New Roman"/>
          <w:i/>
          <w:sz w:val="22"/>
          <w:szCs w:val="22"/>
        </w:rPr>
        <w:t>Under Armour’s</w:t>
      </w:r>
      <w:r w:rsidR="001248A8" w:rsidRPr="005B3C6F">
        <w:rPr>
          <w:rFonts w:ascii="Lucida Handwriting" w:hAnsi="Lucida Handwriting" w:cs="Times New Roman"/>
          <w:i/>
          <w:sz w:val="22"/>
          <w:szCs w:val="22"/>
        </w:rPr>
        <w:t xml:space="preserve"> Balance Sheet </w:t>
      </w:r>
      <w:r w:rsidRPr="005B3C6F">
        <w:rPr>
          <w:rFonts w:ascii="Lucida Handwriting" w:hAnsi="Lucida Handwriting" w:cs="Times New Roman"/>
          <w:i/>
          <w:sz w:val="22"/>
          <w:szCs w:val="22"/>
        </w:rPr>
        <w:t>is on page 44</w:t>
      </w:r>
      <w:r w:rsidR="001248A8" w:rsidRPr="005B3C6F">
        <w:rPr>
          <w:rFonts w:ascii="Lucida Handwriting" w:hAnsi="Lucida Handwriting" w:cs="Times New Roman"/>
          <w:i/>
          <w:sz w:val="22"/>
          <w:szCs w:val="22"/>
        </w:rPr>
        <w:t xml:space="preserve"> of the company’s Form 10-K.</w:t>
      </w:r>
    </w:p>
    <w:p w14:paraId="74C00106" w14:textId="77777777" w:rsidR="001248A8" w:rsidRPr="001248A8" w:rsidRDefault="001248A8" w:rsidP="001248A8">
      <w:pPr>
        <w:rPr>
          <w:i/>
          <w:sz w:val="22"/>
          <w:szCs w:val="22"/>
        </w:rPr>
      </w:pPr>
    </w:p>
    <w:p w14:paraId="2266EF74" w14:textId="77777777" w:rsidR="007C114D" w:rsidRDefault="007C114D" w:rsidP="007C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much Cash (including Cash Equivalents)</w:t>
      </w:r>
      <w:r w:rsidRPr="00212F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did the company have as of the most recent fiscal year end?</w:t>
      </w:r>
    </w:p>
    <w:p w14:paraId="241E8341" w14:textId="1E2AAF1C" w:rsidR="00946C86" w:rsidRPr="005B3C6F" w:rsidRDefault="00946C86" w:rsidP="00946C86">
      <w:pPr>
        <w:pStyle w:val="ListParagraph"/>
        <w:ind w:left="0"/>
        <w:rPr>
          <w:rFonts w:ascii="Lucida Handwriting" w:hAnsi="Lucida Handwriting" w:cs="Times New Roman"/>
          <w:i/>
          <w:sz w:val="22"/>
          <w:szCs w:val="22"/>
        </w:rPr>
      </w:pPr>
      <w:r w:rsidRPr="005B3C6F">
        <w:rPr>
          <w:rFonts w:ascii="Lucida Handwriting" w:hAnsi="Lucida Handwriting" w:cs="Times New Roman"/>
          <w:i/>
          <w:sz w:val="22"/>
          <w:szCs w:val="22"/>
        </w:rPr>
        <w:t>As of December 31, 2015, Under Armour had Cash and cash equivalents</w:t>
      </w:r>
      <w:r w:rsidR="005B3C6F">
        <w:rPr>
          <w:rFonts w:ascii="Lucida Handwriting" w:hAnsi="Lucida Handwriting" w:cs="Times New Roman"/>
          <w:i/>
          <w:sz w:val="22"/>
          <w:szCs w:val="22"/>
        </w:rPr>
        <w:t xml:space="preserve"> of $129,852 thousand. </w:t>
      </w:r>
    </w:p>
    <w:p w14:paraId="0BE2871D" w14:textId="668C896E" w:rsidR="00946C86" w:rsidRPr="00946C86" w:rsidRDefault="005B3C6F" w:rsidP="00946C86">
      <w:pPr>
        <w:pStyle w:val="ListParagraph"/>
        <w:ind w:left="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Alternative: </w:t>
      </w:r>
      <w:r w:rsidR="00946C86" w:rsidRPr="00946C86">
        <w:rPr>
          <w:rFonts w:ascii="Times New Roman" w:hAnsi="Times New Roman" w:cs="Times New Roman"/>
          <w:i/>
          <w:sz w:val="22"/>
          <w:szCs w:val="22"/>
        </w:rPr>
        <w:t>As of December 31, 2015, Under Armour had Cash and cash equivalents of $129.9 million.</w:t>
      </w:r>
    </w:p>
    <w:p w14:paraId="5FF02C4A" w14:textId="77777777" w:rsidR="00946C86" w:rsidRDefault="00946C86" w:rsidP="00946C8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61FCFB0C" w14:textId="77777777" w:rsidR="007C114D" w:rsidRDefault="007C114D" w:rsidP="007C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were the company’s total assets as of the most recent fiscal year end?</w:t>
      </w:r>
    </w:p>
    <w:p w14:paraId="557D29ED" w14:textId="220A0AE1" w:rsidR="00946C86" w:rsidRPr="005B3C6F" w:rsidRDefault="00946C86" w:rsidP="005B3C6F">
      <w:pPr>
        <w:pStyle w:val="ListParagraph"/>
        <w:ind w:left="0"/>
        <w:rPr>
          <w:rFonts w:ascii="Lucida Handwriting" w:hAnsi="Lucida Handwriting" w:cs="Times New Roman"/>
          <w:i/>
          <w:sz w:val="22"/>
          <w:szCs w:val="22"/>
        </w:rPr>
      </w:pPr>
      <w:r w:rsidRPr="005B3C6F">
        <w:rPr>
          <w:rFonts w:ascii="Lucida Handwriting" w:hAnsi="Lucida Handwriting" w:cs="Times New Roman"/>
          <w:i/>
          <w:sz w:val="22"/>
          <w:szCs w:val="22"/>
        </w:rPr>
        <w:t>As of December 31, 2015, Under Armour had Total Assets of $2,868,900 thousand.</w:t>
      </w:r>
      <w:r w:rsidR="005B3C6F">
        <w:rPr>
          <w:rFonts w:ascii="Lucida Handwriting" w:hAnsi="Lucida Handwriting" w:cs="Times New Roman"/>
          <w:i/>
          <w:sz w:val="22"/>
          <w:szCs w:val="22"/>
        </w:rPr>
        <w:t xml:space="preserve"> </w:t>
      </w:r>
    </w:p>
    <w:p w14:paraId="3D31566C" w14:textId="765019B9" w:rsidR="00946C86" w:rsidRDefault="005B3C6F" w:rsidP="00946C8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Alternative: </w:t>
      </w:r>
      <w:r w:rsidR="00946C86" w:rsidRPr="00946C86">
        <w:rPr>
          <w:i/>
          <w:sz w:val="22"/>
          <w:szCs w:val="22"/>
        </w:rPr>
        <w:t xml:space="preserve">As of December 31, 2015, Under Armour had </w:t>
      </w:r>
      <w:r w:rsidR="00946C86">
        <w:rPr>
          <w:i/>
          <w:sz w:val="22"/>
          <w:szCs w:val="22"/>
        </w:rPr>
        <w:t>Total Assets</w:t>
      </w:r>
      <w:r w:rsidR="00946C86" w:rsidRPr="00946C86">
        <w:rPr>
          <w:i/>
          <w:sz w:val="22"/>
          <w:szCs w:val="22"/>
        </w:rPr>
        <w:t xml:space="preserve"> o</w:t>
      </w:r>
      <w:r w:rsidR="00946C86">
        <w:rPr>
          <w:i/>
          <w:sz w:val="22"/>
          <w:szCs w:val="22"/>
        </w:rPr>
        <w:t>f $2.9 billion</w:t>
      </w:r>
      <w:r w:rsidR="00946C86" w:rsidRPr="00946C86">
        <w:rPr>
          <w:i/>
          <w:sz w:val="22"/>
          <w:szCs w:val="22"/>
        </w:rPr>
        <w:t>.</w:t>
      </w:r>
    </w:p>
    <w:p w14:paraId="10D75C58" w14:textId="77777777" w:rsidR="00946C86" w:rsidRPr="00946C86" w:rsidRDefault="00946C86" w:rsidP="00946C86">
      <w:pPr>
        <w:rPr>
          <w:sz w:val="22"/>
          <w:szCs w:val="22"/>
        </w:rPr>
      </w:pPr>
    </w:p>
    <w:p w14:paraId="4137E742" w14:textId="77777777" w:rsidR="007C114D" w:rsidRDefault="007C114D" w:rsidP="007C1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the company’s accounting equation for each of the most recent two fiscal years by filling in dollar amounts. Assets = Liabilities + Equity</w:t>
      </w:r>
    </w:p>
    <w:p w14:paraId="30FE6433" w14:textId="77777777" w:rsidR="00946C86" w:rsidRDefault="00946C86" w:rsidP="00946C8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800"/>
        <w:gridCol w:w="1977"/>
        <w:gridCol w:w="2338"/>
      </w:tblGrid>
      <w:tr w:rsidR="005B3C6F" w:rsidRPr="005B3C6F" w14:paraId="753B3CA9" w14:textId="77777777" w:rsidTr="005B3C6F">
        <w:tc>
          <w:tcPr>
            <w:tcW w:w="3235" w:type="dxa"/>
          </w:tcPr>
          <w:p w14:paraId="60E3553C" w14:textId="77777777" w:rsidR="00946C86" w:rsidRPr="005B3C6F" w:rsidRDefault="00946C86" w:rsidP="00AF3746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C49DB55" w14:textId="548E53A6" w:rsidR="00946C86" w:rsidRPr="005B3C6F" w:rsidRDefault="00946C86" w:rsidP="00AF3746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hAnsi="Lucida Handwriting" w:cs="Times New Roman"/>
                <w:sz w:val="20"/>
                <w:szCs w:val="20"/>
              </w:rPr>
              <w:t>ASSETS =</w:t>
            </w:r>
          </w:p>
        </w:tc>
        <w:tc>
          <w:tcPr>
            <w:tcW w:w="1977" w:type="dxa"/>
          </w:tcPr>
          <w:p w14:paraId="086FFB03" w14:textId="797C5493" w:rsidR="00946C86" w:rsidRPr="005B3C6F" w:rsidRDefault="002E681A" w:rsidP="00AF3746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hAnsi="Lucida Handwriting" w:cs="Times New Roman"/>
                <w:sz w:val="20"/>
                <w:szCs w:val="20"/>
              </w:rPr>
              <w:t>LIABILITIES +</w:t>
            </w:r>
          </w:p>
        </w:tc>
        <w:tc>
          <w:tcPr>
            <w:tcW w:w="2338" w:type="dxa"/>
          </w:tcPr>
          <w:p w14:paraId="4AFD5F3B" w14:textId="31C575E0" w:rsidR="00946C86" w:rsidRPr="005B3C6F" w:rsidRDefault="002E681A" w:rsidP="00AF3746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hAnsi="Lucida Handwriting" w:cs="Times New Roman"/>
                <w:sz w:val="20"/>
                <w:szCs w:val="20"/>
              </w:rPr>
              <w:t>EQUITY</w:t>
            </w:r>
          </w:p>
        </w:tc>
      </w:tr>
      <w:tr w:rsidR="005B3C6F" w:rsidRPr="005B3C6F" w14:paraId="09750B6B" w14:textId="77777777" w:rsidTr="005B3C6F">
        <w:tc>
          <w:tcPr>
            <w:tcW w:w="3235" w:type="dxa"/>
          </w:tcPr>
          <w:p w14:paraId="063A8337" w14:textId="77777777" w:rsidR="002E681A" w:rsidRPr="005B3C6F" w:rsidRDefault="002E681A" w:rsidP="00946C86">
            <w:pPr>
              <w:pStyle w:val="ListParagraph"/>
              <w:ind w:left="0"/>
              <w:rPr>
                <w:rFonts w:ascii="Lucida Handwriting" w:hAnsi="Lucida Handwriting" w:cs="Times New Roman"/>
                <w:sz w:val="20"/>
                <w:szCs w:val="20"/>
              </w:rPr>
            </w:pPr>
          </w:p>
        </w:tc>
        <w:tc>
          <w:tcPr>
            <w:tcW w:w="6115" w:type="dxa"/>
            <w:gridSpan w:val="3"/>
          </w:tcPr>
          <w:p w14:paraId="128EC054" w14:textId="7DCC16A6" w:rsidR="002E681A" w:rsidRPr="005B3C6F" w:rsidRDefault="002E681A" w:rsidP="002E681A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i/>
                <w:sz w:val="20"/>
                <w:szCs w:val="20"/>
              </w:rPr>
            </w:pPr>
            <w:r w:rsidRPr="005B3C6F">
              <w:rPr>
                <w:rFonts w:ascii="Lucida Handwriting" w:hAnsi="Lucida Handwriting" w:cs="Times New Roman"/>
                <w:i/>
                <w:sz w:val="20"/>
                <w:szCs w:val="20"/>
              </w:rPr>
              <w:t>(Dollars in Thousands)</w:t>
            </w:r>
          </w:p>
        </w:tc>
      </w:tr>
      <w:tr w:rsidR="005B3C6F" w:rsidRPr="005B3C6F" w14:paraId="4EBF11A0" w14:textId="77777777" w:rsidTr="005B3C6F">
        <w:tc>
          <w:tcPr>
            <w:tcW w:w="3235" w:type="dxa"/>
          </w:tcPr>
          <w:p w14:paraId="4663D05F" w14:textId="751460E9" w:rsidR="00946C86" w:rsidRPr="005B3C6F" w:rsidRDefault="002E681A" w:rsidP="00946C86">
            <w:pPr>
              <w:pStyle w:val="ListParagraph"/>
              <w:ind w:left="0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hAnsi="Lucida Handwriting" w:cs="Times New Roman"/>
                <w:sz w:val="20"/>
                <w:szCs w:val="20"/>
              </w:rPr>
              <w:t>As of December 31, 2015</w:t>
            </w:r>
          </w:p>
          <w:p w14:paraId="7C93249D" w14:textId="7F47F08E" w:rsidR="002E681A" w:rsidRPr="005B3C6F" w:rsidRDefault="002E681A" w:rsidP="00946C86">
            <w:pPr>
              <w:pStyle w:val="ListParagraph"/>
              <w:ind w:left="0"/>
              <w:rPr>
                <w:rFonts w:ascii="Lucida Handwriting" w:hAnsi="Lucida Handwriting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3F099BD" w14:textId="345D17DE" w:rsidR="00946C86" w:rsidRPr="005B3C6F" w:rsidRDefault="002E681A" w:rsidP="002E681A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$ </w:t>
            </w:r>
            <w:r w:rsidRPr="009A33AC">
              <w:rPr>
                <w:rFonts w:ascii="Lucida Handwriting" w:eastAsia="Times New Roman" w:hAnsi="Lucida Handwriting" w:cs="Times New Roman"/>
                <w:sz w:val="20"/>
                <w:szCs w:val="20"/>
              </w:rPr>
              <w:t>2,868,900</w:t>
            </w:r>
            <w:r w:rsidR="004B5E8A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 =</w:t>
            </w:r>
          </w:p>
        </w:tc>
        <w:tc>
          <w:tcPr>
            <w:tcW w:w="1977" w:type="dxa"/>
          </w:tcPr>
          <w:p w14:paraId="3046C77F" w14:textId="726980AE" w:rsidR="00946C86" w:rsidRPr="005B3C6F" w:rsidRDefault="002E681A" w:rsidP="002E681A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$ </w:t>
            </w:r>
            <w:r w:rsidRPr="009A33AC">
              <w:rPr>
                <w:rFonts w:ascii="Lucida Handwriting" w:eastAsia="Times New Roman" w:hAnsi="Lucida Handwriting" w:cs="Times New Roman"/>
                <w:sz w:val="20"/>
                <w:szCs w:val="20"/>
              </w:rPr>
              <w:t>1,200,678</w:t>
            </w:r>
            <w:r w:rsidR="004B5E8A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 +</w:t>
            </w:r>
          </w:p>
        </w:tc>
        <w:tc>
          <w:tcPr>
            <w:tcW w:w="2338" w:type="dxa"/>
          </w:tcPr>
          <w:p w14:paraId="266012D4" w14:textId="4A1C9FEA" w:rsidR="00946C86" w:rsidRPr="005B3C6F" w:rsidRDefault="002E681A" w:rsidP="002E681A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$ </w:t>
            </w:r>
            <w:r w:rsidRPr="009A33AC">
              <w:rPr>
                <w:rFonts w:ascii="Lucida Handwriting" w:eastAsia="Times New Roman" w:hAnsi="Lucida Handwriting" w:cs="Times New Roman"/>
                <w:sz w:val="20"/>
                <w:szCs w:val="20"/>
              </w:rPr>
              <w:t>1,668,222</w:t>
            </w:r>
          </w:p>
        </w:tc>
      </w:tr>
      <w:tr w:rsidR="005B3C6F" w:rsidRPr="005B3C6F" w14:paraId="5A5A96C1" w14:textId="77777777" w:rsidTr="005B3C6F">
        <w:tc>
          <w:tcPr>
            <w:tcW w:w="3235" w:type="dxa"/>
          </w:tcPr>
          <w:p w14:paraId="0CB41DEB" w14:textId="77777777" w:rsidR="002E681A" w:rsidRPr="005B3C6F" w:rsidRDefault="002E681A" w:rsidP="00946C86">
            <w:pPr>
              <w:pStyle w:val="ListParagraph"/>
              <w:ind w:left="0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hAnsi="Lucida Handwriting" w:cs="Times New Roman"/>
                <w:sz w:val="20"/>
                <w:szCs w:val="20"/>
              </w:rPr>
              <w:t>As of December 31, 2014</w:t>
            </w:r>
          </w:p>
          <w:p w14:paraId="13141353" w14:textId="29D6B100" w:rsidR="002E681A" w:rsidRPr="005B3C6F" w:rsidRDefault="002E681A" w:rsidP="00946C86">
            <w:pPr>
              <w:pStyle w:val="ListParagraph"/>
              <w:ind w:left="0"/>
              <w:rPr>
                <w:rFonts w:ascii="Lucida Handwriting" w:hAnsi="Lucida Handwriting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43615B9" w14:textId="547A75AA" w:rsidR="002E681A" w:rsidRPr="005B3C6F" w:rsidRDefault="002E681A" w:rsidP="002E681A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$ </w:t>
            </w:r>
            <w:r w:rsidRPr="009A33AC">
              <w:rPr>
                <w:rFonts w:ascii="Lucida Handwriting" w:eastAsia="Times New Roman" w:hAnsi="Lucida Handwriting" w:cs="Times New Roman"/>
                <w:sz w:val="20"/>
                <w:szCs w:val="20"/>
              </w:rPr>
              <w:t>2,095,083</w:t>
            </w:r>
            <w:r w:rsidR="004B5E8A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 = </w:t>
            </w:r>
          </w:p>
        </w:tc>
        <w:tc>
          <w:tcPr>
            <w:tcW w:w="1977" w:type="dxa"/>
          </w:tcPr>
          <w:p w14:paraId="29EC0106" w14:textId="7900EEAB" w:rsidR="002E681A" w:rsidRPr="005B3C6F" w:rsidRDefault="002E681A" w:rsidP="002E681A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$ </w:t>
            </w:r>
            <w:r w:rsidRPr="009A33AC">
              <w:rPr>
                <w:rFonts w:ascii="Lucida Handwriting" w:eastAsia="Times New Roman" w:hAnsi="Lucida Handwriting" w:cs="Times New Roman"/>
                <w:sz w:val="20"/>
                <w:szCs w:val="20"/>
              </w:rPr>
              <w:t>744,783</w:t>
            </w:r>
            <w:r w:rsidR="004B5E8A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 +</w:t>
            </w:r>
          </w:p>
        </w:tc>
        <w:tc>
          <w:tcPr>
            <w:tcW w:w="2338" w:type="dxa"/>
          </w:tcPr>
          <w:p w14:paraId="5DEFFA1A" w14:textId="472FB809" w:rsidR="002E681A" w:rsidRPr="005B3C6F" w:rsidRDefault="002E681A" w:rsidP="002E681A">
            <w:pPr>
              <w:pStyle w:val="ListParagraph"/>
              <w:ind w:left="0"/>
              <w:jc w:val="center"/>
              <w:rPr>
                <w:rFonts w:ascii="Lucida Handwriting" w:hAnsi="Lucida Handwriting" w:cs="Times New Roman"/>
                <w:sz w:val="20"/>
                <w:szCs w:val="20"/>
              </w:rPr>
            </w:pPr>
            <w:r w:rsidRPr="005B3C6F">
              <w:rPr>
                <w:rFonts w:ascii="Lucida Handwriting" w:eastAsia="Times New Roman" w:hAnsi="Lucida Handwriting" w:cs="Times New Roman"/>
                <w:sz w:val="20"/>
                <w:szCs w:val="20"/>
              </w:rPr>
              <w:t xml:space="preserve">$ </w:t>
            </w:r>
            <w:r w:rsidRPr="009A33AC">
              <w:rPr>
                <w:rFonts w:ascii="Lucida Handwriting" w:eastAsia="Times New Roman" w:hAnsi="Lucida Handwriting" w:cs="Times New Roman"/>
                <w:sz w:val="20"/>
                <w:szCs w:val="20"/>
              </w:rPr>
              <w:t>1,350,300</w:t>
            </w:r>
          </w:p>
        </w:tc>
      </w:tr>
    </w:tbl>
    <w:p w14:paraId="2A56D644" w14:textId="77777777" w:rsidR="00946C86" w:rsidRPr="00212F40" w:rsidRDefault="00946C86" w:rsidP="00946C8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25DFF01D" w14:textId="77777777" w:rsidR="009A33AC" w:rsidRDefault="009A33AC">
      <w:pPr>
        <w:rPr>
          <w:sz w:val="22"/>
          <w:szCs w:val="22"/>
        </w:rPr>
        <w:sectPr w:rsidR="009A33AC" w:rsidSect="009E289B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4A6DCD" w14:textId="67B31890" w:rsidR="009A33AC" w:rsidRPr="009A33AC" w:rsidRDefault="009A33AC" w:rsidP="009A33AC">
      <w:pPr>
        <w:spacing w:line="240" w:lineRule="atLeast"/>
        <w:jc w:val="center"/>
        <w:rPr>
          <w:rFonts w:eastAsia="Times New Roman"/>
          <w:color w:val="000000"/>
          <w:sz w:val="20"/>
          <w:szCs w:val="20"/>
        </w:rPr>
      </w:pPr>
      <w:r w:rsidRPr="009A33AC">
        <w:rPr>
          <w:rFonts w:eastAsia="Times New Roman"/>
          <w:b/>
          <w:bCs/>
          <w:color w:val="000000"/>
          <w:sz w:val="20"/>
          <w:szCs w:val="20"/>
        </w:rPr>
        <w:t>Under Armour, Inc. and Subsidiaries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9A33AC">
        <w:rPr>
          <w:rFonts w:eastAsia="Times New Roman"/>
          <w:b/>
          <w:bCs/>
          <w:color w:val="000000"/>
          <w:sz w:val="20"/>
          <w:szCs w:val="20"/>
        </w:rPr>
        <w:t>Consolidated Balance Sheets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9A33AC">
        <w:rPr>
          <w:rFonts w:eastAsia="Times New Roman"/>
          <w:bCs/>
          <w:i/>
          <w:color w:val="000000"/>
          <w:sz w:val="20"/>
          <w:szCs w:val="20"/>
        </w:rPr>
        <w:t>(In thousands, except share data)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0"/>
        <w:gridCol w:w="129"/>
        <w:gridCol w:w="1425"/>
        <w:gridCol w:w="130"/>
        <w:gridCol w:w="130"/>
        <w:gridCol w:w="130"/>
        <w:gridCol w:w="1426"/>
        <w:gridCol w:w="130"/>
      </w:tblGrid>
      <w:tr w:rsidR="009A33AC" w:rsidRPr="009A33AC" w14:paraId="6FDC265B" w14:textId="77777777" w:rsidTr="002E681A">
        <w:trPr>
          <w:trHeight w:val="20"/>
        </w:trPr>
        <w:tc>
          <w:tcPr>
            <w:tcW w:w="3650" w:type="pct"/>
            <w:tcBorders>
              <w:top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E3896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0" w:type="pct"/>
            <w:gridSpan w:val="3"/>
            <w:tcBorders>
              <w:top w:val="single" w:sz="8" w:space="0" w:color="auto"/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1B1574" w14:textId="77777777" w:rsidR="009A33AC" w:rsidRPr="009A33AC" w:rsidRDefault="009A33AC" w:rsidP="009A33AC">
            <w:pPr>
              <w:jc w:val="center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b/>
                <w:bCs/>
                <w:sz w:val="16"/>
                <w:szCs w:val="16"/>
              </w:rPr>
              <w:t>December 31, 2015</w:t>
            </w:r>
          </w:p>
        </w:tc>
        <w:tc>
          <w:tcPr>
            <w:tcW w:w="50" w:type="pct"/>
            <w:tcBorders>
              <w:top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12BF3D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0" w:type="pct"/>
            <w:gridSpan w:val="3"/>
            <w:tcBorders>
              <w:top w:val="single" w:sz="8" w:space="0" w:color="auto"/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3F2E34" w14:textId="77777777" w:rsidR="009A33AC" w:rsidRPr="009A33AC" w:rsidRDefault="009A33AC" w:rsidP="009A33AC">
            <w:pPr>
              <w:jc w:val="center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b/>
                <w:bCs/>
                <w:sz w:val="16"/>
                <w:szCs w:val="16"/>
              </w:rPr>
              <w:t>December 31, 2014</w:t>
            </w:r>
          </w:p>
        </w:tc>
      </w:tr>
      <w:tr w:rsidR="009A33AC" w:rsidRPr="009A33AC" w14:paraId="38AF4D87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85B0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b/>
                <w:bCs/>
                <w:sz w:val="16"/>
                <w:szCs w:val="16"/>
              </w:rPr>
              <w:t>Assets</w:t>
            </w:r>
          </w:p>
        </w:tc>
        <w:tc>
          <w:tcPr>
            <w:tcW w:w="650" w:type="pct"/>
            <w:gridSpan w:val="3"/>
            <w:tcBorders>
              <w:top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A87F60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F63B1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0" w:type="pct"/>
            <w:gridSpan w:val="3"/>
            <w:tcBorders>
              <w:top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D45C54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</w:tr>
      <w:tr w:rsidR="009A33AC" w:rsidRPr="009A33AC" w14:paraId="6172CACB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E081D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Current assets</w:t>
            </w:r>
          </w:p>
        </w:tc>
        <w:tc>
          <w:tcPr>
            <w:tcW w:w="650" w:type="pct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ECA12BB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93D73B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0" w:type="pct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8DF16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</w:tr>
      <w:tr w:rsidR="002E681A" w:rsidRPr="009A33AC" w14:paraId="4D1AB9C2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0BDAA79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Cash and cash equivalents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5E5BF72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shd w:val="clear" w:color="auto" w:fill="CCEE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925DFA7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129,852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0D01B18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047A2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7CF42D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shd w:val="clear" w:color="auto" w:fill="CCEE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4545E6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593,175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1D9736B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590B0810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155538E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Accounts receivable, net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175695D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433,638</w:t>
            </w:r>
          </w:p>
        </w:tc>
        <w:tc>
          <w:tcPr>
            <w:tcW w:w="50" w:type="pct"/>
            <w:vAlign w:val="bottom"/>
            <w:hideMark/>
          </w:tcPr>
          <w:p w14:paraId="1057CE0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87DA0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5DC5258F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279,835</w:t>
            </w:r>
          </w:p>
        </w:tc>
        <w:tc>
          <w:tcPr>
            <w:tcW w:w="50" w:type="pct"/>
            <w:vAlign w:val="bottom"/>
            <w:hideMark/>
          </w:tcPr>
          <w:p w14:paraId="6F3ED8AB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2E681A" w:rsidRPr="009A33AC" w14:paraId="5EBAB535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1741360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Inventories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3BC2EA8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783,031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3FAB650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4EA0CB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3C7B65E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536,714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65007CA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7E1130D1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3BC6A85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Prepaid expenses and other current assets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4F34F5A2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152,242</w:t>
            </w:r>
          </w:p>
        </w:tc>
        <w:tc>
          <w:tcPr>
            <w:tcW w:w="50" w:type="pct"/>
            <w:vAlign w:val="bottom"/>
            <w:hideMark/>
          </w:tcPr>
          <w:p w14:paraId="3DC0347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AAD484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1A78067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87,177</w:t>
            </w:r>
          </w:p>
        </w:tc>
        <w:tc>
          <w:tcPr>
            <w:tcW w:w="50" w:type="pct"/>
            <w:vAlign w:val="bottom"/>
            <w:hideMark/>
          </w:tcPr>
          <w:p w14:paraId="71F5CEF3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2E681A" w:rsidRPr="009A33AC" w14:paraId="7224DA26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748ABB8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Deferred income taxes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949491F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—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vAlign w:val="bottom"/>
            <w:hideMark/>
          </w:tcPr>
          <w:p w14:paraId="5B86CF5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DCD862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30A0C44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52,498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vAlign w:val="bottom"/>
            <w:hideMark/>
          </w:tcPr>
          <w:p w14:paraId="2296115D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349B9FA4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1260" w:type="dxa"/>
              <w:bottom w:w="30" w:type="dxa"/>
              <w:right w:w="30" w:type="dxa"/>
            </w:tcMar>
            <w:hideMark/>
          </w:tcPr>
          <w:p w14:paraId="0AD1DAF2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Total current assets</w:t>
            </w:r>
          </w:p>
        </w:tc>
        <w:tc>
          <w:tcPr>
            <w:tcW w:w="600" w:type="pct"/>
            <w:gridSpan w:val="2"/>
            <w:tcBorders>
              <w:top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2FC9223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1,498,763</w:t>
            </w:r>
          </w:p>
        </w:tc>
        <w:tc>
          <w:tcPr>
            <w:tcW w:w="50" w:type="pct"/>
            <w:tcBorders>
              <w:top w:val="single" w:sz="6" w:space="0" w:color="000000"/>
            </w:tcBorders>
            <w:vAlign w:val="bottom"/>
            <w:hideMark/>
          </w:tcPr>
          <w:p w14:paraId="5231BF6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892AE2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top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E3F1716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1,549,399</w:t>
            </w:r>
          </w:p>
        </w:tc>
        <w:tc>
          <w:tcPr>
            <w:tcW w:w="50" w:type="pct"/>
            <w:tcBorders>
              <w:top w:val="single" w:sz="6" w:space="0" w:color="000000"/>
            </w:tcBorders>
            <w:vAlign w:val="bottom"/>
            <w:hideMark/>
          </w:tcPr>
          <w:p w14:paraId="556591E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2E681A" w:rsidRPr="009A33AC" w14:paraId="5A6DD935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240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Property and equipment, net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579BFFE1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538,531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16B44FE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6B143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CF4132C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305,564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0A903C8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52F4598B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2B6D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Goodwill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B9E6314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585,181</w:t>
            </w:r>
          </w:p>
        </w:tc>
        <w:tc>
          <w:tcPr>
            <w:tcW w:w="50" w:type="pct"/>
            <w:vAlign w:val="bottom"/>
            <w:hideMark/>
          </w:tcPr>
          <w:p w14:paraId="564BB67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A459B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9126A78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123,256</w:t>
            </w:r>
          </w:p>
        </w:tc>
        <w:tc>
          <w:tcPr>
            <w:tcW w:w="50" w:type="pct"/>
            <w:vAlign w:val="bottom"/>
            <w:hideMark/>
          </w:tcPr>
          <w:p w14:paraId="228B3EC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2E681A" w:rsidRPr="009A33AC" w14:paraId="352A4426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C100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Intangible assets, net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69E960E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75,686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6CEF90EB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D97858D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8EB4790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26,230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75255B3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788C261C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52B9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Deferred income taxes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5CE51145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92,157</w:t>
            </w:r>
          </w:p>
        </w:tc>
        <w:tc>
          <w:tcPr>
            <w:tcW w:w="50" w:type="pct"/>
            <w:vAlign w:val="bottom"/>
            <w:hideMark/>
          </w:tcPr>
          <w:p w14:paraId="5AD47BB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49B6B7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977308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33,570</w:t>
            </w:r>
          </w:p>
        </w:tc>
        <w:tc>
          <w:tcPr>
            <w:tcW w:w="50" w:type="pct"/>
            <w:vAlign w:val="bottom"/>
            <w:hideMark/>
          </w:tcPr>
          <w:p w14:paraId="6C8D01D4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2E681A" w:rsidRPr="009A33AC" w14:paraId="19410778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F095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Other long term assets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737251A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78,582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vAlign w:val="bottom"/>
            <w:hideMark/>
          </w:tcPr>
          <w:p w14:paraId="19973B0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9BF3FD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1901414D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57,064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vAlign w:val="bottom"/>
            <w:hideMark/>
          </w:tcPr>
          <w:p w14:paraId="6032D5CD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77DEDECD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1260" w:type="dxa"/>
              <w:bottom w:w="30" w:type="dxa"/>
              <w:right w:w="30" w:type="dxa"/>
            </w:tcMar>
            <w:hideMark/>
          </w:tcPr>
          <w:p w14:paraId="6EC852F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Total assets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1622EB4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tcBorders>
              <w:bottom w:val="doub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A8C2DB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2,868,900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vAlign w:val="bottom"/>
            <w:hideMark/>
          </w:tcPr>
          <w:p w14:paraId="69483102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8D17A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CD25503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tcBorders>
              <w:bottom w:val="doub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143605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2,095,083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vAlign w:val="bottom"/>
            <w:hideMark/>
          </w:tcPr>
          <w:p w14:paraId="0E69473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5FC267FB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6510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b/>
                <w:bCs/>
                <w:sz w:val="16"/>
                <w:szCs w:val="16"/>
              </w:rPr>
              <w:t>Liabilities and Stockholders’ Equity</w:t>
            </w:r>
          </w:p>
        </w:tc>
        <w:tc>
          <w:tcPr>
            <w:tcW w:w="650" w:type="pct"/>
            <w:gridSpan w:val="3"/>
            <w:tcBorders>
              <w:top w:val="doub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F2FBC22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51337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0" w:type="pct"/>
            <w:gridSpan w:val="3"/>
            <w:tcBorders>
              <w:top w:val="doub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30A1F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</w:tr>
      <w:tr w:rsidR="009A33AC" w:rsidRPr="009A33AC" w14:paraId="7F89CE6B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BED9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Current liabilities</w:t>
            </w:r>
          </w:p>
        </w:tc>
        <w:tc>
          <w:tcPr>
            <w:tcW w:w="650" w:type="pct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757DF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86D24B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0" w:type="pct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E2794F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</w:tr>
      <w:tr w:rsidR="002E681A" w:rsidRPr="009A33AC" w14:paraId="0F6FB372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64C0DC3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Accounts payable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55CD729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shd w:val="clear" w:color="auto" w:fill="CCEE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B0E1D1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200,460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2DD3F12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6D76A64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119568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shd w:val="clear" w:color="auto" w:fill="CCEE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18FE2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210,432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0DDA6C0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7335F892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4B43E0E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Accrued expenses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617B226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192,935</w:t>
            </w:r>
          </w:p>
        </w:tc>
        <w:tc>
          <w:tcPr>
            <w:tcW w:w="50" w:type="pct"/>
            <w:vAlign w:val="bottom"/>
            <w:hideMark/>
          </w:tcPr>
          <w:p w14:paraId="561A0012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E81891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A74BC9B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147,681</w:t>
            </w:r>
          </w:p>
        </w:tc>
        <w:tc>
          <w:tcPr>
            <w:tcW w:w="50" w:type="pct"/>
            <w:vAlign w:val="bottom"/>
            <w:hideMark/>
          </w:tcPr>
          <w:p w14:paraId="3B742ED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3E1E0FD5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788DECA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Current maturities of long term debt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7BCA6FE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42,000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1B5F66D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FA319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5A4D0049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28,951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5710E49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2755D587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225220D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Other current liabilities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43C2B65E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43,415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vAlign w:val="bottom"/>
            <w:hideMark/>
          </w:tcPr>
          <w:p w14:paraId="1FDAFAF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DA556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90C414B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34,563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vAlign w:val="bottom"/>
            <w:hideMark/>
          </w:tcPr>
          <w:p w14:paraId="3631960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0F61A156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1260" w:type="dxa"/>
              <w:bottom w:w="30" w:type="dxa"/>
              <w:right w:w="30" w:type="dxa"/>
            </w:tcMar>
            <w:hideMark/>
          </w:tcPr>
          <w:p w14:paraId="22ED51F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Total current liabilities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56F4EB9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478,810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1A2BD3B2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E6507E4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24EC8075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421,627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2008DF0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17C8B273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708C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Long term debt, net of current maturities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4989E67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352,000</w:t>
            </w:r>
          </w:p>
        </w:tc>
        <w:tc>
          <w:tcPr>
            <w:tcW w:w="50" w:type="pct"/>
            <w:vAlign w:val="bottom"/>
            <w:hideMark/>
          </w:tcPr>
          <w:p w14:paraId="6E017C4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A0AA09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14BF9C32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255,250</w:t>
            </w:r>
          </w:p>
        </w:tc>
        <w:tc>
          <w:tcPr>
            <w:tcW w:w="50" w:type="pct"/>
            <w:vAlign w:val="bottom"/>
            <w:hideMark/>
          </w:tcPr>
          <w:p w14:paraId="15D7EDC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2DD88719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29523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Revolving credit facility, long term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BD00B67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275,000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47521DE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52C6B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69E4E78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—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62353253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5D66A2D6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3A7F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Other long term liabilities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B0F9F6B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94,868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vAlign w:val="bottom"/>
            <w:hideMark/>
          </w:tcPr>
          <w:p w14:paraId="2163D34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ACBA3D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3671642B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67,906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vAlign w:val="bottom"/>
            <w:hideMark/>
          </w:tcPr>
          <w:p w14:paraId="371C8D54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6FCB628F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1260" w:type="dxa"/>
              <w:bottom w:w="30" w:type="dxa"/>
              <w:right w:w="30" w:type="dxa"/>
            </w:tcMar>
            <w:hideMark/>
          </w:tcPr>
          <w:p w14:paraId="4581C4FB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Total liabilities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1E6EB7D6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1,200,678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vAlign w:val="bottom"/>
            <w:hideMark/>
          </w:tcPr>
          <w:p w14:paraId="188F60BD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F7EFDE3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55DED564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744,783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vAlign w:val="bottom"/>
            <w:hideMark/>
          </w:tcPr>
          <w:p w14:paraId="60AD34B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20801F24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0F63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Commitments and contingencies (see Note 7)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1C4390C0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vAlign w:val="bottom"/>
            <w:hideMark/>
          </w:tcPr>
          <w:p w14:paraId="6714E2A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46FBE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93A9658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vAlign w:val="bottom"/>
            <w:hideMark/>
          </w:tcPr>
          <w:p w14:paraId="07A6AE7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51CCCB29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770FB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Stockholders’ equity</w:t>
            </w:r>
          </w:p>
        </w:tc>
        <w:tc>
          <w:tcPr>
            <w:tcW w:w="650" w:type="pct"/>
            <w:gridSpan w:val="3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FF6434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7F921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0" w:type="pct"/>
            <w:gridSpan w:val="3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148F5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</w:tr>
      <w:tr w:rsidR="009A33AC" w:rsidRPr="009A33AC" w14:paraId="0FD2119E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389ABEB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Class A Common Stock, $0.0003 1/3 par value; 400,000,000 shares authorized as of December 31, 2015 and 2014; 181,646,468 shares issued and outstanding as of December 31, 2015 and 177,295,988 shares issued and outstanding as of December 31, 2014.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2393054A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61</w:t>
            </w:r>
          </w:p>
        </w:tc>
        <w:tc>
          <w:tcPr>
            <w:tcW w:w="50" w:type="pct"/>
            <w:vAlign w:val="bottom"/>
            <w:hideMark/>
          </w:tcPr>
          <w:p w14:paraId="5A3EB21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41E2E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24AAC8FB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59</w:t>
            </w:r>
          </w:p>
        </w:tc>
        <w:tc>
          <w:tcPr>
            <w:tcW w:w="50" w:type="pct"/>
            <w:vAlign w:val="bottom"/>
            <w:hideMark/>
          </w:tcPr>
          <w:p w14:paraId="46ED11D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5E933AA6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08FA89D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Class B Convertible Common Stock, $0.0003 1/3 par value; 34,450,000 shares authorized, issued and outstanding as of December 31, 2015 and 36,600,000 shares authorized, issued and outstanding as of December 31, 2014.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E866309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5491FBA7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70160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A09D4A7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362FB082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0E52327E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420" w:type="dxa"/>
              <w:bottom w:w="30" w:type="dxa"/>
              <w:right w:w="30" w:type="dxa"/>
            </w:tcMar>
            <w:hideMark/>
          </w:tcPr>
          <w:p w14:paraId="513DE0D3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Class C Common Stock, $0.0003 1/3 par value; 400,000,000 shares authorized as of December 31, 2015; 0 shares issued and outstanding as of December 31, 2015.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4DE6D56B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—</w:t>
            </w:r>
          </w:p>
        </w:tc>
        <w:tc>
          <w:tcPr>
            <w:tcW w:w="50" w:type="pct"/>
            <w:vAlign w:val="bottom"/>
            <w:hideMark/>
          </w:tcPr>
          <w:p w14:paraId="2B9650C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A4984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5730DC0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—</w:t>
            </w:r>
          </w:p>
        </w:tc>
        <w:tc>
          <w:tcPr>
            <w:tcW w:w="50" w:type="pct"/>
            <w:vAlign w:val="bottom"/>
            <w:hideMark/>
          </w:tcPr>
          <w:p w14:paraId="29E3417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3AA6B21C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7C63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Additional paid-in capital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22C1FE5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636,630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51D06DF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1731B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48DAE790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508,350</w:t>
            </w:r>
          </w:p>
        </w:tc>
        <w:tc>
          <w:tcPr>
            <w:tcW w:w="50" w:type="pct"/>
            <w:shd w:val="clear" w:color="auto" w:fill="CCEEFF"/>
            <w:vAlign w:val="bottom"/>
            <w:hideMark/>
          </w:tcPr>
          <w:p w14:paraId="10F24DF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097167F8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BB5CA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Retained earnings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449C326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1,076,533</w:t>
            </w:r>
          </w:p>
        </w:tc>
        <w:tc>
          <w:tcPr>
            <w:tcW w:w="50" w:type="pct"/>
            <w:vAlign w:val="bottom"/>
            <w:hideMark/>
          </w:tcPr>
          <w:p w14:paraId="7CD06E8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32E310C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E1C961D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856,687</w:t>
            </w:r>
          </w:p>
        </w:tc>
        <w:tc>
          <w:tcPr>
            <w:tcW w:w="50" w:type="pct"/>
            <w:vAlign w:val="bottom"/>
            <w:hideMark/>
          </w:tcPr>
          <w:p w14:paraId="29B7C0E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20F4121F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E521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Accumulated other comprehensive loss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08FEA49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(45,013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0" w:type="dxa"/>
              <w:bottom w:w="30" w:type="dxa"/>
              <w:right w:w="30" w:type="dxa"/>
            </w:tcMar>
            <w:vAlign w:val="bottom"/>
            <w:hideMark/>
          </w:tcPr>
          <w:p w14:paraId="0C1BD9A0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)</w:t>
            </w: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3788035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0DB23C1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(14,808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shd w:val="clear" w:color="auto" w:fill="CCEEFF"/>
            <w:tcMar>
              <w:top w:w="30" w:type="dxa"/>
              <w:left w:w="0" w:type="dxa"/>
              <w:bottom w:w="30" w:type="dxa"/>
              <w:right w:w="30" w:type="dxa"/>
            </w:tcMar>
            <w:vAlign w:val="bottom"/>
            <w:hideMark/>
          </w:tcPr>
          <w:p w14:paraId="51F78D49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)</w:t>
            </w:r>
          </w:p>
        </w:tc>
      </w:tr>
      <w:tr w:rsidR="009A33AC" w:rsidRPr="009A33AC" w14:paraId="080DE9F5" w14:textId="77777777" w:rsidTr="002E681A">
        <w:trPr>
          <w:trHeight w:val="20"/>
        </w:trPr>
        <w:tc>
          <w:tcPr>
            <w:tcW w:w="3650" w:type="pct"/>
            <w:tcMar>
              <w:top w:w="30" w:type="dxa"/>
              <w:left w:w="1260" w:type="dxa"/>
              <w:bottom w:w="30" w:type="dxa"/>
              <w:right w:w="30" w:type="dxa"/>
            </w:tcMar>
            <w:hideMark/>
          </w:tcPr>
          <w:p w14:paraId="4E67F89E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Total stockholders’ equity</w:t>
            </w:r>
          </w:p>
        </w:tc>
        <w:tc>
          <w:tcPr>
            <w:tcW w:w="600" w:type="pct"/>
            <w:gridSpan w:val="2"/>
            <w:tcBorders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05B9989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1,668,222</w:t>
            </w:r>
          </w:p>
        </w:tc>
        <w:tc>
          <w:tcPr>
            <w:tcW w:w="50" w:type="pct"/>
            <w:tcBorders>
              <w:bottom w:val="single" w:sz="6" w:space="0" w:color="000000"/>
            </w:tcBorders>
            <w:vAlign w:val="bottom"/>
            <w:hideMark/>
          </w:tcPr>
          <w:p w14:paraId="3C1EE45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2ACC81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00" w:type="pct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6CF41DBE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1,350,300</w:t>
            </w:r>
          </w:p>
        </w:tc>
        <w:tc>
          <w:tcPr>
            <w:tcW w:w="50" w:type="pct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6C25FAA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9A33AC" w:rsidRPr="009A33AC" w14:paraId="7D9C839F" w14:textId="77777777" w:rsidTr="002E681A">
        <w:trPr>
          <w:trHeight w:val="20"/>
        </w:trPr>
        <w:tc>
          <w:tcPr>
            <w:tcW w:w="3650" w:type="pct"/>
            <w:shd w:val="clear" w:color="auto" w:fill="CCEEFF"/>
            <w:tcMar>
              <w:top w:w="30" w:type="dxa"/>
              <w:left w:w="1260" w:type="dxa"/>
              <w:bottom w:w="30" w:type="dxa"/>
              <w:right w:w="30" w:type="dxa"/>
            </w:tcMar>
            <w:hideMark/>
          </w:tcPr>
          <w:p w14:paraId="18D51746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Total liabilities and stockholders’ equity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41EAA5E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tcBorders>
              <w:bottom w:val="double" w:sz="6" w:space="0" w:color="000000"/>
            </w:tcBorders>
            <w:shd w:val="clear" w:color="auto" w:fill="CCEE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EB8813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2,868,900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shd w:val="clear" w:color="auto" w:fill="CCEEFF"/>
            <w:vAlign w:val="bottom"/>
            <w:hideMark/>
          </w:tcPr>
          <w:p w14:paraId="23D03618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B7ED7F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0" w:type="dxa"/>
            </w:tcMar>
            <w:vAlign w:val="bottom"/>
            <w:hideMark/>
          </w:tcPr>
          <w:p w14:paraId="7C1ECC24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$</w:t>
            </w:r>
          </w:p>
        </w:tc>
        <w:tc>
          <w:tcPr>
            <w:tcW w:w="550" w:type="pct"/>
            <w:tcBorders>
              <w:bottom w:val="double" w:sz="6" w:space="0" w:color="000000"/>
            </w:tcBorders>
            <w:shd w:val="clear" w:color="auto" w:fill="CCEE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8A8B52" w14:textId="77777777" w:rsidR="009A33AC" w:rsidRPr="009A33AC" w:rsidRDefault="009A33AC" w:rsidP="009A33AC">
            <w:pPr>
              <w:jc w:val="right"/>
              <w:rPr>
                <w:rFonts w:eastAsia="Times New Roman"/>
                <w:sz w:val="16"/>
                <w:szCs w:val="16"/>
              </w:rPr>
            </w:pPr>
            <w:r w:rsidRPr="009A33AC">
              <w:rPr>
                <w:rFonts w:eastAsia="Times New Roman"/>
                <w:sz w:val="16"/>
                <w:szCs w:val="16"/>
              </w:rPr>
              <w:t>2,095,083</w:t>
            </w:r>
          </w:p>
        </w:tc>
        <w:tc>
          <w:tcPr>
            <w:tcW w:w="50" w:type="pct"/>
            <w:tcBorders>
              <w:bottom w:val="double" w:sz="6" w:space="0" w:color="000000"/>
            </w:tcBorders>
            <w:shd w:val="clear" w:color="auto" w:fill="CCEEFF"/>
            <w:vAlign w:val="bottom"/>
            <w:hideMark/>
          </w:tcPr>
          <w:p w14:paraId="120FA794" w14:textId="77777777" w:rsidR="009A33AC" w:rsidRPr="009A33AC" w:rsidRDefault="009A33AC" w:rsidP="009A33AC">
            <w:pPr>
              <w:rPr>
                <w:rFonts w:eastAsia="Times New Roman"/>
                <w:sz w:val="16"/>
                <w:szCs w:val="16"/>
              </w:rPr>
            </w:pPr>
          </w:p>
        </w:tc>
      </w:tr>
    </w:tbl>
    <w:p w14:paraId="78726711" w14:textId="77777777" w:rsidR="009A33AC" w:rsidRPr="009A33AC" w:rsidRDefault="009A33AC" w:rsidP="009A33AC">
      <w:pPr>
        <w:spacing w:line="240" w:lineRule="atLeast"/>
        <w:jc w:val="center"/>
        <w:rPr>
          <w:rFonts w:eastAsia="Times New Roman"/>
          <w:color w:val="000000"/>
          <w:sz w:val="20"/>
          <w:szCs w:val="20"/>
        </w:rPr>
      </w:pPr>
    </w:p>
    <w:sectPr w:rsidR="009A33AC" w:rsidRPr="009A33AC" w:rsidSect="009A33AC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A6D0C" w14:textId="77777777" w:rsidR="003238BA" w:rsidRDefault="003238BA" w:rsidP="00860AF4">
      <w:r>
        <w:separator/>
      </w:r>
    </w:p>
  </w:endnote>
  <w:endnote w:type="continuationSeparator" w:id="0">
    <w:p w14:paraId="50E9E1F0" w14:textId="77777777" w:rsidR="003238BA" w:rsidRDefault="003238BA" w:rsidP="0086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F206B" w14:textId="77777777" w:rsidR="003238BA" w:rsidRDefault="003238BA" w:rsidP="00860AF4">
      <w:r>
        <w:separator/>
      </w:r>
    </w:p>
  </w:footnote>
  <w:footnote w:type="continuationSeparator" w:id="0">
    <w:p w14:paraId="471F1AE6" w14:textId="77777777" w:rsidR="003238BA" w:rsidRDefault="003238BA" w:rsidP="00860AF4">
      <w:r>
        <w:continuationSeparator/>
      </w:r>
    </w:p>
  </w:footnote>
  <w:footnote w:id="1">
    <w:p w14:paraId="6BD631C9" w14:textId="77777777" w:rsidR="001C5663" w:rsidRPr="00605388" w:rsidRDefault="001C5663" w:rsidP="001C5663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605388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605388">
        <w:rPr>
          <w:rFonts w:ascii="Times New Roman" w:hAnsi="Times New Roman" w:cs="Times New Roman"/>
          <w:sz w:val="20"/>
          <w:szCs w:val="20"/>
        </w:rPr>
        <w:t xml:space="preserve"> Late assignments will be penalized 10 points.</w:t>
      </w:r>
    </w:p>
  </w:footnote>
  <w:footnote w:id="2">
    <w:p w14:paraId="1611F641" w14:textId="77777777" w:rsidR="00212F40" w:rsidRPr="00212F40" w:rsidRDefault="00212F40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212F4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212F40">
        <w:rPr>
          <w:rFonts w:ascii="Times New Roman" w:hAnsi="Times New Roman" w:cs="Times New Roman"/>
          <w:sz w:val="20"/>
          <w:szCs w:val="20"/>
        </w:rPr>
        <w:t xml:space="preserve"> On the home page of the SEC, select “company filings” in the top right corner.</w:t>
      </w:r>
      <w:r>
        <w:rPr>
          <w:rFonts w:ascii="Times New Roman" w:hAnsi="Times New Roman" w:cs="Times New Roman"/>
          <w:sz w:val="20"/>
          <w:szCs w:val="20"/>
        </w:rPr>
        <w:t xml:space="preserve"> On the next page type the company’s name. On the next page</w:t>
      </w:r>
      <w:r w:rsidR="004C17C6">
        <w:rPr>
          <w:rFonts w:ascii="Times New Roman" w:hAnsi="Times New Roman" w:cs="Times New Roman"/>
          <w:sz w:val="20"/>
          <w:szCs w:val="20"/>
        </w:rPr>
        <w:t>, in the box labeled “Filing type” enter 10-K.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95796" w14:textId="77777777" w:rsidR="00860AF4" w:rsidRPr="00860AF4" w:rsidRDefault="00860AF4" w:rsidP="00860AF4">
    <w:pPr>
      <w:pStyle w:val="Header"/>
      <w:jc w:val="right"/>
      <w:rPr>
        <w:rFonts w:ascii="Times New Roman" w:hAnsi="Times New Roman" w:cs="Times New Roman"/>
        <w:i/>
        <w:sz w:val="20"/>
      </w:rPr>
    </w:pPr>
    <w:r w:rsidRPr="00860AF4">
      <w:rPr>
        <w:rFonts w:ascii="Times New Roman" w:hAnsi="Times New Roman" w:cs="Times New Roman"/>
        <w:i/>
        <w:sz w:val="20"/>
      </w:rPr>
      <w:t>A</w:t>
    </w:r>
    <w:r>
      <w:rPr>
        <w:rFonts w:ascii="Times New Roman" w:hAnsi="Times New Roman" w:cs="Times New Roman"/>
        <w:i/>
        <w:sz w:val="20"/>
      </w:rPr>
      <w:t>ssigned</w:t>
    </w:r>
    <w:r w:rsidRPr="00860AF4">
      <w:rPr>
        <w:rFonts w:ascii="Times New Roman" w:hAnsi="Times New Roman" w:cs="Times New Roman"/>
        <w:i/>
        <w:sz w:val="20"/>
      </w:rPr>
      <w:t>: Thursday January 26</w:t>
    </w:r>
  </w:p>
  <w:p w14:paraId="3D21D3FC" w14:textId="77777777" w:rsidR="00860AF4" w:rsidRPr="00860AF4" w:rsidRDefault="00860AF4" w:rsidP="00860AF4">
    <w:pPr>
      <w:pStyle w:val="Header"/>
      <w:jc w:val="right"/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Due</w:t>
    </w:r>
    <w:r w:rsidRPr="00860AF4">
      <w:rPr>
        <w:rFonts w:ascii="Times New Roman" w:hAnsi="Times New Roman" w:cs="Times New Roman"/>
        <w:i/>
        <w:sz w:val="20"/>
      </w:rPr>
      <w:t>: Thursday February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4677"/>
    <w:multiLevelType w:val="hybridMultilevel"/>
    <w:tmpl w:val="1188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2368"/>
    <w:multiLevelType w:val="hybridMultilevel"/>
    <w:tmpl w:val="1188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600A1"/>
    <w:multiLevelType w:val="hybridMultilevel"/>
    <w:tmpl w:val="B92EA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02115B"/>
    <w:multiLevelType w:val="hybridMultilevel"/>
    <w:tmpl w:val="1BD8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97C27"/>
    <w:multiLevelType w:val="hybridMultilevel"/>
    <w:tmpl w:val="5EDEF6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D5255"/>
    <w:multiLevelType w:val="hybridMultilevel"/>
    <w:tmpl w:val="BCC421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F4"/>
    <w:rsid w:val="00016C5C"/>
    <w:rsid w:val="0010121F"/>
    <w:rsid w:val="00117AF0"/>
    <w:rsid w:val="001248A8"/>
    <w:rsid w:val="001C2492"/>
    <w:rsid w:val="001C5663"/>
    <w:rsid w:val="001F619D"/>
    <w:rsid w:val="00212F40"/>
    <w:rsid w:val="002A5B50"/>
    <w:rsid w:val="002E681A"/>
    <w:rsid w:val="003238BA"/>
    <w:rsid w:val="003702E3"/>
    <w:rsid w:val="003E2357"/>
    <w:rsid w:val="003F131F"/>
    <w:rsid w:val="004B5E8A"/>
    <w:rsid w:val="004C14F3"/>
    <w:rsid w:val="004C17C6"/>
    <w:rsid w:val="005B3C6F"/>
    <w:rsid w:val="00707A4D"/>
    <w:rsid w:val="007C114D"/>
    <w:rsid w:val="00860AF4"/>
    <w:rsid w:val="0086768F"/>
    <w:rsid w:val="008D059D"/>
    <w:rsid w:val="008D3D03"/>
    <w:rsid w:val="00933534"/>
    <w:rsid w:val="00946C86"/>
    <w:rsid w:val="009A33AC"/>
    <w:rsid w:val="009E289B"/>
    <w:rsid w:val="00A5688C"/>
    <w:rsid w:val="00AF3746"/>
    <w:rsid w:val="00B5236C"/>
    <w:rsid w:val="00C0025E"/>
    <w:rsid w:val="00C95401"/>
    <w:rsid w:val="00D0739A"/>
    <w:rsid w:val="00D81097"/>
    <w:rsid w:val="00DC0390"/>
    <w:rsid w:val="00DE530D"/>
    <w:rsid w:val="00F8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B7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739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0AF4"/>
    <w:pPr>
      <w:spacing w:before="240" w:after="60"/>
      <w:jc w:val="center"/>
    </w:pPr>
    <w:rPr>
      <w:rFonts w:ascii="Arial" w:eastAsia="Times New Roman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860AF4"/>
    <w:rPr>
      <w:rFonts w:ascii="Arial" w:eastAsia="Times New Roman" w:hAnsi="Arial" w:cs="Times New Roman"/>
      <w:b/>
      <w:kern w:val="28"/>
      <w:sz w:val="32"/>
      <w:szCs w:val="20"/>
    </w:rPr>
  </w:style>
  <w:style w:type="paragraph" w:styleId="Subtitle">
    <w:name w:val="Subtitle"/>
    <w:basedOn w:val="Normal"/>
    <w:link w:val="SubtitleChar"/>
    <w:qFormat/>
    <w:rsid w:val="00860AF4"/>
    <w:pPr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860AF4"/>
    <w:rPr>
      <w:rFonts w:ascii="Arial" w:eastAsia="Times New Roman" w:hAnsi="Arial" w:cs="Times New Roman"/>
      <w:i/>
      <w:szCs w:val="20"/>
    </w:rPr>
  </w:style>
  <w:style w:type="paragraph" w:styleId="Header">
    <w:name w:val="header"/>
    <w:basedOn w:val="Normal"/>
    <w:link w:val="HeaderChar"/>
    <w:uiPriority w:val="99"/>
    <w:unhideWhenUsed/>
    <w:rsid w:val="00860AF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60AF4"/>
  </w:style>
  <w:style w:type="paragraph" w:styleId="Footer">
    <w:name w:val="footer"/>
    <w:basedOn w:val="Normal"/>
    <w:link w:val="FooterChar"/>
    <w:uiPriority w:val="99"/>
    <w:unhideWhenUsed/>
    <w:rsid w:val="00860AF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60AF4"/>
  </w:style>
  <w:style w:type="character" w:styleId="Hyperlink">
    <w:name w:val="Hyperlink"/>
    <w:basedOn w:val="DefaultParagraphFont"/>
    <w:uiPriority w:val="99"/>
    <w:unhideWhenUsed/>
    <w:rsid w:val="002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F40"/>
    <w:pPr>
      <w:ind w:left="720"/>
      <w:contextualSpacing/>
    </w:pPr>
    <w:rPr>
      <w:rFonts w:ascii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unhideWhenUsed/>
    <w:rsid w:val="00212F40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F40"/>
  </w:style>
  <w:style w:type="character" w:styleId="FootnoteReference">
    <w:name w:val="footnote reference"/>
    <w:basedOn w:val="DefaultParagraphFont"/>
    <w:uiPriority w:val="99"/>
    <w:unhideWhenUsed/>
    <w:rsid w:val="00212F40"/>
    <w:rPr>
      <w:vertAlign w:val="superscript"/>
    </w:rPr>
  </w:style>
  <w:style w:type="table" w:styleId="TableGrid">
    <w:name w:val="Table Grid"/>
    <w:basedOn w:val="TableNormal"/>
    <w:uiPriority w:val="39"/>
    <w:rsid w:val="00946C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8D3D03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6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8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3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2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2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ec.gov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801</Words>
  <Characters>4571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Henry</dc:creator>
  <cp:keywords/>
  <dc:description/>
  <cp:lastModifiedBy>Elaine Henry</cp:lastModifiedBy>
  <cp:revision>17</cp:revision>
  <dcterms:created xsi:type="dcterms:W3CDTF">2016-12-29T21:46:00Z</dcterms:created>
  <dcterms:modified xsi:type="dcterms:W3CDTF">2017-01-26T15:12:00Z</dcterms:modified>
</cp:coreProperties>
</file>