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0FDE9" w14:textId="77777777" w:rsidR="003868FD" w:rsidRDefault="003868FD" w:rsidP="00860AF4">
      <w:pPr>
        <w:pStyle w:val="Title"/>
        <w:spacing w:before="0" w:after="0"/>
        <w:rPr>
          <w:rFonts w:ascii="Times New Roman" w:hAnsi="Times New Roman"/>
          <w:sz w:val="22"/>
          <w:szCs w:val="22"/>
        </w:rPr>
      </w:pPr>
    </w:p>
    <w:p w14:paraId="4C572B59" w14:textId="778DF15A" w:rsidR="00860AF4" w:rsidRPr="00D11321" w:rsidRDefault="00860AF4" w:rsidP="00860AF4">
      <w:pPr>
        <w:pStyle w:val="Title"/>
        <w:spacing w:before="0" w:after="0"/>
        <w:rPr>
          <w:rFonts w:ascii="Times New Roman" w:hAnsi="Times New Roman"/>
          <w:sz w:val="22"/>
          <w:szCs w:val="22"/>
        </w:rPr>
      </w:pPr>
      <w:r w:rsidRPr="00D11321">
        <w:rPr>
          <w:rFonts w:ascii="Times New Roman" w:hAnsi="Times New Roman"/>
          <w:sz w:val="22"/>
          <w:szCs w:val="22"/>
        </w:rPr>
        <w:t>BT 200: Financial Accounting</w:t>
      </w:r>
    </w:p>
    <w:p w14:paraId="4726C5BB" w14:textId="77777777" w:rsidR="00860AF4" w:rsidRPr="00D11321" w:rsidRDefault="00860AF4" w:rsidP="00860AF4">
      <w:pPr>
        <w:pStyle w:val="Subtitle"/>
        <w:spacing w:after="0"/>
        <w:rPr>
          <w:rFonts w:ascii="Times New Roman" w:hAnsi="Times New Roman"/>
          <w:i w:val="0"/>
          <w:sz w:val="22"/>
          <w:szCs w:val="22"/>
        </w:rPr>
      </w:pPr>
      <w:r w:rsidRPr="00D11321">
        <w:rPr>
          <w:rFonts w:ascii="Times New Roman" w:hAnsi="Times New Roman"/>
          <w:i w:val="0"/>
          <w:sz w:val="22"/>
          <w:szCs w:val="22"/>
        </w:rPr>
        <w:t>Spring 2017</w:t>
      </w:r>
    </w:p>
    <w:p w14:paraId="357C6CF4" w14:textId="01E27A3B" w:rsidR="00016C5C" w:rsidRPr="00D11321" w:rsidRDefault="005E40F6" w:rsidP="00860AF4">
      <w:pPr>
        <w:jc w:val="center"/>
        <w:rPr>
          <w:sz w:val="22"/>
          <w:szCs w:val="22"/>
        </w:rPr>
      </w:pPr>
      <w:r w:rsidRPr="00D11321">
        <w:rPr>
          <w:sz w:val="22"/>
          <w:szCs w:val="22"/>
        </w:rPr>
        <w:t>Written Assignment # 4</w:t>
      </w:r>
    </w:p>
    <w:p w14:paraId="27370CE1" w14:textId="6B09F463" w:rsidR="005E40F6" w:rsidRPr="00D11321" w:rsidRDefault="005E40F6" w:rsidP="00860AF4">
      <w:pPr>
        <w:rPr>
          <w:sz w:val="22"/>
          <w:szCs w:val="22"/>
        </w:rPr>
      </w:pPr>
    </w:p>
    <w:p w14:paraId="16012DFF" w14:textId="53C77C52" w:rsidR="00860AF4" w:rsidRPr="00D11321" w:rsidRDefault="005E40F6" w:rsidP="00860AF4">
      <w:pPr>
        <w:rPr>
          <w:sz w:val="22"/>
          <w:szCs w:val="22"/>
        </w:rPr>
      </w:pPr>
      <w:r w:rsidRPr="00D11321">
        <w:rPr>
          <w:sz w:val="22"/>
          <w:szCs w:val="22"/>
        </w:rPr>
        <w:t xml:space="preserve">For this assignment, you may work </w:t>
      </w:r>
      <w:r w:rsidRPr="00D11321">
        <w:rPr>
          <w:b/>
          <w:sz w:val="22"/>
          <w:szCs w:val="22"/>
        </w:rPr>
        <w:t xml:space="preserve">either </w:t>
      </w:r>
      <w:r w:rsidRPr="00D11321">
        <w:rPr>
          <w:sz w:val="22"/>
          <w:szCs w:val="22"/>
        </w:rPr>
        <w:t xml:space="preserve">as a two-person team </w:t>
      </w:r>
      <w:r w:rsidR="00BE0B2E" w:rsidRPr="00D11321">
        <w:rPr>
          <w:sz w:val="22"/>
          <w:szCs w:val="22"/>
        </w:rPr>
        <w:t xml:space="preserve">(recommended) or </w:t>
      </w:r>
      <w:r w:rsidRPr="00D11321">
        <w:rPr>
          <w:sz w:val="22"/>
          <w:szCs w:val="22"/>
        </w:rPr>
        <w:t>in</w:t>
      </w:r>
      <w:r w:rsidR="00021E6B">
        <w:rPr>
          <w:sz w:val="22"/>
          <w:szCs w:val="22"/>
        </w:rPr>
        <w:t>dividual</w:t>
      </w:r>
      <w:r w:rsidRPr="00D11321">
        <w:rPr>
          <w:sz w:val="22"/>
          <w:szCs w:val="22"/>
        </w:rPr>
        <w:t xml:space="preserve">ly. </w:t>
      </w:r>
      <w:r w:rsidR="00021E6B">
        <w:rPr>
          <w:sz w:val="22"/>
          <w:szCs w:val="22"/>
        </w:rPr>
        <w:t xml:space="preserve">If </w:t>
      </w:r>
      <w:r w:rsidRPr="00D11321">
        <w:rPr>
          <w:sz w:val="22"/>
          <w:szCs w:val="22"/>
        </w:rPr>
        <w:t xml:space="preserve">you work as a team, please submit </w:t>
      </w:r>
      <w:r w:rsidRPr="00021E6B">
        <w:rPr>
          <w:b/>
          <w:sz w:val="22"/>
          <w:szCs w:val="22"/>
        </w:rPr>
        <w:t>one</w:t>
      </w:r>
      <w:r w:rsidR="00BE49D2">
        <w:rPr>
          <w:sz w:val="22"/>
          <w:szCs w:val="22"/>
        </w:rPr>
        <w:t xml:space="preserve"> </w:t>
      </w:r>
      <w:r w:rsidR="00841D3B">
        <w:rPr>
          <w:sz w:val="22"/>
          <w:szCs w:val="22"/>
        </w:rPr>
        <w:t xml:space="preserve">PowerPoint </w:t>
      </w:r>
      <w:r w:rsidR="00BE49D2">
        <w:rPr>
          <w:sz w:val="22"/>
          <w:szCs w:val="22"/>
        </w:rPr>
        <w:t xml:space="preserve">presentation and </w:t>
      </w:r>
      <w:r w:rsidR="00BE49D2" w:rsidRPr="00021E6B">
        <w:rPr>
          <w:b/>
          <w:sz w:val="22"/>
          <w:szCs w:val="22"/>
        </w:rPr>
        <w:t>one</w:t>
      </w:r>
      <w:r w:rsidRPr="00D11321">
        <w:rPr>
          <w:sz w:val="22"/>
          <w:szCs w:val="22"/>
        </w:rPr>
        <w:t xml:space="preserve"> </w:t>
      </w:r>
      <w:r w:rsidR="00841D3B">
        <w:rPr>
          <w:sz w:val="22"/>
          <w:szCs w:val="22"/>
        </w:rPr>
        <w:t>typed R</w:t>
      </w:r>
      <w:r w:rsidR="00BE49D2">
        <w:rPr>
          <w:sz w:val="22"/>
          <w:szCs w:val="22"/>
        </w:rPr>
        <w:t>eport</w:t>
      </w:r>
      <w:r w:rsidR="00BE0B2E" w:rsidRPr="00D11321">
        <w:rPr>
          <w:sz w:val="22"/>
          <w:szCs w:val="22"/>
        </w:rPr>
        <w:t xml:space="preserve"> clearly showing</w:t>
      </w:r>
      <w:r w:rsidRPr="00D11321">
        <w:rPr>
          <w:sz w:val="22"/>
          <w:szCs w:val="22"/>
        </w:rPr>
        <w:t xml:space="preserve"> both students’ names. </w:t>
      </w:r>
      <w:r w:rsidR="003868FD">
        <w:rPr>
          <w:sz w:val="22"/>
          <w:szCs w:val="22"/>
        </w:rPr>
        <w:t xml:space="preserve">Collaboration with other teams is not permitted. </w:t>
      </w:r>
    </w:p>
    <w:p w14:paraId="2BF4D572" w14:textId="6AAD386C" w:rsidR="005E40F6" w:rsidRPr="00D11321" w:rsidRDefault="005E40F6" w:rsidP="00860AF4">
      <w:pPr>
        <w:rPr>
          <w:sz w:val="22"/>
          <w:szCs w:val="22"/>
        </w:rPr>
      </w:pPr>
    </w:p>
    <w:p w14:paraId="12A3914E" w14:textId="2A174321" w:rsidR="00B71F83" w:rsidRPr="00C364B2" w:rsidRDefault="005E40F6" w:rsidP="005E40F6">
      <w:pPr>
        <w:rPr>
          <w:b/>
          <w:sz w:val="22"/>
          <w:szCs w:val="22"/>
        </w:rPr>
      </w:pPr>
      <w:r w:rsidRPr="00C364B2">
        <w:rPr>
          <w:b/>
          <w:sz w:val="22"/>
          <w:szCs w:val="22"/>
        </w:rPr>
        <w:t>Instructions</w:t>
      </w:r>
    </w:p>
    <w:p w14:paraId="363003AE" w14:textId="7A879236" w:rsidR="005E40F6" w:rsidRDefault="005E40F6" w:rsidP="00BE49D2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D11321">
        <w:rPr>
          <w:rFonts w:ascii="Times New Roman" w:hAnsi="Times New Roman" w:cs="Times New Roman"/>
          <w:sz w:val="22"/>
          <w:szCs w:val="22"/>
        </w:rPr>
        <w:t xml:space="preserve">Identify two publicly traded, non-financial </w:t>
      </w:r>
      <w:r w:rsidR="007A384B" w:rsidRPr="00D11321">
        <w:rPr>
          <w:rFonts w:ascii="Times New Roman" w:hAnsi="Times New Roman" w:cs="Times New Roman"/>
          <w:sz w:val="22"/>
          <w:szCs w:val="22"/>
        </w:rPr>
        <w:t xml:space="preserve">US </w:t>
      </w:r>
      <w:r w:rsidRPr="00D11321">
        <w:rPr>
          <w:rFonts w:ascii="Times New Roman" w:hAnsi="Times New Roman" w:cs="Times New Roman"/>
          <w:sz w:val="22"/>
          <w:szCs w:val="22"/>
        </w:rPr>
        <w:t xml:space="preserve">companies. You may use the same companies that you selected for </w:t>
      </w:r>
      <w:r w:rsidR="007A384B" w:rsidRPr="00D11321">
        <w:rPr>
          <w:rFonts w:ascii="Times New Roman" w:hAnsi="Times New Roman" w:cs="Times New Roman"/>
          <w:sz w:val="22"/>
          <w:szCs w:val="22"/>
        </w:rPr>
        <w:t>a previous Assignment in this course, or you can select different companies. Please do not select companies that you have analyzed in another course.</w:t>
      </w:r>
      <w:r w:rsidRPr="00D1132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01196E" w14:textId="77777777" w:rsidR="00BE49D2" w:rsidRPr="00D11321" w:rsidRDefault="00BE49D2" w:rsidP="00BE49D2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4F1E3BA" w14:textId="3A48A566" w:rsidR="007A384B" w:rsidRDefault="007A384B" w:rsidP="00BE49D2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D11321">
        <w:rPr>
          <w:rFonts w:ascii="Times New Roman" w:hAnsi="Times New Roman" w:cs="Times New Roman"/>
          <w:sz w:val="22"/>
          <w:szCs w:val="22"/>
        </w:rPr>
        <w:t>Prepare a brief PowerPoint presentation (</w:t>
      </w:r>
      <w:r w:rsidR="001C0E4D">
        <w:rPr>
          <w:rFonts w:ascii="Times New Roman" w:hAnsi="Times New Roman" w:cs="Times New Roman"/>
          <w:sz w:val="22"/>
          <w:szCs w:val="22"/>
        </w:rPr>
        <w:t xml:space="preserve">maximum </w:t>
      </w:r>
      <w:r w:rsidRPr="00D11321">
        <w:rPr>
          <w:rFonts w:ascii="Times New Roman" w:hAnsi="Times New Roman" w:cs="Times New Roman"/>
          <w:sz w:val="22"/>
          <w:szCs w:val="22"/>
        </w:rPr>
        <w:t>2 pages of content and a cover page) containing</w:t>
      </w:r>
      <w:r w:rsidR="00A028D0">
        <w:rPr>
          <w:rFonts w:ascii="Times New Roman" w:hAnsi="Times New Roman" w:cs="Times New Roman"/>
          <w:sz w:val="22"/>
          <w:szCs w:val="22"/>
        </w:rPr>
        <w:t xml:space="preserve"> one of the following</w:t>
      </w:r>
      <w:r w:rsidRPr="00D11321">
        <w:rPr>
          <w:rFonts w:ascii="Times New Roman" w:hAnsi="Times New Roman" w:cs="Times New Roman"/>
          <w:sz w:val="22"/>
          <w:szCs w:val="22"/>
        </w:rPr>
        <w:t>:</w:t>
      </w:r>
      <w:r w:rsidR="00841D3B">
        <w:rPr>
          <w:rFonts w:ascii="Times New Roman" w:hAnsi="Times New Roman" w:cs="Times New Roman"/>
          <w:sz w:val="22"/>
          <w:szCs w:val="22"/>
        </w:rPr>
        <w:t xml:space="preserve"> a comparison of</w:t>
      </w:r>
      <w:r w:rsidR="001C0E4D">
        <w:rPr>
          <w:rFonts w:ascii="Times New Roman" w:hAnsi="Times New Roman" w:cs="Times New Roman"/>
          <w:sz w:val="22"/>
          <w:szCs w:val="22"/>
        </w:rPr>
        <w:t xml:space="preserve"> </w:t>
      </w:r>
      <w:r w:rsidR="001C0E4D" w:rsidRPr="001C0E4D">
        <w:rPr>
          <w:rFonts w:ascii="Times New Roman" w:hAnsi="Times New Roman" w:cs="Times New Roman"/>
          <w:sz w:val="22"/>
          <w:szCs w:val="22"/>
        </w:rPr>
        <w:t>the</w:t>
      </w:r>
      <w:r w:rsidR="001C0E4D">
        <w:rPr>
          <w:rFonts w:ascii="Times New Roman" w:hAnsi="Times New Roman" w:cs="Times New Roman"/>
          <w:sz w:val="22"/>
          <w:szCs w:val="22"/>
        </w:rPr>
        <w:t xml:space="preserve"> ROE decomposition</w:t>
      </w:r>
      <w:r w:rsidR="00841D3B">
        <w:rPr>
          <w:rFonts w:ascii="Times New Roman" w:hAnsi="Times New Roman" w:cs="Times New Roman"/>
          <w:sz w:val="22"/>
          <w:szCs w:val="22"/>
        </w:rPr>
        <w:t xml:space="preserve"> for the two companies</w:t>
      </w:r>
      <w:r w:rsidR="001C0E4D">
        <w:rPr>
          <w:rFonts w:ascii="Times New Roman" w:hAnsi="Times New Roman" w:cs="Times New Roman"/>
          <w:sz w:val="22"/>
          <w:szCs w:val="22"/>
        </w:rPr>
        <w:t xml:space="preserve"> OR </w:t>
      </w:r>
      <w:r w:rsidR="00841D3B">
        <w:rPr>
          <w:rFonts w:ascii="Times New Roman" w:hAnsi="Times New Roman" w:cs="Times New Roman"/>
          <w:sz w:val="22"/>
          <w:szCs w:val="22"/>
        </w:rPr>
        <w:t>alternative comparable</w:t>
      </w:r>
      <w:r w:rsidRPr="001C0E4D">
        <w:rPr>
          <w:rFonts w:ascii="Times New Roman" w:hAnsi="Times New Roman" w:cs="Times New Roman"/>
          <w:sz w:val="22"/>
          <w:szCs w:val="22"/>
        </w:rPr>
        <w:t xml:space="preserve"> financial information </w:t>
      </w:r>
      <w:r w:rsidR="00841D3B">
        <w:rPr>
          <w:rFonts w:ascii="Times New Roman" w:hAnsi="Times New Roman" w:cs="Times New Roman"/>
          <w:sz w:val="22"/>
          <w:szCs w:val="22"/>
        </w:rPr>
        <w:t xml:space="preserve">for the two companies </w:t>
      </w:r>
      <w:r w:rsidRPr="001C0E4D">
        <w:rPr>
          <w:rFonts w:ascii="Times New Roman" w:hAnsi="Times New Roman" w:cs="Times New Roman"/>
          <w:sz w:val="22"/>
          <w:szCs w:val="22"/>
        </w:rPr>
        <w:t xml:space="preserve">(historical growth rates, </w:t>
      </w:r>
      <w:r w:rsidR="00841D3B">
        <w:rPr>
          <w:rFonts w:ascii="Times New Roman" w:hAnsi="Times New Roman" w:cs="Times New Roman"/>
          <w:sz w:val="22"/>
          <w:szCs w:val="22"/>
        </w:rPr>
        <w:t xml:space="preserve">profitability, </w:t>
      </w:r>
      <w:r w:rsidR="00BE23A0">
        <w:rPr>
          <w:rFonts w:ascii="Times New Roman" w:hAnsi="Times New Roman" w:cs="Times New Roman"/>
          <w:sz w:val="22"/>
          <w:szCs w:val="22"/>
        </w:rPr>
        <w:t>alternative</w:t>
      </w:r>
      <w:r w:rsidRPr="001C0E4D">
        <w:rPr>
          <w:rFonts w:ascii="Times New Roman" w:hAnsi="Times New Roman" w:cs="Times New Roman"/>
          <w:sz w:val="22"/>
          <w:szCs w:val="22"/>
        </w:rPr>
        <w:t xml:space="preserve"> financial ratios) OR </w:t>
      </w:r>
      <w:r w:rsidR="00841D3B">
        <w:rPr>
          <w:rFonts w:ascii="Times New Roman" w:hAnsi="Times New Roman" w:cs="Times New Roman"/>
          <w:sz w:val="22"/>
          <w:szCs w:val="22"/>
        </w:rPr>
        <w:t xml:space="preserve">comparative </w:t>
      </w:r>
      <w:r w:rsidRPr="001C0E4D">
        <w:rPr>
          <w:rFonts w:ascii="Times New Roman" w:hAnsi="Times New Roman" w:cs="Times New Roman"/>
          <w:sz w:val="22"/>
          <w:szCs w:val="22"/>
        </w:rPr>
        <w:t>governance information (</w:t>
      </w:r>
      <w:r w:rsidR="00BE49D2">
        <w:rPr>
          <w:rFonts w:ascii="Times New Roman" w:hAnsi="Times New Roman" w:cs="Times New Roman"/>
          <w:sz w:val="22"/>
          <w:szCs w:val="22"/>
        </w:rPr>
        <w:t xml:space="preserve">e.g., </w:t>
      </w:r>
      <w:r w:rsidRPr="001C0E4D">
        <w:rPr>
          <w:rFonts w:ascii="Times New Roman" w:hAnsi="Times New Roman" w:cs="Times New Roman"/>
          <w:sz w:val="22"/>
          <w:szCs w:val="22"/>
        </w:rPr>
        <w:t>CEO salary and stock ownership, voting rights, etc.) O</w:t>
      </w:r>
      <w:r w:rsidR="004E113A">
        <w:rPr>
          <w:rFonts w:ascii="Times New Roman" w:hAnsi="Times New Roman" w:cs="Times New Roman"/>
          <w:sz w:val="22"/>
          <w:szCs w:val="22"/>
        </w:rPr>
        <w:t>R current events</w:t>
      </w:r>
      <w:r w:rsidR="00841D3B">
        <w:rPr>
          <w:rFonts w:ascii="Times New Roman" w:hAnsi="Times New Roman" w:cs="Times New Roman"/>
          <w:sz w:val="22"/>
          <w:szCs w:val="22"/>
        </w:rPr>
        <w:t xml:space="preserve"> related to these companies OR </w:t>
      </w:r>
      <w:r w:rsidR="00A028D0">
        <w:rPr>
          <w:rFonts w:ascii="Times New Roman" w:hAnsi="Times New Roman" w:cs="Times New Roman"/>
          <w:sz w:val="22"/>
          <w:szCs w:val="22"/>
        </w:rPr>
        <w:t>interesting disclosure</w:t>
      </w:r>
      <w:r w:rsidR="00841D3B">
        <w:rPr>
          <w:rFonts w:ascii="Times New Roman" w:hAnsi="Times New Roman" w:cs="Times New Roman"/>
          <w:sz w:val="22"/>
          <w:szCs w:val="22"/>
        </w:rPr>
        <w:t>s</w:t>
      </w:r>
      <w:r w:rsidR="00A028D0">
        <w:rPr>
          <w:rFonts w:ascii="Times New Roman" w:hAnsi="Times New Roman" w:cs="Times New Roman"/>
          <w:sz w:val="22"/>
          <w:szCs w:val="22"/>
        </w:rPr>
        <w:t xml:space="preserve"> made by</w:t>
      </w:r>
      <w:r w:rsidR="004E113A">
        <w:rPr>
          <w:rFonts w:ascii="Times New Roman" w:hAnsi="Times New Roman" w:cs="Times New Roman"/>
          <w:sz w:val="22"/>
          <w:szCs w:val="22"/>
        </w:rPr>
        <w:t xml:space="preserve"> </w:t>
      </w:r>
      <w:r w:rsidR="00841D3B">
        <w:rPr>
          <w:rFonts w:ascii="Times New Roman" w:hAnsi="Times New Roman" w:cs="Times New Roman"/>
          <w:sz w:val="22"/>
          <w:szCs w:val="22"/>
        </w:rPr>
        <w:t xml:space="preserve">each of </w:t>
      </w:r>
      <w:r w:rsidR="004E113A">
        <w:rPr>
          <w:rFonts w:ascii="Times New Roman" w:hAnsi="Times New Roman" w:cs="Times New Roman"/>
          <w:sz w:val="22"/>
          <w:szCs w:val="22"/>
        </w:rPr>
        <w:t>the companies</w:t>
      </w:r>
      <w:r w:rsidRPr="001C0E4D">
        <w:rPr>
          <w:rFonts w:ascii="Times New Roman" w:hAnsi="Times New Roman" w:cs="Times New Roman"/>
          <w:sz w:val="22"/>
          <w:szCs w:val="22"/>
        </w:rPr>
        <w:t xml:space="preserve">. </w:t>
      </w:r>
      <w:r w:rsidR="00C364B2">
        <w:rPr>
          <w:rFonts w:ascii="Times New Roman" w:hAnsi="Times New Roman" w:cs="Times New Roman"/>
          <w:sz w:val="22"/>
          <w:szCs w:val="22"/>
        </w:rPr>
        <w:br/>
      </w:r>
      <w:r w:rsidR="00C364B2">
        <w:rPr>
          <w:rFonts w:ascii="Times New Roman" w:hAnsi="Times New Roman" w:cs="Times New Roman"/>
          <w:sz w:val="22"/>
          <w:szCs w:val="22"/>
        </w:rPr>
        <w:br/>
      </w:r>
      <w:r w:rsidR="00021E6B" w:rsidRPr="00B71F83">
        <w:rPr>
          <w:rFonts w:ascii="Times New Roman" w:hAnsi="Times New Roman" w:cs="Times New Roman"/>
          <w:b/>
          <w:sz w:val="22"/>
          <w:szCs w:val="22"/>
        </w:rPr>
        <w:t>Submit the PowerPoint presentation</w:t>
      </w:r>
      <w:r w:rsidR="00021E6B">
        <w:rPr>
          <w:rFonts w:ascii="Times New Roman" w:hAnsi="Times New Roman" w:cs="Times New Roman"/>
          <w:sz w:val="22"/>
          <w:szCs w:val="22"/>
        </w:rPr>
        <w:t xml:space="preserve"> on Canvas prior to the beginning of class on </w:t>
      </w:r>
      <w:r w:rsidR="00C364B2" w:rsidRPr="00D11321">
        <w:rPr>
          <w:rFonts w:ascii="Times New Roman" w:hAnsi="Times New Roman" w:cs="Times New Roman"/>
          <w:sz w:val="22"/>
          <w:szCs w:val="22"/>
        </w:rPr>
        <w:t>Thursday</w:t>
      </w:r>
      <w:r w:rsidR="00C364B2">
        <w:rPr>
          <w:rFonts w:ascii="Times New Roman" w:hAnsi="Times New Roman" w:cs="Times New Roman"/>
          <w:sz w:val="22"/>
          <w:szCs w:val="22"/>
        </w:rPr>
        <w:t xml:space="preserve"> April 27</w:t>
      </w:r>
      <w:r w:rsidR="00841D3B">
        <w:rPr>
          <w:rFonts w:ascii="Times New Roman" w:hAnsi="Times New Roman" w:cs="Times New Roman"/>
          <w:sz w:val="22"/>
          <w:szCs w:val="22"/>
        </w:rPr>
        <w:t xml:space="preserve"> </w:t>
      </w:r>
      <w:r w:rsidR="00841D3B" w:rsidRPr="00841D3B">
        <w:rPr>
          <w:rFonts w:ascii="Times New Roman" w:hAnsi="Times New Roman" w:cs="Times New Roman"/>
          <w:b/>
          <w:sz w:val="22"/>
          <w:szCs w:val="22"/>
        </w:rPr>
        <w:t>AND</w:t>
      </w:r>
      <w:r w:rsidR="00841D3B">
        <w:rPr>
          <w:rFonts w:ascii="Times New Roman" w:hAnsi="Times New Roman" w:cs="Times New Roman"/>
          <w:sz w:val="22"/>
          <w:szCs w:val="22"/>
        </w:rPr>
        <w:t xml:space="preserve"> bring a</w:t>
      </w:r>
      <w:r w:rsidR="00021E6B" w:rsidRPr="00D11321">
        <w:rPr>
          <w:rFonts w:ascii="Times New Roman" w:hAnsi="Times New Roman" w:cs="Times New Roman"/>
          <w:sz w:val="22"/>
          <w:szCs w:val="22"/>
        </w:rPr>
        <w:t xml:space="preserve"> </w:t>
      </w:r>
      <w:r w:rsidR="00C364B2" w:rsidRPr="00D11321">
        <w:rPr>
          <w:rFonts w:ascii="Times New Roman" w:hAnsi="Times New Roman" w:cs="Times New Roman"/>
          <w:sz w:val="22"/>
          <w:szCs w:val="22"/>
        </w:rPr>
        <w:t>hard copy of your PowerPoint presentation</w:t>
      </w:r>
      <w:r w:rsidR="00C364B2">
        <w:rPr>
          <w:rFonts w:ascii="Times New Roman" w:hAnsi="Times New Roman" w:cs="Times New Roman"/>
          <w:sz w:val="22"/>
          <w:szCs w:val="22"/>
        </w:rPr>
        <w:t xml:space="preserve"> </w:t>
      </w:r>
      <w:r w:rsidR="00841D3B">
        <w:rPr>
          <w:rFonts w:ascii="Times New Roman" w:hAnsi="Times New Roman" w:cs="Times New Roman"/>
          <w:sz w:val="22"/>
          <w:szCs w:val="22"/>
        </w:rPr>
        <w:t>to class on Thursday April 27</w:t>
      </w:r>
      <w:r w:rsidR="00C364B2" w:rsidRPr="00D11321">
        <w:rPr>
          <w:rFonts w:ascii="Times New Roman" w:hAnsi="Times New Roman" w:cs="Times New Roman"/>
          <w:sz w:val="22"/>
          <w:szCs w:val="22"/>
        </w:rPr>
        <w:t>.</w:t>
      </w:r>
      <w:r w:rsidR="00021E6B" w:rsidRPr="00021E6B">
        <w:rPr>
          <w:rStyle w:val="FootnoteReference"/>
          <w:sz w:val="22"/>
          <w:szCs w:val="22"/>
        </w:rPr>
        <w:t xml:space="preserve"> </w:t>
      </w:r>
      <w:r w:rsidR="00021E6B" w:rsidRPr="00F35002">
        <w:rPr>
          <w:rStyle w:val="FootnoteReference"/>
          <w:rFonts w:ascii="Times New Roman" w:hAnsi="Times New Roman" w:cs="Times New Roman"/>
          <w:sz w:val="22"/>
          <w:szCs w:val="22"/>
        </w:rPr>
        <w:footnoteReference w:id="1"/>
      </w:r>
      <w:r w:rsidR="00F35002" w:rsidRPr="00F35002">
        <w:rPr>
          <w:rFonts w:ascii="Times New Roman" w:hAnsi="Times New Roman" w:cs="Times New Roman"/>
          <w:sz w:val="22"/>
          <w:szCs w:val="22"/>
        </w:rPr>
        <w:t xml:space="preserve"> Please be prepared to discuss your presentation.</w:t>
      </w:r>
    </w:p>
    <w:p w14:paraId="2346BEBD" w14:textId="77777777" w:rsidR="00C364B2" w:rsidRDefault="00C364B2" w:rsidP="00BE49D2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0468312" w14:textId="33E780FE" w:rsidR="004F4876" w:rsidRPr="004F4876" w:rsidRDefault="004F4876" w:rsidP="00BE49D2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D11321">
        <w:rPr>
          <w:rFonts w:ascii="Times New Roman" w:hAnsi="Times New Roman" w:cs="Times New Roman"/>
          <w:sz w:val="22"/>
          <w:szCs w:val="22"/>
        </w:rPr>
        <w:t xml:space="preserve">Prepare a </w:t>
      </w:r>
      <w:r>
        <w:rPr>
          <w:rFonts w:ascii="Times New Roman" w:hAnsi="Times New Roman" w:cs="Times New Roman"/>
          <w:sz w:val="22"/>
          <w:szCs w:val="22"/>
        </w:rPr>
        <w:t>one-page typed R</w:t>
      </w:r>
      <w:r w:rsidRPr="00D11321">
        <w:rPr>
          <w:rFonts w:ascii="Times New Roman" w:hAnsi="Times New Roman" w:cs="Times New Roman"/>
          <w:sz w:val="22"/>
          <w:szCs w:val="22"/>
        </w:rPr>
        <w:t>eport showing the ROE decomposition for the two companies. For each component of ROE (</w:t>
      </w:r>
      <w:r w:rsidR="00B654E9">
        <w:rPr>
          <w:rFonts w:ascii="Times New Roman" w:hAnsi="Times New Roman" w:cs="Times New Roman"/>
          <w:sz w:val="22"/>
          <w:szCs w:val="22"/>
        </w:rPr>
        <w:t xml:space="preserve">net </w:t>
      </w:r>
      <w:r w:rsidRPr="00D11321">
        <w:rPr>
          <w:rFonts w:ascii="Times New Roman" w:hAnsi="Times New Roman" w:cs="Times New Roman"/>
          <w:sz w:val="22"/>
          <w:szCs w:val="22"/>
        </w:rPr>
        <w:t xml:space="preserve">profit margin, </w:t>
      </w:r>
      <w:r w:rsidR="00B654E9">
        <w:rPr>
          <w:rFonts w:ascii="Times New Roman" w:hAnsi="Times New Roman" w:cs="Times New Roman"/>
          <w:sz w:val="22"/>
          <w:szCs w:val="22"/>
        </w:rPr>
        <w:t xml:space="preserve">asset </w:t>
      </w:r>
      <w:r w:rsidRPr="00D11321">
        <w:rPr>
          <w:rFonts w:ascii="Times New Roman" w:hAnsi="Times New Roman" w:cs="Times New Roman"/>
          <w:sz w:val="22"/>
          <w:szCs w:val="22"/>
        </w:rPr>
        <w:t xml:space="preserve">turnover, leverage) </w:t>
      </w:r>
      <w:r w:rsidR="00B654E9">
        <w:rPr>
          <w:rFonts w:ascii="Times New Roman" w:hAnsi="Times New Roman" w:cs="Times New Roman"/>
          <w:sz w:val="22"/>
          <w:szCs w:val="22"/>
        </w:rPr>
        <w:t>compare the companies’</w:t>
      </w:r>
      <w:r w:rsidRPr="00D11321">
        <w:rPr>
          <w:rFonts w:ascii="Times New Roman" w:hAnsi="Times New Roman" w:cs="Times New Roman"/>
          <w:sz w:val="22"/>
          <w:szCs w:val="22"/>
        </w:rPr>
        <w:t xml:space="preserve"> metric</w:t>
      </w:r>
      <w:r w:rsidR="00B654E9">
        <w:rPr>
          <w:rFonts w:ascii="Times New Roman" w:hAnsi="Times New Roman" w:cs="Times New Roman"/>
          <w:sz w:val="22"/>
          <w:szCs w:val="22"/>
        </w:rPr>
        <w:t>s</w:t>
      </w:r>
      <w:r w:rsidRPr="00D11321">
        <w:rPr>
          <w:rFonts w:ascii="Times New Roman" w:hAnsi="Times New Roman" w:cs="Times New Roman"/>
          <w:sz w:val="22"/>
          <w:szCs w:val="22"/>
        </w:rPr>
        <w:t xml:space="preserve">. Make an overall comparison of the drivers of each company’s profitability. </w:t>
      </w:r>
      <w:r>
        <w:rPr>
          <w:rFonts w:ascii="Times New Roman" w:hAnsi="Times New Roman" w:cs="Times New Roman"/>
          <w:sz w:val="22"/>
          <w:szCs w:val="22"/>
        </w:rPr>
        <w:t>(</w:t>
      </w:r>
      <w:r w:rsidRPr="00D11321">
        <w:rPr>
          <w:rFonts w:ascii="Times New Roman" w:hAnsi="Times New Roman" w:cs="Times New Roman"/>
          <w:sz w:val="22"/>
          <w:szCs w:val="22"/>
        </w:rPr>
        <w:t>Maximum length 1 page.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D1132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583495" w14:textId="77777777" w:rsidR="00BE49D2" w:rsidRDefault="00BE49D2" w:rsidP="00BE49D2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5CE7727" w14:textId="0123177C" w:rsidR="007A384B" w:rsidRPr="00024377" w:rsidRDefault="008C46BA" w:rsidP="008C46BA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021E6B">
        <w:rPr>
          <w:rFonts w:ascii="Times New Roman" w:hAnsi="Times New Roman" w:cs="Times New Roman"/>
          <w:sz w:val="22"/>
          <w:szCs w:val="22"/>
        </w:rPr>
        <w:t xml:space="preserve">deadline </w:t>
      </w:r>
      <w:r w:rsidR="00841D3B">
        <w:rPr>
          <w:rFonts w:ascii="Times New Roman" w:hAnsi="Times New Roman" w:cs="Times New Roman"/>
          <w:sz w:val="22"/>
          <w:szCs w:val="22"/>
        </w:rPr>
        <w:t xml:space="preserve">to </w:t>
      </w:r>
      <w:r w:rsidR="00841D3B" w:rsidRPr="00B71F83">
        <w:rPr>
          <w:rFonts w:ascii="Times New Roman" w:hAnsi="Times New Roman" w:cs="Times New Roman"/>
          <w:b/>
          <w:sz w:val="22"/>
          <w:szCs w:val="22"/>
        </w:rPr>
        <w:t xml:space="preserve">submit hard copy of the typed </w:t>
      </w:r>
      <w:r w:rsidR="00021E6B" w:rsidRPr="00B71F83">
        <w:rPr>
          <w:rFonts w:ascii="Times New Roman" w:hAnsi="Times New Roman" w:cs="Times New Roman"/>
          <w:b/>
          <w:sz w:val="22"/>
          <w:szCs w:val="22"/>
        </w:rPr>
        <w:t>Report</w:t>
      </w:r>
      <w:r w:rsidR="00021E6B">
        <w:rPr>
          <w:rFonts w:ascii="Times New Roman" w:hAnsi="Times New Roman" w:cs="Times New Roman"/>
          <w:sz w:val="22"/>
          <w:szCs w:val="22"/>
        </w:rPr>
        <w:t xml:space="preserve"> is</w:t>
      </w:r>
      <w:r w:rsidR="00024377" w:rsidRPr="00024377">
        <w:rPr>
          <w:rFonts w:ascii="Times New Roman" w:hAnsi="Times New Roman" w:cs="Times New Roman"/>
          <w:sz w:val="22"/>
          <w:szCs w:val="22"/>
        </w:rPr>
        <w:t xml:space="preserve"> the begin</w:t>
      </w:r>
      <w:r w:rsidR="003868FD">
        <w:rPr>
          <w:rFonts w:ascii="Times New Roman" w:hAnsi="Times New Roman" w:cs="Times New Roman"/>
          <w:sz w:val="22"/>
          <w:szCs w:val="22"/>
        </w:rPr>
        <w:t>ning of class on Monday, May 1</w:t>
      </w:r>
      <w:r w:rsidR="00B71F83">
        <w:rPr>
          <w:rFonts w:ascii="Times New Roman" w:hAnsi="Times New Roman" w:cs="Times New Roman"/>
          <w:sz w:val="22"/>
          <w:szCs w:val="22"/>
        </w:rPr>
        <w:t>st</w:t>
      </w:r>
      <w:r w:rsidR="00841D3B">
        <w:rPr>
          <w:rFonts w:ascii="Times New Roman" w:hAnsi="Times New Roman" w:cs="Times New Roman"/>
          <w:sz w:val="22"/>
          <w:szCs w:val="22"/>
        </w:rPr>
        <w:t>;</w:t>
      </w:r>
      <w:r w:rsidR="00F35002" w:rsidRPr="00F35002">
        <w:rPr>
          <w:rStyle w:val="FootnoteReference"/>
          <w:sz w:val="22"/>
          <w:szCs w:val="22"/>
        </w:rPr>
        <w:t xml:space="preserve"> </w:t>
      </w:r>
      <w:r w:rsidR="00F35002" w:rsidRPr="00D11321">
        <w:rPr>
          <w:rStyle w:val="FootnoteReference"/>
          <w:sz w:val="22"/>
          <w:szCs w:val="22"/>
        </w:rPr>
        <w:footnoteReference w:id="2"/>
      </w:r>
      <w:r w:rsidR="00841D3B">
        <w:rPr>
          <w:rFonts w:ascii="Times New Roman" w:hAnsi="Times New Roman" w:cs="Times New Roman"/>
          <w:sz w:val="22"/>
          <w:szCs w:val="22"/>
        </w:rPr>
        <w:t xml:space="preserve"> however</w:t>
      </w:r>
      <w:r w:rsidR="00B71F83">
        <w:rPr>
          <w:rFonts w:ascii="Times New Roman" w:hAnsi="Times New Roman" w:cs="Times New Roman"/>
          <w:sz w:val="22"/>
          <w:szCs w:val="22"/>
        </w:rPr>
        <w:t>,</w:t>
      </w:r>
      <w:r w:rsidR="00841D3B">
        <w:rPr>
          <w:rFonts w:ascii="Times New Roman" w:hAnsi="Times New Roman" w:cs="Times New Roman"/>
          <w:sz w:val="22"/>
          <w:szCs w:val="22"/>
        </w:rPr>
        <w:t xml:space="preserve"> early submission is welcome</w:t>
      </w:r>
      <w:r w:rsidR="003868FD">
        <w:rPr>
          <w:rFonts w:ascii="Times New Roman" w:hAnsi="Times New Roman" w:cs="Times New Roman"/>
          <w:sz w:val="22"/>
          <w:szCs w:val="22"/>
        </w:rPr>
        <w:t>.</w:t>
      </w:r>
      <w:r w:rsidR="00021E6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E9BA9FB" w14:textId="77777777" w:rsidR="005E22D4" w:rsidRPr="002A6A99" w:rsidRDefault="005E22D4" w:rsidP="002A6A99">
      <w:pPr>
        <w:rPr>
          <w:sz w:val="22"/>
          <w:szCs w:val="22"/>
        </w:rPr>
      </w:pPr>
    </w:p>
    <w:p w14:paraId="44D4F041" w14:textId="77777777" w:rsidR="00860AF4" w:rsidRPr="00D11321" w:rsidRDefault="00B96B20" w:rsidP="00860AF4">
      <w:pPr>
        <w:rPr>
          <w:sz w:val="20"/>
          <w:szCs w:val="22"/>
        </w:rPr>
      </w:pPr>
      <w:r w:rsidRPr="00D11321">
        <w:rPr>
          <w:sz w:val="20"/>
          <w:szCs w:val="22"/>
        </w:rPr>
        <w:t>Grading Rubric</w:t>
      </w:r>
    </w:p>
    <w:tbl>
      <w:tblPr>
        <w:tblStyle w:val="TableGrid0"/>
        <w:tblW w:w="9350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898"/>
        <w:gridCol w:w="6206"/>
      </w:tblGrid>
      <w:tr w:rsidR="00BA6517" w:rsidRPr="00D11321" w14:paraId="52D47523" w14:textId="77777777" w:rsidTr="00336400">
        <w:trPr>
          <w:trHeight w:val="20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C0EF" w14:textId="77777777" w:rsidR="00BA6517" w:rsidRPr="00D11321" w:rsidRDefault="00BA6517" w:rsidP="009C5CD2">
            <w:pPr>
              <w:ind w:left="5"/>
              <w:rPr>
                <w:sz w:val="20"/>
              </w:rPr>
            </w:pPr>
            <w:r w:rsidRPr="00D11321">
              <w:rPr>
                <w:rFonts w:eastAsia="Times New Roman"/>
                <w:sz w:val="20"/>
              </w:rPr>
              <w:t xml:space="preserve">Excellent 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6A11" w14:textId="77777777" w:rsidR="00BA6517" w:rsidRPr="00D11321" w:rsidRDefault="00BA6517" w:rsidP="009C5CD2">
            <w:pPr>
              <w:rPr>
                <w:sz w:val="20"/>
              </w:rPr>
            </w:pPr>
            <w:r w:rsidRPr="00D11321">
              <w:rPr>
                <w:rFonts w:eastAsia="Times New Roman"/>
                <w:sz w:val="20"/>
              </w:rPr>
              <w:t xml:space="preserve">100 </w:t>
            </w:r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CE78" w14:textId="77777777" w:rsidR="00BA6517" w:rsidRPr="00D11321" w:rsidRDefault="00BA6517" w:rsidP="00BA6517">
            <w:pPr>
              <w:numPr>
                <w:ilvl w:val="0"/>
                <w:numId w:val="7"/>
              </w:numPr>
              <w:rPr>
                <w:sz w:val="20"/>
              </w:rPr>
            </w:pPr>
            <w:r w:rsidRPr="00D11321">
              <w:rPr>
                <w:rFonts w:eastAsia="Times New Roman"/>
                <w:sz w:val="20"/>
              </w:rPr>
              <w:t xml:space="preserve">Complies with all requirements.  </w:t>
            </w:r>
          </w:p>
          <w:p w14:paraId="08057F3B" w14:textId="77777777" w:rsidR="00BA6517" w:rsidRPr="00D11321" w:rsidRDefault="00BA6517" w:rsidP="00BA6517">
            <w:pPr>
              <w:numPr>
                <w:ilvl w:val="0"/>
                <w:numId w:val="7"/>
              </w:numPr>
              <w:rPr>
                <w:sz w:val="20"/>
              </w:rPr>
            </w:pPr>
            <w:r w:rsidRPr="00D11321">
              <w:rPr>
                <w:rFonts w:eastAsia="Times New Roman"/>
                <w:sz w:val="20"/>
              </w:rPr>
              <w:t xml:space="preserve">Correct information. </w:t>
            </w:r>
          </w:p>
          <w:p w14:paraId="55EE9F4C" w14:textId="77777777" w:rsidR="00BA6517" w:rsidRPr="00D11321" w:rsidRDefault="00BA6517" w:rsidP="00BA6517">
            <w:pPr>
              <w:numPr>
                <w:ilvl w:val="0"/>
                <w:numId w:val="7"/>
              </w:numPr>
              <w:rPr>
                <w:sz w:val="20"/>
              </w:rPr>
            </w:pPr>
            <w:r w:rsidRPr="00D11321">
              <w:rPr>
                <w:rFonts w:eastAsia="Times New Roman"/>
                <w:sz w:val="20"/>
              </w:rPr>
              <w:t xml:space="preserve">Content shows evidence of thoughtfulness.  </w:t>
            </w:r>
          </w:p>
          <w:p w14:paraId="3E620E89" w14:textId="77777777" w:rsidR="00BA6517" w:rsidRPr="00D11321" w:rsidRDefault="00BA6517" w:rsidP="00BA6517">
            <w:pPr>
              <w:numPr>
                <w:ilvl w:val="0"/>
                <w:numId w:val="7"/>
              </w:numPr>
              <w:rPr>
                <w:sz w:val="20"/>
              </w:rPr>
            </w:pPr>
            <w:r w:rsidRPr="00D11321">
              <w:rPr>
                <w:rFonts w:eastAsia="Times New Roman"/>
                <w:sz w:val="20"/>
              </w:rPr>
              <w:t xml:space="preserve">Impeccable spelling and grammar. </w:t>
            </w:r>
          </w:p>
        </w:tc>
      </w:tr>
      <w:tr w:rsidR="00BA6517" w:rsidRPr="00D11321" w14:paraId="26BEA084" w14:textId="77777777" w:rsidTr="00336400">
        <w:trPr>
          <w:trHeight w:val="20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E919D" w14:textId="77777777" w:rsidR="00BA6517" w:rsidRPr="00D11321" w:rsidRDefault="00BA6517" w:rsidP="009C5CD2">
            <w:pPr>
              <w:ind w:left="5"/>
              <w:rPr>
                <w:sz w:val="20"/>
              </w:rPr>
            </w:pPr>
            <w:r w:rsidRPr="00D11321">
              <w:rPr>
                <w:rFonts w:eastAsia="Times New Roman"/>
                <w:sz w:val="20"/>
              </w:rPr>
              <w:t xml:space="preserve">Good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4FBF7" w14:textId="77777777" w:rsidR="00BA6517" w:rsidRPr="00D11321" w:rsidRDefault="00BA6517" w:rsidP="009C5CD2">
            <w:pPr>
              <w:rPr>
                <w:sz w:val="20"/>
              </w:rPr>
            </w:pPr>
            <w:r w:rsidRPr="00D11321">
              <w:rPr>
                <w:rFonts w:eastAsia="Times New Roman"/>
                <w:sz w:val="20"/>
              </w:rPr>
              <w:t xml:space="preserve">90 </w:t>
            </w:r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1AF4" w14:textId="77777777" w:rsidR="00BA6517" w:rsidRPr="00D11321" w:rsidRDefault="00BA6517" w:rsidP="00BA6517">
            <w:pPr>
              <w:numPr>
                <w:ilvl w:val="0"/>
                <w:numId w:val="7"/>
              </w:numPr>
              <w:rPr>
                <w:sz w:val="20"/>
              </w:rPr>
            </w:pPr>
            <w:r w:rsidRPr="00D11321">
              <w:rPr>
                <w:rFonts w:eastAsia="Times New Roman"/>
                <w:sz w:val="20"/>
              </w:rPr>
              <w:t xml:space="preserve">Complies with all requirements.  </w:t>
            </w:r>
          </w:p>
          <w:p w14:paraId="42ADF5E1" w14:textId="77777777" w:rsidR="00BA6517" w:rsidRPr="00D11321" w:rsidRDefault="00BA6517" w:rsidP="00BA6517">
            <w:pPr>
              <w:numPr>
                <w:ilvl w:val="0"/>
                <w:numId w:val="7"/>
              </w:numPr>
              <w:rPr>
                <w:sz w:val="20"/>
              </w:rPr>
            </w:pPr>
            <w:r w:rsidRPr="00D11321">
              <w:rPr>
                <w:rFonts w:eastAsia="Times New Roman"/>
                <w:sz w:val="20"/>
              </w:rPr>
              <w:t xml:space="preserve">Correct information. </w:t>
            </w:r>
          </w:p>
        </w:tc>
      </w:tr>
      <w:tr w:rsidR="00BA6517" w:rsidRPr="00D11321" w14:paraId="6C995E82" w14:textId="77777777" w:rsidTr="00336400">
        <w:trPr>
          <w:trHeight w:val="20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B161" w14:textId="77777777" w:rsidR="00BA6517" w:rsidRPr="00D11321" w:rsidRDefault="00BA6517" w:rsidP="009C5CD2">
            <w:pPr>
              <w:ind w:left="5"/>
              <w:rPr>
                <w:sz w:val="20"/>
              </w:rPr>
            </w:pPr>
            <w:r w:rsidRPr="00D11321">
              <w:rPr>
                <w:rFonts w:eastAsia="Times New Roman"/>
                <w:sz w:val="20"/>
              </w:rPr>
              <w:t xml:space="preserve">Okay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D6BD" w14:textId="77777777" w:rsidR="00BA6517" w:rsidRPr="00D11321" w:rsidRDefault="00BA6517" w:rsidP="009C5CD2">
            <w:pPr>
              <w:rPr>
                <w:sz w:val="20"/>
              </w:rPr>
            </w:pPr>
            <w:r w:rsidRPr="00D11321">
              <w:rPr>
                <w:rFonts w:eastAsia="Times New Roman"/>
                <w:sz w:val="20"/>
              </w:rPr>
              <w:t xml:space="preserve">80 </w:t>
            </w:r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FE48" w14:textId="77777777" w:rsidR="00BA6517" w:rsidRPr="00D11321" w:rsidRDefault="00BA6517" w:rsidP="00BA6517">
            <w:pPr>
              <w:numPr>
                <w:ilvl w:val="0"/>
                <w:numId w:val="7"/>
              </w:numPr>
              <w:rPr>
                <w:sz w:val="20"/>
              </w:rPr>
            </w:pPr>
            <w:r w:rsidRPr="00D11321">
              <w:rPr>
                <w:rFonts w:eastAsia="Times New Roman"/>
                <w:sz w:val="20"/>
              </w:rPr>
              <w:t xml:space="preserve">Complies with all requirements.  </w:t>
            </w:r>
          </w:p>
          <w:p w14:paraId="3C42E008" w14:textId="71DD86C2" w:rsidR="00BA6517" w:rsidRPr="00D11321" w:rsidRDefault="00BE0B2E" w:rsidP="00BA6517">
            <w:pPr>
              <w:numPr>
                <w:ilvl w:val="0"/>
                <w:numId w:val="7"/>
              </w:numPr>
              <w:rPr>
                <w:sz w:val="20"/>
              </w:rPr>
            </w:pPr>
            <w:r w:rsidRPr="00D11321">
              <w:rPr>
                <w:rFonts w:eastAsia="Times New Roman"/>
                <w:sz w:val="20"/>
              </w:rPr>
              <w:t>Minor</w:t>
            </w:r>
            <w:r w:rsidR="00BA6517" w:rsidRPr="00D11321">
              <w:rPr>
                <w:rFonts w:eastAsia="Times New Roman"/>
                <w:sz w:val="20"/>
              </w:rPr>
              <w:t xml:space="preserve"> incorrect information. </w:t>
            </w:r>
          </w:p>
        </w:tc>
      </w:tr>
      <w:tr w:rsidR="00BE0B2E" w:rsidRPr="00D11321" w14:paraId="2C7E035C" w14:textId="77777777" w:rsidTr="00336400">
        <w:trPr>
          <w:trHeight w:val="20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22049" w14:textId="04FC16EF" w:rsidR="00BE0B2E" w:rsidRPr="00D11321" w:rsidRDefault="00BE0B2E" w:rsidP="009C5CD2">
            <w:pPr>
              <w:ind w:left="5"/>
              <w:rPr>
                <w:rFonts w:eastAsia="Times New Roman"/>
                <w:sz w:val="20"/>
              </w:rPr>
            </w:pPr>
            <w:r w:rsidRPr="00D11321">
              <w:rPr>
                <w:rFonts w:eastAsia="Times New Roman"/>
                <w:sz w:val="20"/>
              </w:rPr>
              <w:t>Marginal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4AAA" w14:textId="1D620DD5" w:rsidR="00BE0B2E" w:rsidRPr="00D11321" w:rsidRDefault="00BE0B2E" w:rsidP="009C5CD2">
            <w:pPr>
              <w:rPr>
                <w:rFonts w:eastAsia="Times New Roman"/>
                <w:sz w:val="20"/>
              </w:rPr>
            </w:pPr>
            <w:r w:rsidRPr="00D11321">
              <w:rPr>
                <w:rFonts w:eastAsia="Times New Roman"/>
                <w:sz w:val="20"/>
              </w:rPr>
              <w:t>70</w:t>
            </w:r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ED07" w14:textId="77777777" w:rsidR="00BE0B2E" w:rsidRPr="00D11321" w:rsidRDefault="00BE0B2E" w:rsidP="00BA651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D11321">
              <w:rPr>
                <w:rFonts w:ascii="Times New Roman" w:eastAsia="Times New Roman" w:hAnsi="Times New Roman" w:cs="Times New Roman"/>
                <w:sz w:val="20"/>
              </w:rPr>
              <w:t>Complies with most requirements.</w:t>
            </w:r>
          </w:p>
          <w:p w14:paraId="798633CC" w14:textId="07E854AD" w:rsidR="00BE0B2E" w:rsidRPr="00D11321" w:rsidRDefault="00BE0B2E" w:rsidP="00BA651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D11321">
              <w:rPr>
                <w:rFonts w:ascii="Times New Roman" w:eastAsia="Times New Roman" w:hAnsi="Times New Roman" w:cs="Times New Roman"/>
                <w:sz w:val="20"/>
              </w:rPr>
              <w:t>Minor incorrect information.</w:t>
            </w:r>
          </w:p>
        </w:tc>
      </w:tr>
      <w:tr w:rsidR="00BA6517" w:rsidRPr="00D11321" w14:paraId="402E3DAE" w14:textId="77777777" w:rsidTr="00336400">
        <w:trPr>
          <w:trHeight w:val="20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B85A1" w14:textId="77777777" w:rsidR="00BA6517" w:rsidRPr="00D11321" w:rsidRDefault="00BA6517" w:rsidP="009C5CD2">
            <w:pPr>
              <w:ind w:left="5"/>
              <w:rPr>
                <w:sz w:val="20"/>
              </w:rPr>
            </w:pPr>
            <w:r w:rsidRPr="00D11321">
              <w:rPr>
                <w:rFonts w:eastAsia="Times New Roman"/>
                <w:sz w:val="20"/>
              </w:rPr>
              <w:t xml:space="preserve">Poor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25A9C" w14:textId="77777777" w:rsidR="00BA6517" w:rsidRPr="00D11321" w:rsidRDefault="00BA6517" w:rsidP="009C5CD2">
            <w:pPr>
              <w:rPr>
                <w:sz w:val="20"/>
              </w:rPr>
            </w:pPr>
            <w:r w:rsidRPr="00D11321">
              <w:rPr>
                <w:rFonts w:eastAsia="Times New Roman"/>
                <w:sz w:val="20"/>
              </w:rPr>
              <w:t xml:space="preserve">60 </w:t>
            </w:r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0CCD" w14:textId="77777777" w:rsidR="00BA6517" w:rsidRPr="00D11321" w:rsidRDefault="00BA6517" w:rsidP="00BA651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D11321">
              <w:rPr>
                <w:rFonts w:ascii="Times New Roman" w:eastAsia="Times New Roman" w:hAnsi="Times New Roman" w:cs="Times New Roman"/>
                <w:sz w:val="20"/>
              </w:rPr>
              <w:t xml:space="preserve">Does not comply with all requirements. </w:t>
            </w:r>
          </w:p>
          <w:p w14:paraId="78571785" w14:textId="77777777" w:rsidR="00BA6517" w:rsidRPr="00D11321" w:rsidRDefault="00BA6517" w:rsidP="00BA6517">
            <w:pPr>
              <w:numPr>
                <w:ilvl w:val="0"/>
                <w:numId w:val="7"/>
              </w:numPr>
              <w:rPr>
                <w:rFonts w:eastAsia="Times New Roman"/>
                <w:sz w:val="20"/>
              </w:rPr>
            </w:pPr>
            <w:r w:rsidRPr="00D11321">
              <w:rPr>
                <w:rFonts w:eastAsia="Times New Roman"/>
                <w:sz w:val="20"/>
              </w:rPr>
              <w:t>Incorrect information.</w:t>
            </w:r>
          </w:p>
        </w:tc>
      </w:tr>
      <w:tr w:rsidR="00BA6517" w:rsidRPr="00D11321" w14:paraId="5B1D3D6F" w14:textId="77777777" w:rsidTr="00336400">
        <w:trPr>
          <w:trHeight w:val="20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197F" w14:textId="77777777" w:rsidR="00BA6517" w:rsidRPr="00D11321" w:rsidRDefault="00BA6517" w:rsidP="009C5CD2">
            <w:pPr>
              <w:ind w:left="5"/>
              <w:rPr>
                <w:sz w:val="20"/>
              </w:rPr>
            </w:pPr>
            <w:r w:rsidRPr="00D11321">
              <w:rPr>
                <w:rFonts w:eastAsia="Times New Roman"/>
                <w:sz w:val="20"/>
              </w:rPr>
              <w:t xml:space="preserve">Unacceptable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FC72" w14:textId="77777777" w:rsidR="00BA6517" w:rsidRPr="00D11321" w:rsidRDefault="00BA6517" w:rsidP="009C5CD2">
            <w:pPr>
              <w:rPr>
                <w:sz w:val="20"/>
              </w:rPr>
            </w:pPr>
            <w:r w:rsidRPr="00D11321">
              <w:rPr>
                <w:rFonts w:eastAsia="Times New Roman"/>
                <w:sz w:val="20"/>
              </w:rPr>
              <w:t xml:space="preserve">0 </w:t>
            </w:r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07D0C" w14:textId="77777777" w:rsidR="00BA6517" w:rsidRPr="00D11321" w:rsidRDefault="00BA6517" w:rsidP="00BA6517">
            <w:pPr>
              <w:numPr>
                <w:ilvl w:val="0"/>
                <w:numId w:val="7"/>
              </w:numPr>
              <w:rPr>
                <w:rFonts w:eastAsia="Times New Roman"/>
                <w:sz w:val="20"/>
              </w:rPr>
            </w:pPr>
            <w:r w:rsidRPr="00D11321">
              <w:rPr>
                <w:rFonts w:eastAsia="Times New Roman"/>
                <w:sz w:val="20"/>
              </w:rPr>
              <w:t>Incomplete or missing. OR</w:t>
            </w:r>
          </w:p>
          <w:p w14:paraId="7CDA3B2E" w14:textId="77777777" w:rsidR="00BA6517" w:rsidRPr="00D11321" w:rsidRDefault="00BA6517" w:rsidP="00BA6517">
            <w:pPr>
              <w:numPr>
                <w:ilvl w:val="0"/>
                <w:numId w:val="7"/>
              </w:numPr>
              <w:rPr>
                <w:rFonts w:eastAsia="Times New Roman"/>
                <w:sz w:val="20"/>
              </w:rPr>
            </w:pPr>
            <w:r w:rsidRPr="00D11321">
              <w:rPr>
                <w:rFonts w:eastAsia="Times New Roman"/>
                <w:sz w:val="20"/>
              </w:rPr>
              <w:t>Uses directly quoted information without proper attribution.</w:t>
            </w:r>
          </w:p>
        </w:tc>
      </w:tr>
    </w:tbl>
    <w:p w14:paraId="0BCAB08E" w14:textId="77777777" w:rsidR="00A33C8A" w:rsidRDefault="00A33C8A" w:rsidP="001248A8">
      <w:pPr>
        <w:rPr>
          <w:sz w:val="22"/>
          <w:szCs w:val="22"/>
          <w:highlight w:val="red"/>
        </w:rPr>
      </w:pPr>
    </w:p>
    <w:p w14:paraId="232CE4A1" w14:textId="77777777" w:rsidR="00336400" w:rsidRDefault="00336400" w:rsidP="001248A8">
      <w:pPr>
        <w:rPr>
          <w:sz w:val="22"/>
          <w:szCs w:val="22"/>
          <w:highlight w:val="red"/>
        </w:rPr>
      </w:pPr>
    </w:p>
    <w:p w14:paraId="0C4BBDB2" w14:textId="77777777" w:rsidR="00336400" w:rsidRDefault="00336400" w:rsidP="001248A8">
      <w:pPr>
        <w:rPr>
          <w:sz w:val="22"/>
          <w:szCs w:val="22"/>
          <w:highlight w:val="red"/>
        </w:rPr>
      </w:pPr>
    </w:p>
    <w:p w14:paraId="50B91AE6" w14:textId="77777777" w:rsidR="00336400" w:rsidRDefault="00336400" w:rsidP="001248A8">
      <w:pPr>
        <w:rPr>
          <w:sz w:val="22"/>
          <w:szCs w:val="22"/>
          <w:highlight w:val="red"/>
        </w:rPr>
      </w:pPr>
    </w:p>
    <w:p w14:paraId="71D7BA97" w14:textId="52B257DA" w:rsidR="003B13E4" w:rsidRPr="00904855" w:rsidRDefault="003B13E4" w:rsidP="003B13E4">
      <w:pPr>
        <w:rPr>
          <w:i/>
          <w:sz w:val="22"/>
          <w:szCs w:val="22"/>
        </w:rPr>
      </w:pPr>
      <w:r w:rsidRPr="00904855">
        <w:rPr>
          <w:i/>
          <w:sz w:val="22"/>
          <w:szCs w:val="22"/>
        </w:rPr>
        <w:t>Example of</w:t>
      </w:r>
      <w:r w:rsidR="00C17761">
        <w:rPr>
          <w:i/>
          <w:sz w:val="22"/>
          <w:szCs w:val="22"/>
        </w:rPr>
        <w:t xml:space="preserve"> PowerPoint</w:t>
      </w:r>
      <w:r w:rsidRPr="00904855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Presentation</w:t>
      </w:r>
      <w:r w:rsidRPr="00904855">
        <w:rPr>
          <w:i/>
          <w:sz w:val="22"/>
          <w:szCs w:val="22"/>
        </w:rPr>
        <w:t xml:space="preserve"> using Target and Tiffany</w:t>
      </w:r>
    </w:p>
    <w:p w14:paraId="4419BF81" w14:textId="02189165" w:rsidR="00823525" w:rsidRDefault="00823525" w:rsidP="003251EB">
      <w:pPr>
        <w:rPr>
          <w:i/>
          <w:sz w:val="22"/>
          <w:szCs w:val="22"/>
        </w:rPr>
      </w:pPr>
    </w:p>
    <w:p w14:paraId="038E7010" w14:textId="5567B60A" w:rsidR="004E113A" w:rsidRDefault="00F74499" w:rsidP="003251EB">
      <w:pPr>
        <w:rPr>
          <w:i/>
          <w:sz w:val="22"/>
          <w:szCs w:val="22"/>
        </w:rPr>
      </w:pPr>
      <w:r>
        <w:rPr>
          <w:i/>
          <w:noProof/>
          <w:sz w:val="22"/>
          <w:szCs w:val="22"/>
        </w:rPr>
        <w:drawing>
          <wp:inline distT="0" distB="0" distL="0" distR="0" wp14:anchorId="1744384C" wp14:editId="1ABDE8C7">
            <wp:extent cx="3462338" cy="1732893"/>
            <wp:effectExtent l="152400" t="152400" r="144780" b="147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828" cy="17531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BF711B" w14:textId="7962D99E" w:rsidR="00A028D0" w:rsidRDefault="00A028D0" w:rsidP="003251EB">
      <w:pPr>
        <w:rPr>
          <w:i/>
          <w:sz w:val="22"/>
          <w:szCs w:val="22"/>
        </w:rPr>
      </w:pPr>
    </w:p>
    <w:p w14:paraId="6043872B" w14:textId="56CC10B5" w:rsidR="00A028D0" w:rsidRDefault="00A028D0" w:rsidP="003251EB">
      <w:pPr>
        <w:rPr>
          <w:i/>
          <w:sz w:val="22"/>
          <w:szCs w:val="22"/>
        </w:rPr>
      </w:pPr>
      <w:r>
        <w:rPr>
          <w:i/>
          <w:noProof/>
          <w:sz w:val="22"/>
          <w:szCs w:val="22"/>
        </w:rPr>
        <w:drawing>
          <wp:inline distT="0" distB="0" distL="0" distR="0" wp14:anchorId="7BEF051D" wp14:editId="11C31C81">
            <wp:extent cx="3522500" cy="1981200"/>
            <wp:effectExtent l="152400" t="152400" r="135255" b="152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736" cy="19886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543084" w14:textId="77777777" w:rsidR="00BC3D33" w:rsidRDefault="00BC3D33" w:rsidP="00A028D0">
      <w:pPr>
        <w:jc w:val="center"/>
        <w:rPr>
          <w:b/>
          <w:sz w:val="22"/>
          <w:szCs w:val="22"/>
        </w:rPr>
      </w:pPr>
    </w:p>
    <w:p w14:paraId="36D5EDC1" w14:textId="77777777" w:rsidR="00BC3D33" w:rsidRDefault="00BC3D33" w:rsidP="00A028D0">
      <w:pPr>
        <w:jc w:val="center"/>
        <w:rPr>
          <w:b/>
          <w:sz w:val="22"/>
          <w:szCs w:val="22"/>
        </w:rPr>
      </w:pPr>
    </w:p>
    <w:p w14:paraId="6DA9CF23" w14:textId="1AC91F14" w:rsidR="00A028D0" w:rsidRDefault="00A028D0" w:rsidP="00A028D0">
      <w:pPr>
        <w:jc w:val="center"/>
        <w:rPr>
          <w:b/>
          <w:sz w:val="22"/>
          <w:szCs w:val="22"/>
        </w:rPr>
      </w:pPr>
      <w:r w:rsidRPr="00A028D0">
        <w:rPr>
          <w:b/>
          <w:sz w:val="22"/>
          <w:szCs w:val="22"/>
        </w:rP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9"/>
        <w:gridCol w:w="5137"/>
      </w:tblGrid>
      <w:tr w:rsidR="00A028D0" w14:paraId="7D4B79FB" w14:textId="77777777" w:rsidTr="00A028D0">
        <w:tc>
          <w:tcPr>
            <w:tcW w:w="4788" w:type="dxa"/>
          </w:tcPr>
          <w:p w14:paraId="59A3D48C" w14:textId="1AC91F14" w:rsidR="00A028D0" w:rsidRDefault="00A028D0" w:rsidP="00A028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inline distT="0" distB="0" distL="0" distR="0" wp14:anchorId="5DDCC34C" wp14:editId="3211FD44">
                  <wp:extent cx="2469327" cy="1388852"/>
                  <wp:effectExtent l="152400" t="152400" r="147320" b="1606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327" cy="13888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7D1DDA45" w14:textId="15EFC9FA" w:rsidR="00A028D0" w:rsidRDefault="00A028D0" w:rsidP="00A028D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inline distT="0" distB="0" distL="0" distR="0" wp14:anchorId="556B500C" wp14:editId="7CDA2016">
                  <wp:extent cx="2931839" cy="1648988"/>
                  <wp:effectExtent l="152400" t="152400" r="141605" b="1549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175" cy="165761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9FCA3" w14:textId="5D8E999E" w:rsidR="003135B2" w:rsidRDefault="003135B2" w:rsidP="00A028D0">
      <w:pPr>
        <w:jc w:val="center"/>
        <w:rPr>
          <w:b/>
          <w:sz w:val="22"/>
          <w:szCs w:val="22"/>
        </w:rPr>
      </w:pPr>
    </w:p>
    <w:p w14:paraId="42A8181E" w14:textId="77777777" w:rsidR="003135B2" w:rsidRDefault="003135B2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267B26DC" w14:textId="77777777" w:rsidR="00A028D0" w:rsidRDefault="00A028D0" w:rsidP="00A028D0">
      <w:pPr>
        <w:jc w:val="center"/>
        <w:rPr>
          <w:b/>
          <w:sz w:val="22"/>
          <w:szCs w:val="22"/>
        </w:rPr>
      </w:pPr>
    </w:p>
    <w:p w14:paraId="2618932B" w14:textId="77777777" w:rsidR="003135B2" w:rsidRPr="00904855" w:rsidRDefault="003135B2" w:rsidP="003135B2">
      <w:pPr>
        <w:rPr>
          <w:i/>
          <w:sz w:val="22"/>
          <w:szCs w:val="22"/>
        </w:rPr>
      </w:pPr>
      <w:r w:rsidRPr="00904855">
        <w:rPr>
          <w:i/>
          <w:sz w:val="22"/>
          <w:szCs w:val="22"/>
        </w:rPr>
        <w:t xml:space="preserve">Example of </w:t>
      </w:r>
      <w:r>
        <w:rPr>
          <w:i/>
          <w:sz w:val="22"/>
          <w:szCs w:val="22"/>
        </w:rPr>
        <w:t>Report</w:t>
      </w:r>
      <w:r w:rsidRPr="00904855">
        <w:rPr>
          <w:i/>
          <w:sz w:val="22"/>
          <w:szCs w:val="22"/>
        </w:rPr>
        <w:t xml:space="preserve"> using Target and Tiffany</w:t>
      </w:r>
    </w:p>
    <w:p w14:paraId="17D28FD9" w14:textId="05F36C3D" w:rsidR="003135B2" w:rsidRPr="00904855" w:rsidRDefault="003135B2" w:rsidP="003135B2">
      <w:pPr>
        <w:rPr>
          <w:i/>
          <w:sz w:val="22"/>
          <w:szCs w:val="22"/>
        </w:rPr>
      </w:pPr>
      <w:r w:rsidRPr="00904855">
        <w:rPr>
          <w:i/>
          <w:sz w:val="22"/>
          <w:szCs w:val="22"/>
        </w:rPr>
        <w:t>Note</w:t>
      </w:r>
      <w:r>
        <w:rPr>
          <w:i/>
          <w:sz w:val="22"/>
          <w:szCs w:val="22"/>
        </w:rPr>
        <w:t>:</w:t>
      </w:r>
      <w:r w:rsidRPr="00904855">
        <w:rPr>
          <w:i/>
          <w:sz w:val="22"/>
          <w:szCs w:val="22"/>
        </w:rPr>
        <w:t xml:space="preserve"> Return on Sales ROS is also known as Net Profit Margin.</w:t>
      </w:r>
    </w:p>
    <w:p w14:paraId="03E5264B" w14:textId="77777777" w:rsidR="003135B2" w:rsidRDefault="003135B2" w:rsidP="003135B2">
      <w:pPr>
        <w:jc w:val="center"/>
        <w:rPr>
          <w:b/>
          <w:sz w:val="22"/>
          <w:szCs w:val="22"/>
        </w:rPr>
      </w:pPr>
    </w:p>
    <w:p w14:paraId="08FAB00A" w14:textId="77777777" w:rsidR="003135B2" w:rsidRPr="00932253" w:rsidRDefault="003135B2" w:rsidP="003135B2">
      <w:pPr>
        <w:jc w:val="center"/>
        <w:rPr>
          <w:b/>
          <w:sz w:val="22"/>
          <w:szCs w:val="22"/>
        </w:rPr>
      </w:pPr>
      <w:r w:rsidRPr="00932253">
        <w:rPr>
          <w:b/>
          <w:sz w:val="22"/>
          <w:szCs w:val="22"/>
        </w:rPr>
        <w:t>ROE decomposition: Target Corporation and Tiffany &amp; Co.</w:t>
      </w:r>
    </w:p>
    <w:p w14:paraId="14402A3B" w14:textId="77777777" w:rsidR="003135B2" w:rsidRDefault="003135B2" w:rsidP="003135B2">
      <w:pPr>
        <w:rPr>
          <w:sz w:val="22"/>
          <w:szCs w:val="22"/>
        </w:rPr>
      </w:pPr>
    </w:p>
    <w:p w14:paraId="7CA0CE8E" w14:textId="4B48AA9A" w:rsidR="003135B2" w:rsidRDefault="003135B2" w:rsidP="003135B2">
      <w:pPr>
        <w:ind w:firstLine="720"/>
        <w:rPr>
          <w:sz w:val="22"/>
          <w:szCs w:val="22"/>
        </w:rPr>
      </w:pPr>
      <w:r>
        <w:rPr>
          <w:sz w:val="22"/>
          <w:szCs w:val="22"/>
        </w:rPr>
        <w:t>For fiscal 2016, Target Corporation achieved a higher Return on Equity (ROE) than Tiffany &amp; Co. As shown</w:t>
      </w:r>
      <w:r w:rsidR="00C9296F">
        <w:rPr>
          <w:sz w:val="22"/>
          <w:szCs w:val="22"/>
        </w:rPr>
        <w:t xml:space="preserve"> below</w:t>
      </w:r>
      <w:r>
        <w:rPr>
          <w:sz w:val="22"/>
          <w:szCs w:val="22"/>
        </w:rPr>
        <w:t>, Target’s ROE was 19.8%, compared to Tiffany’s 15.0%.</w:t>
      </w:r>
    </w:p>
    <w:p w14:paraId="0E2BD5AE" w14:textId="77777777" w:rsidR="00485DA2" w:rsidRDefault="003135B2" w:rsidP="003135B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Tiffany’s Return on Sales (ROS) was </w:t>
      </w:r>
      <w:r w:rsidR="00C9296F">
        <w:rPr>
          <w:sz w:val="22"/>
          <w:szCs w:val="22"/>
        </w:rPr>
        <w:t xml:space="preserve">much </w:t>
      </w:r>
      <w:r>
        <w:rPr>
          <w:sz w:val="22"/>
          <w:szCs w:val="22"/>
        </w:rPr>
        <w:t xml:space="preserve">higher than Target’s (11.1% versus 3.8%), </w:t>
      </w:r>
      <w:r w:rsidR="00C9296F">
        <w:rPr>
          <w:sz w:val="22"/>
          <w:szCs w:val="22"/>
        </w:rPr>
        <w:t xml:space="preserve">in part </w:t>
      </w:r>
      <w:r>
        <w:rPr>
          <w:sz w:val="22"/>
          <w:szCs w:val="22"/>
        </w:rPr>
        <w:t xml:space="preserve">reflecting Tiffany’s higher margin products. </w:t>
      </w:r>
    </w:p>
    <w:p w14:paraId="24848890" w14:textId="42B13A32" w:rsidR="00485DA2" w:rsidRDefault="003135B2" w:rsidP="003135B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Target’s Asset Turnover was higher than Tiffany’s (1.71x versus 0.78x), indicating that Target generates a greater amount of sales for each dollar invested in assets. This comparison is consistent with Target’s business as a higher volume discount retailer. </w:t>
      </w:r>
    </w:p>
    <w:p w14:paraId="40211579" w14:textId="3BD9CB2A" w:rsidR="003135B2" w:rsidRDefault="003135B2" w:rsidP="003135B2">
      <w:pPr>
        <w:ind w:firstLine="720"/>
        <w:rPr>
          <w:sz w:val="22"/>
          <w:szCs w:val="22"/>
        </w:rPr>
      </w:pPr>
      <w:r>
        <w:rPr>
          <w:sz w:val="22"/>
          <w:szCs w:val="22"/>
        </w:rPr>
        <w:t>Target’s leverage was substantially higher than Tiffany’s</w:t>
      </w:r>
      <w:r w:rsidR="00485DA2">
        <w:rPr>
          <w:sz w:val="22"/>
          <w:szCs w:val="22"/>
        </w:rPr>
        <w:t xml:space="preserve"> (3.02 versus 1.72</w:t>
      </w:r>
      <w:r>
        <w:rPr>
          <w:sz w:val="22"/>
          <w:szCs w:val="22"/>
        </w:rPr>
        <w:t>.</w:t>
      </w:r>
      <w:r w:rsidR="00485DA2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8D63B0">
        <w:rPr>
          <w:sz w:val="22"/>
          <w:szCs w:val="22"/>
        </w:rPr>
        <w:t>Over the past two</w:t>
      </w:r>
      <w:r w:rsidR="00C9296F">
        <w:rPr>
          <w:sz w:val="22"/>
          <w:szCs w:val="22"/>
        </w:rPr>
        <w:t xml:space="preserve"> years Target has repur</w:t>
      </w:r>
      <w:r w:rsidR="008D63B0">
        <w:rPr>
          <w:sz w:val="22"/>
          <w:szCs w:val="22"/>
        </w:rPr>
        <w:t xml:space="preserve">chased over $7 billion shares, contributing to higher </w:t>
      </w:r>
      <w:r w:rsidR="0093019B">
        <w:rPr>
          <w:sz w:val="22"/>
          <w:szCs w:val="22"/>
        </w:rPr>
        <w:t xml:space="preserve">financial </w:t>
      </w:r>
      <w:r w:rsidR="008D63B0">
        <w:rPr>
          <w:sz w:val="22"/>
          <w:szCs w:val="22"/>
        </w:rPr>
        <w:t>leverage. However, Target’s credit rating remains relatively strong: its long-term credit rating is A2 from Moody’s and A from Standard &amp; Poor’s.</w:t>
      </w:r>
    </w:p>
    <w:p w14:paraId="50418E69" w14:textId="5CE17949" w:rsidR="003135B2" w:rsidRDefault="0093019B" w:rsidP="003135B2">
      <w:pPr>
        <w:ind w:firstLine="720"/>
        <w:rPr>
          <w:sz w:val="22"/>
          <w:szCs w:val="22"/>
        </w:rPr>
      </w:pPr>
      <w:r>
        <w:rPr>
          <w:sz w:val="22"/>
          <w:szCs w:val="22"/>
        </w:rPr>
        <w:t>In summary</w:t>
      </w:r>
      <w:bookmarkStart w:id="0" w:name="_GoBack"/>
      <w:bookmarkEnd w:id="0"/>
      <w:r w:rsidR="003135B2">
        <w:rPr>
          <w:sz w:val="22"/>
          <w:szCs w:val="22"/>
        </w:rPr>
        <w:t>, although Tiffany’s profitability was higher in terms of Net Profit Margin (i.e. ROS), Target’s higher Asset Turnover and Leverage</w:t>
      </w:r>
      <w:r>
        <w:rPr>
          <w:sz w:val="22"/>
          <w:szCs w:val="22"/>
        </w:rPr>
        <w:t xml:space="preserve"> contributed to its</w:t>
      </w:r>
      <w:r w:rsidR="003135B2">
        <w:rPr>
          <w:sz w:val="22"/>
          <w:szCs w:val="22"/>
        </w:rPr>
        <w:t xml:space="preserve"> overall higher ROE.</w:t>
      </w:r>
    </w:p>
    <w:p w14:paraId="7473FB8E" w14:textId="77777777" w:rsidR="008D63B0" w:rsidRDefault="008D63B0" w:rsidP="003135B2">
      <w:pPr>
        <w:ind w:firstLine="720"/>
        <w:rPr>
          <w:sz w:val="22"/>
          <w:szCs w:val="22"/>
        </w:rPr>
      </w:pPr>
    </w:p>
    <w:p w14:paraId="7E01289C" w14:textId="77777777" w:rsidR="003135B2" w:rsidRPr="00D11321" w:rsidRDefault="003135B2" w:rsidP="003135B2">
      <w:pPr>
        <w:rPr>
          <w:i/>
          <w:sz w:val="22"/>
          <w:szCs w:val="22"/>
        </w:rPr>
      </w:pPr>
    </w:p>
    <w:p w14:paraId="0D7FDA0B" w14:textId="20867A63" w:rsidR="003135B2" w:rsidRPr="00C9296F" w:rsidRDefault="008D63B0" w:rsidP="00C9296F">
      <w:pPr>
        <w:pBdr>
          <w:top w:val="single" w:sz="4" w:space="1" w:color="auto"/>
        </w:pBd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ROE Decomposition: </w:t>
      </w:r>
      <w:r w:rsidR="00114CF9" w:rsidRPr="00C9296F">
        <w:rPr>
          <w:b/>
          <w:sz w:val="22"/>
          <w:szCs w:val="22"/>
          <w:u w:val="single"/>
        </w:rPr>
        <w:t>Ratios</w:t>
      </w:r>
    </w:p>
    <w:p w14:paraId="7CDC84BA" w14:textId="77777777" w:rsidR="003135B2" w:rsidRDefault="003135B2" w:rsidP="003135B2">
      <w:pPr>
        <w:rPr>
          <w:i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74"/>
        <w:gridCol w:w="1151"/>
        <w:gridCol w:w="1036"/>
        <w:gridCol w:w="3173"/>
        <w:gridCol w:w="1042"/>
      </w:tblGrid>
      <w:tr w:rsidR="003135B2" w:rsidRPr="00FE5FFE" w14:paraId="7B942445" w14:textId="77777777" w:rsidTr="008D63B0">
        <w:trPr>
          <w:trHeight w:val="144"/>
        </w:trPr>
        <w:tc>
          <w:tcPr>
            <w:tcW w:w="225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CBE45" w14:textId="77777777" w:rsidR="003135B2" w:rsidRPr="00FE5FFE" w:rsidRDefault="003135B2" w:rsidP="00080772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FE5FFE">
              <w:rPr>
                <w:rFonts w:eastAsia="Times New Roman"/>
                <w:b/>
                <w:bCs/>
                <w:sz w:val="22"/>
                <w:szCs w:val="22"/>
              </w:rPr>
              <w:t>TARGET CORPORATION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29B8" w14:textId="77777777" w:rsidR="003135B2" w:rsidRPr="00FE5FFE" w:rsidRDefault="003135B2" w:rsidP="00080772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220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94AB8" w14:textId="77777777" w:rsidR="003135B2" w:rsidRPr="00FE5FFE" w:rsidRDefault="003135B2" w:rsidP="00080772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FE5FFE">
              <w:rPr>
                <w:rFonts w:eastAsia="Times New Roman"/>
                <w:b/>
                <w:bCs/>
                <w:sz w:val="22"/>
                <w:szCs w:val="22"/>
              </w:rPr>
              <w:t>TIFFANY &amp; CO.</w:t>
            </w:r>
          </w:p>
        </w:tc>
      </w:tr>
      <w:tr w:rsidR="003135B2" w:rsidRPr="00FE5FFE" w14:paraId="1BFD88AE" w14:textId="77777777" w:rsidTr="008D63B0">
        <w:trPr>
          <w:trHeight w:val="144"/>
        </w:trPr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27A8" w14:textId="77777777" w:rsidR="003135B2" w:rsidRPr="00FE5FFE" w:rsidRDefault="003135B2" w:rsidP="00080772">
            <w:pPr>
              <w:rPr>
                <w:rFonts w:eastAsia="Times New Roman"/>
                <w:sz w:val="22"/>
                <w:szCs w:val="22"/>
              </w:rPr>
            </w:pPr>
            <w:r w:rsidRPr="00FE5FFE">
              <w:rPr>
                <w:rFonts w:eastAsia="Times New Roman"/>
                <w:sz w:val="22"/>
                <w:szCs w:val="22"/>
              </w:rPr>
              <w:t>ROE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19E5" w14:textId="77777777" w:rsidR="003135B2" w:rsidRPr="00FE5FFE" w:rsidRDefault="003135B2" w:rsidP="00080772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FE5FFE">
              <w:rPr>
                <w:rFonts w:eastAsia="Times New Roman"/>
                <w:sz w:val="22"/>
                <w:szCs w:val="22"/>
              </w:rPr>
              <w:t>19.8%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3312" w14:textId="77777777" w:rsidR="003135B2" w:rsidRPr="00FE5FFE" w:rsidRDefault="003135B2" w:rsidP="00080772">
            <w:pPr>
              <w:jc w:val="right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FAF4" w14:textId="77777777" w:rsidR="003135B2" w:rsidRPr="00FE5FFE" w:rsidRDefault="003135B2" w:rsidP="00080772">
            <w:pPr>
              <w:rPr>
                <w:rFonts w:eastAsia="Times New Roman"/>
                <w:sz w:val="22"/>
                <w:szCs w:val="22"/>
              </w:rPr>
            </w:pPr>
            <w:r w:rsidRPr="00FE5FFE">
              <w:rPr>
                <w:rFonts w:eastAsia="Times New Roman"/>
                <w:sz w:val="22"/>
                <w:szCs w:val="22"/>
              </w:rPr>
              <w:t>ROE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2C12" w14:textId="77777777" w:rsidR="003135B2" w:rsidRPr="00FE5FFE" w:rsidRDefault="003135B2" w:rsidP="00080772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FE5FFE">
              <w:rPr>
                <w:rFonts w:eastAsia="Times New Roman"/>
                <w:sz w:val="22"/>
                <w:szCs w:val="22"/>
              </w:rPr>
              <w:t>15.0%</w:t>
            </w:r>
          </w:p>
        </w:tc>
      </w:tr>
      <w:tr w:rsidR="003135B2" w:rsidRPr="00FE5FFE" w14:paraId="791F0A47" w14:textId="77777777" w:rsidTr="008D63B0">
        <w:trPr>
          <w:trHeight w:val="144"/>
        </w:trPr>
        <w:tc>
          <w:tcPr>
            <w:tcW w:w="1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4264" w14:textId="77777777" w:rsidR="003135B2" w:rsidRPr="00FE5FFE" w:rsidRDefault="003135B2" w:rsidP="00080772">
            <w:pPr>
              <w:rPr>
                <w:rFonts w:eastAsia="Times New Roman"/>
                <w:sz w:val="22"/>
                <w:szCs w:val="22"/>
              </w:rPr>
            </w:pPr>
            <w:r w:rsidRPr="00FE5FFE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E598" w14:textId="77777777" w:rsidR="003135B2" w:rsidRPr="00FE5FFE" w:rsidRDefault="003135B2" w:rsidP="00080772">
            <w:pPr>
              <w:rPr>
                <w:rFonts w:eastAsia="Times New Roman"/>
                <w:sz w:val="22"/>
                <w:szCs w:val="22"/>
              </w:rPr>
            </w:pPr>
            <w:r w:rsidRPr="00FE5FFE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EE4E" w14:textId="77777777" w:rsidR="003135B2" w:rsidRPr="00FE5FFE" w:rsidRDefault="003135B2" w:rsidP="00080772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0A5D" w14:textId="77777777" w:rsidR="003135B2" w:rsidRPr="00FE5FFE" w:rsidRDefault="003135B2" w:rsidP="00080772">
            <w:pPr>
              <w:rPr>
                <w:rFonts w:eastAsia="Times New Roman"/>
                <w:sz w:val="22"/>
                <w:szCs w:val="22"/>
              </w:rPr>
            </w:pPr>
            <w:r w:rsidRPr="00FE5FFE">
              <w:rPr>
                <w:rFonts w:eastAsia="Times New Roman"/>
                <w:sz w:val="22"/>
                <w:szCs w:val="22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7E81" w14:textId="77777777" w:rsidR="003135B2" w:rsidRPr="00FE5FFE" w:rsidRDefault="003135B2" w:rsidP="00080772">
            <w:pPr>
              <w:rPr>
                <w:rFonts w:eastAsia="Times New Roman"/>
                <w:sz w:val="22"/>
                <w:szCs w:val="22"/>
              </w:rPr>
            </w:pPr>
            <w:r w:rsidRPr="00FE5FFE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3135B2" w:rsidRPr="00FE5FFE" w14:paraId="5B1B485D" w14:textId="77777777" w:rsidTr="008D63B0">
        <w:trPr>
          <w:trHeight w:val="144"/>
        </w:trPr>
        <w:tc>
          <w:tcPr>
            <w:tcW w:w="1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49E4" w14:textId="77777777" w:rsidR="003135B2" w:rsidRPr="00FE5FFE" w:rsidRDefault="003135B2" w:rsidP="00080772">
            <w:pPr>
              <w:rPr>
                <w:rFonts w:eastAsia="Times New Roman"/>
                <w:sz w:val="22"/>
                <w:szCs w:val="22"/>
              </w:rPr>
            </w:pPr>
            <w:r w:rsidRPr="00FE5FFE">
              <w:rPr>
                <w:rFonts w:eastAsia="Times New Roman"/>
                <w:sz w:val="22"/>
                <w:szCs w:val="22"/>
              </w:rPr>
              <w:t>ROS (Net Income/Sales)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92A8" w14:textId="77777777" w:rsidR="003135B2" w:rsidRPr="00FE5FFE" w:rsidRDefault="003135B2" w:rsidP="00080772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FE5FFE">
              <w:rPr>
                <w:rFonts w:eastAsia="Times New Roman"/>
                <w:sz w:val="22"/>
                <w:szCs w:val="22"/>
              </w:rPr>
              <w:t>3.8%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2747" w14:textId="77777777" w:rsidR="003135B2" w:rsidRPr="00FE5FFE" w:rsidRDefault="003135B2" w:rsidP="00080772">
            <w:pPr>
              <w:jc w:val="right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862B" w14:textId="77777777" w:rsidR="003135B2" w:rsidRPr="00FE5FFE" w:rsidRDefault="003135B2" w:rsidP="00080772">
            <w:pPr>
              <w:rPr>
                <w:rFonts w:eastAsia="Times New Roman"/>
                <w:sz w:val="22"/>
                <w:szCs w:val="22"/>
              </w:rPr>
            </w:pPr>
            <w:r w:rsidRPr="00FE5FFE">
              <w:rPr>
                <w:rFonts w:eastAsia="Times New Roman"/>
                <w:sz w:val="22"/>
                <w:szCs w:val="22"/>
              </w:rPr>
              <w:t>ROS (Net Income/Sales)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DC04" w14:textId="77777777" w:rsidR="003135B2" w:rsidRPr="00FE5FFE" w:rsidRDefault="003135B2" w:rsidP="00080772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FE5FFE">
              <w:rPr>
                <w:rFonts w:eastAsia="Times New Roman"/>
                <w:sz w:val="22"/>
                <w:szCs w:val="22"/>
              </w:rPr>
              <w:t>11.1%</w:t>
            </w:r>
          </w:p>
        </w:tc>
      </w:tr>
      <w:tr w:rsidR="003135B2" w:rsidRPr="00FE5FFE" w14:paraId="7615974E" w14:textId="77777777" w:rsidTr="008D63B0">
        <w:trPr>
          <w:trHeight w:val="144"/>
        </w:trPr>
        <w:tc>
          <w:tcPr>
            <w:tcW w:w="1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3F97E" w14:textId="77777777" w:rsidR="003135B2" w:rsidRPr="00FE5FFE" w:rsidRDefault="003135B2" w:rsidP="00080772">
            <w:pPr>
              <w:rPr>
                <w:rFonts w:eastAsia="Times New Roman"/>
                <w:sz w:val="22"/>
                <w:szCs w:val="22"/>
              </w:rPr>
            </w:pPr>
            <w:r w:rsidRPr="00FE5FFE">
              <w:rPr>
                <w:rFonts w:eastAsia="Times New Roman"/>
                <w:sz w:val="22"/>
                <w:szCs w:val="22"/>
              </w:rPr>
              <w:t>Asset Turnover (Sales/Average Assets)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2B37" w14:textId="77777777" w:rsidR="003135B2" w:rsidRPr="00FE5FFE" w:rsidRDefault="003135B2" w:rsidP="00080772">
            <w:pPr>
              <w:rPr>
                <w:rFonts w:eastAsia="Times New Roman"/>
                <w:sz w:val="22"/>
                <w:szCs w:val="22"/>
              </w:rPr>
            </w:pPr>
            <w:r w:rsidRPr="00FE5FFE">
              <w:rPr>
                <w:rFonts w:eastAsia="Times New Roman"/>
                <w:sz w:val="22"/>
                <w:szCs w:val="22"/>
              </w:rPr>
              <w:t xml:space="preserve">          1.71 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D205" w14:textId="77777777" w:rsidR="003135B2" w:rsidRPr="00FE5FFE" w:rsidRDefault="003135B2" w:rsidP="00080772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2D904" w14:textId="77777777" w:rsidR="003135B2" w:rsidRPr="00FE5FFE" w:rsidRDefault="003135B2" w:rsidP="00080772">
            <w:pPr>
              <w:rPr>
                <w:rFonts w:eastAsia="Times New Roman"/>
                <w:sz w:val="22"/>
                <w:szCs w:val="22"/>
              </w:rPr>
            </w:pPr>
            <w:r w:rsidRPr="00FE5FFE">
              <w:rPr>
                <w:rFonts w:eastAsia="Times New Roman"/>
                <w:sz w:val="22"/>
                <w:szCs w:val="22"/>
              </w:rPr>
              <w:t>Asset Turnover (Sales/Average Assets)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4812" w14:textId="77777777" w:rsidR="003135B2" w:rsidRPr="00FE5FFE" w:rsidRDefault="003135B2" w:rsidP="00080772">
            <w:pPr>
              <w:rPr>
                <w:rFonts w:eastAsia="Times New Roman"/>
                <w:sz w:val="22"/>
                <w:szCs w:val="22"/>
              </w:rPr>
            </w:pPr>
            <w:r w:rsidRPr="00FE5FFE">
              <w:rPr>
                <w:rFonts w:eastAsia="Times New Roman"/>
                <w:sz w:val="22"/>
                <w:szCs w:val="22"/>
              </w:rPr>
              <w:t xml:space="preserve">        0.78 </w:t>
            </w:r>
          </w:p>
        </w:tc>
      </w:tr>
      <w:tr w:rsidR="003135B2" w:rsidRPr="00FE5FFE" w14:paraId="5AB3E887" w14:textId="77777777" w:rsidTr="008D63B0">
        <w:trPr>
          <w:trHeight w:val="144"/>
        </w:trPr>
        <w:tc>
          <w:tcPr>
            <w:tcW w:w="1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A7117" w14:textId="77777777" w:rsidR="003135B2" w:rsidRPr="00FE5FFE" w:rsidRDefault="003135B2" w:rsidP="00080772">
            <w:pPr>
              <w:rPr>
                <w:rFonts w:eastAsia="Times New Roman"/>
                <w:sz w:val="22"/>
                <w:szCs w:val="22"/>
              </w:rPr>
            </w:pPr>
            <w:r w:rsidRPr="00FE5FFE">
              <w:rPr>
                <w:rFonts w:eastAsia="Times New Roman"/>
                <w:sz w:val="22"/>
                <w:szCs w:val="22"/>
              </w:rPr>
              <w:t>Leverage (Average Assets/ Average Equity)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4C9B" w14:textId="77777777" w:rsidR="003135B2" w:rsidRPr="00FE5FFE" w:rsidRDefault="003135B2" w:rsidP="00080772">
            <w:pPr>
              <w:rPr>
                <w:rFonts w:eastAsia="Times New Roman"/>
                <w:sz w:val="22"/>
                <w:szCs w:val="22"/>
              </w:rPr>
            </w:pPr>
            <w:r w:rsidRPr="00FE5FFE">
              <w:rPr>
                <w:rFonts w:eastAsia="Times New Roman"/>
                <w:sz w:val="22"/>
                <w:szCs w:val="22"/>
              </w:rPr>
              <w:t xml:space="preserve">          3.02 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BA90" w14:textId="77777777" w:rsidR="003135B2" w:rsidRPr="00FE5FFE" w:rsidRDefault="003135B2" w:rsidP="00080772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60180" w14:textId="77777777" w:rsidR="003135B2" w:rsidRPr="00FE5FFE" w:rsidRDefault="003135B2" w:rsidP="00080772">
            <w:pPr>
              <w:rPr>
                <w:rFonts w:eastAsia="Times New Roman"/>
                <w:sz w:val="22"/>
                <w:szCs w:val="22"/>
              </w:rPr>
            </w:pPr>
            <w:r w:rsidRPr="00FE5FFE">
              <w:rPr>
                <w:rFonts w:eastAsia="Times New Roman"/>
                <w:sz w:val="22"/>
                <w:szCs w:val="22"/>
              </w:rPr>
              <w:t>Leverage (Average Assets/ Average Equity)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6784" w14:textId="77777777" w:rsidR="003135B2" w:rsidRPr="00FE5FFE" w:rsidRDefault="003135B2" w:rsidP="00080772">
            <w:pPr>
              <w:rPr>
                <w:rFonts w:eastAsia="Times New Roman"/>
                <w:sz w:val="22"/>
                <w:szCs w:val="22"/>
              </w:rPr>
            </w:pPr>
            <w:r w:rsidRPr="00FE5FFE">
              <w:rPr>
                <w:rFonts w:eastAsia="Times New Roman"/>
                <w:sz w:val="22"/>
                <w:szCs w:val="22"/>
              </w:rPr>
              <w:t xml:space="preserve">        1.72 </w:t>
            </w:r>
          </w:p>
        </w:tc>
      </w:tr>
    </w:tbl>
    <w:p w14:paraId="42EC5803" w14:textId="77777777" w:rsidR="003135B2" w:rsidRDefault="003135B2" w:rsidP="003135B2">
      <w:pPr>
        <w:rPr>
          <w:i/>
          <w:sz w:val="22"/>
          <w:szCs w:val="22"/>
        </w:rPr>
      </w:pPr>
    </w:p>
    <w:p w14:paraId="04DE0B70" w14:textId="77777777" w:rsidR="00267F58" w:rsidRDefault="00267F58" w:rsidP="003135B2">
      <w:pPr>
        <w:rPr>
          <w:i/>
          <w:sz w:val="22"/>
          <w:szCs w:val="22"/>
        </w:rPr>
      </w:pPr>
    </w:p>
    <w:p w14:paraId="55698640" w14:textId="77777777" w:rsidR="00267F58" w:rsidRDefault="00267F58" w:rsidP="003135B2">
      <w:pPr>
        <w:rPr>
          <w:i/>
          <w:sz w:val="22"/>
          <w:szCs w:val="22"/>
        </w:rPr>
      </w:pPr>
    </w:p>
    <w:p w14:paraId="7FF9442D" w14:textId="04D039F2" w:rsidR="003135B2" w:rsidRPr="008D63B0" w:rsidRDefault="008D63B0" w:rsidP="008D63B0">
      <w:pPr>
        <w:pBdr>
          <w:top w:val="single" w:sz="4" w:space="1" w:color="auto"/>
        </w:pBdr>
        <w:jc w:val="center"/>
        <w:rPr>
          <w:b/>
          <w:sz w:val="22"/>
          <w:szCs w:val="22"/>
          <w:u w:val="single"/>
        </w:rPr>
      </w:pPr>
      <w:r w:rsidRPr="008D63B0">
        <w:rPr>
          <w:b/>
          <w:sz w:val="22"/>
          <w:szCs w:val="22"/>
          <w:u w:val="single"/>
        </w:rPr>
        <w:t>Data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14"/>
        <w:gridCol w:w="1724"/>
        <w:gridCol w:w="900"/>
        <w:gridCol w:w="3296"/>
        <w:gridCol w:w="1042"/>
      </w:tblGrid>
      <w:tr w:rsidR="003135B2" w:rsidRPr="008D63B0" w14:paraId="0808ED51" w14:textId="77777777" w:rsidTr="00267F58">
        <w:trPr>
          <w:trHeight w:val="279"/>
        </w:trPr>
        <w:tc>
          <w:tcPr>
            <w:tcW w:w="2265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716E" w14:textId="77777777" w:rsidR="003135B2" w:rsidRPr="008D63B0" w:rsidRDefault="003135B2" w:rsidP="00080772">
            <w:pPr>
              <w:jc w:val="center"/>
              <w:rPr>
                <w:rFonts w:eastAsia="Times New Roman"/>
                <w:bCs/>
                <w:sz w:val="22"/>
                <w:szCs w:val="22"/>
              </w:rPr>
            </w:pPr>
            <w:r w:rsidRPr="008D63B0">
              <w:rPr>
                <w:rFonts w:eastAsia="Times New Roman"/>
                <w:bCs/>
                <w:sz w:val="22"/>
                <w:szCs w:val="22"/>
              </w:rPr>
              <w:t>TARGET CORPORATION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1D413ED6" w14:textId="77777777" w:rsidR="003135B2" w:rsidRPr="008D63B0" w:rsidRDefault="003135B2" w:rsidP="00080772">
            <w:pPr>
              <w:jc w:val="center"/>
              <w:rPr>
                <w:rFonts w:eastAsia="Times New Roman"/>
                <w:bCs/>
                <w:sz w:val="22"/>
                <w:szCs w:val="22"/>
              </w:rPr>
            </w:pPr>
          </w:p>
        </w:tc>
        <w:tc>
          <w:tcPr>
            <w:tcW w:w="2265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6238" w14:textId="77777777" w:rsidR="003135B2" w:rsidRPr="008D63B0" w:rsidRDefault="003135B2" w:rsidP="00080772">
            <w:pPr>
              <w:jc w:val="center"/>
              <w:rPr>
                <w:rFonts w:eastAsia="Times New Roman"/>
                <w:bCs/>
                <w:sz w:val="22"/>
                <w:szCs w:val="22"/>
              </w:rPr>
            </w:pPr>
            <w:r w:rsidRPr="008D63B0">
              <w:rPr>
                <w:rFonts w:eastAsia="Times New Roman"/>
                <w:bCs/>
                <w:sz w:val="22"/>
                <w:szCs w:val="22"/>
              </w:rPr>
              <w:t>TIFFANY &amp; CO.</w:t>
            </w:r>
          </w:p>
        </w:tc>
      </w:tr>
      <w:tr w:rsidR="003135B2" w:rsidRPr="008D63B0" w14:paraId="72872780" w14:textId="77777777" w:rsidTr="00267F58">
        <w:trPr>
          <w:trHeight w:val="20"/>
        </w:trPr>
        <w:tc>
          <w:tcPr>
            <w:tcW w:w="2265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14:paraId="6ACA739A" w14:textId="77777777" w:rsidR="00267F58" w:rsidRDefault="003135B2" w:rsidP="00267F58">
            <w:pPr>
              <w:jc w:val="center"/>
              <w:rPr>
                <w:rFonts w:eastAsia="Times New Roman"/>
                <w:bCs/>
                <w:i/>
                <w:sz w:val="22"/>
                <w:szCs w:val="22"/>
              </w:rPr>
            </w:pPr>
            <w:r w:rsidRPr="008D63B0">
              <w:rPr>
                <w:rFonts w:eastAsia="Times New Roman"/>
                <w:bCs/>
                <w:i/>
                <w:sz w:val="22"/>
                <w:szCs w:val="22"/>
              </w:rPr>
              <w:t>($ millions) year ended Jan. 28, 2017</w:t>
            </w:r>
          </w:p>
          <w:p w14:paraId="5984F05A" w14:textId="73C1C63D" w:rsidR="00267F58" w:rsidRPr="00267F58" w:rsidRDefault="00267F58" w:rsidP="00267F58">
            <w:pPr>
              <w:jc w:val="center"/>
              <w:rPr>
                <w:rFonts w:eastAsia="Times New Roman"/>
                <w:bCs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iCs/>
                <w:sz w:val="22"/>
                <w:szCs w:val="22"/>
              </w:rPr>
              <w:t>Source: Target 10-K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5C0581D0" w14:textId="77777777" w:rsidR="003135B2" w:rsidRPr="008D63B0" w:rsidRDefault="003135B2" w:rsidP="00267F58">
            <w:pPr>
              <w:jc w:val="center"/>
              <w:rPr>
                <w:rFonts w:eastAsia="Times New Roman"/>
                <w:bCs/>
                <w:sz w:val="22"/>
                <w:szCs w:val="22"/>
              </w:rPr>
            </w:pPr>
          </w:p>
        </w:tc>
        <w:tc>
          <w:tcPr>
            <w:tcW w:w="226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444A" w14:textId="77777777" w:rsidR="00267F58" w:rsidRDefault="003135B2" w:rsidP="00267F58">
            <w:pPr>
              <w:jc w:val="center"/>
              <w:rPr>
                <w:rFonts w:eastAsia="Times New Roman"/>
                <w:bCs/>
                <w:i/>
                <w:sz w:val="22"/>
                <w:szCs w:val="22"/>
              </w:rPr>
            </w:pPr>
            <w:r w:rsidRPr="008D63B0">
              <w:rPr>
                <w:rFonts w:eastAsia="Times New Roman"/>
                <w:bCs/>
                <w:i/>
                <w:sz w:val="22"/>
                <w:szCs w:val="22"/>
              </w:rPr>
              <w:t>($ millions) year ended Jan. 31, 2017</w:t>
            </w:r>
          </w:p>
          <w:p w14:paraId="14614455" w14:textId="5C55AAB7" w:rsidR="00267F58" w:rsidRPr="00267F58" w:rsidRDefault="00267F58" w:rsidP="00267F58">
            <w:pPr>
              <w:jc w:val="center"/>
              <w:rPr>
                <w:rFonts w:eastAsia="Times New Roman"/>
                <w:bCs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iCs/>
                <w:sz w:val="22"/>
                <w:szCs w:val="22"/>
              </w:rPr>
              <w:t>Source: Tiffany’s 10-K</w:t>
            </w:r>
          </w:p>
        </w:tc>
      </w:tr>
      <w:tr w:rsidR="00267F58" w:rsidRPr="008D63B0" w14:paraId="7B5ED62E" w14:textId="77777777" w:rsidTr="00267F58">
        <w:trPr>
          <w:trHeight w:val="20"/>
        </w:trPr>
        <w:tc>
          <w:tcPr>
            <w:tcW w:w="1365" w:type="pct"/>
            <w:shd w:val="clear" w:color="auto" w:fill="auto"/>
            <w:noWrap/>
            <w:vAlign w:val="bottom"/>
          </w:tcPr>
          <w:p w14:paraId="791FE343" w14:textId="77777777" w:rsidR="00267F58" w:rsidRPr="008D63B0" w:rsidRDefault="00267F58" w:rsidP="00267F58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900" w:type="pct"/>
            <w:shd w:val="clear" w:color="auto" w:fill="auto"/>
            <w:noWrap/>
            <w:vAlign w:val="bottom"/>
          </w:tcPr>
          <w:p w14:paraId="575E68E4" w14:textId="77777777" w:rsidR="00267F58" w:rsidRPr="008D63B0" w:rsidRDefault="00267F58" w:rsidP="00080772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70" w:type="pct"/>
            <w:shd w:val="clear" w:color="auto" w:fill="auto"/>
            <w:noWrap/>
            <w:vAlign w:val="bottom"/>
          </w:tcPr>
          <w:p w14:paraId="5BEACDDD" w14:textId="77777777" w:rsidR="00267F58" w:rsidRPr="008D63B0" w:rsidRDefault="00267F58" w:rsidP="00080772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721" w:type="pct"/>
            <w:shd w:val="clear" w:color="auto" w:fill="auto"/>
            <w:noWrap/>
            <w:vAlign w:val="bottom"/>
          </w:tcPr>
          <w:p w14:paraId="59E88BB9" w14:textId="77777777" w:rsidR="00267F58" w:rsidRPr="008D63B0" w:rsidRDefault="00267F58" w:rsidP="00080772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44" w:type="pct"/>
            <w:shd w:val="clear" w:color="auto" w:fill="auto"/>
            <w:noWrap/>
            <w:vAlign w:val="bottom"/>
          </w:tcPr>
          <w:p w14:paraId="49451C63" w14:textId="77777777" w:rsidR="00267F58" w:rsidRPr="008D63B0" w:rsidRDefault="00267F58" w:rsidP="00080772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267F58" w:rsidRPr="008D63B0" w14:paraId="4140EB7E" w14:textId="77777777" w:rsidTr="00267F58">
        <w:trPr>
          <w:trHeight w:val="20"/>
        </w:trPr>
        <w:tc>
          <w:tcPr>
            <w:tcW w:w="1365" w:type="pct"/>
            <w:shd w:val="clear" w:color="auto" w:fill="auto"/>
            <w:noWrap/>
            <w:vAlign w:val="bottom"/>
            <w:hideMark/>
          </w:tcPr>
          <w:p w14:paraId="4603434C" w14:textId="77777777" w:rsidR="003135B2" w:rsidRPr="008D63B0" w:rsidRDefault="003135B2" w:rsidP="00080772">
            <w:pPr>
              <w:rPr>
                <w:rFonts w:eastAsia="Times New Roman"/>
                <w:sz w:val="22"/>
                <w:szCs w:val="22"/>
              </w:rPr>
            </w:pPr>
            <w:r w:rsidRPr="008D63B0">
              <w:rPr>
                <w:rFonts w:eastAsia="Times New Roman"/>
                <w:sz w:val="22"/>
                <w:szCs w:val="22"/>
              </w:rPr>
              <w:t>Net Income</w:t>
            </w:r>
          </w:p>
        </w:tc>
        <w:tc>
          <w:tcPr>
            <w:tcW w:w="900" w:type="pct"/>
            <w:shd w:val="clear" w:color="auto" w:fill="auto"/>
            <w:noWrap/>
            <w:vAlign w:val="bottom"/>
            <w:hideMark/>
          </w:tcPr>
          <w:p w14:paraId="0639A6BC" w14:textId="77777777" w:rsidR="003135B2" w:rsidRPr="008D63B0" w:rsidRDefault="003135B2" w:rsidP="00080772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8D63B0">
              <w:rPr>
                <w:rFonts w:eastAsia="Times New Roman"/>
                <w:sz w:val="22"/>
                <w:szCs w:val="22"/>
              </w:rPr>
              <w:t>$     2,669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6CBE31E4" w14:textId="77777777" w:rsidR="003135B2" w:rsidRPr="008D63B0" w:rsidRDefault="003135B2" w:rsidP="00080772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721" w:type="pct"/>
            <w:shd w:val="clear" w:color="auto" w:fill="auto"/>
            <w:noWrap/>
            <w:vAlign w:val="bottom"/>
            <w:hideMark/>
          </w:tcPr>
          <w:p w14:paraId="578CEF7D" w14:textId="77777777" w:rsidR="003135B2" w:rsidRPr="008D63B0" w:rsidRDefault="003135B2" w:rsidP="00080772">
            <w:pPr>
              <w:rPr>
                <w:rFonts w:eastAsia="Times New Roman"/>
                <w:sz w:val="22"/>
                <w:szCs w:val="22"/>
              </w:rPr>
            </w:pPr>
            <w:r w:rsidRPr="008D63B0">
              <w:rPr>
                <w:rFonts w:eastAsia="Times New Roman"/>
                <w:sz w:val="22"/>
                <w:szCs w:val="22"/>
              </w:rPr>
              <w:t>Net Income</w:t>
            </w:r>
          </w:p>
        </w:tc>
        <w:tc>
          <w:tcPr>
            <w:tcW w:w="544" w:type="pct"/>
            <w:shd w:val="clear" w:color="auto" w:fill="auto"/>
            <w:noWrap/>
            <w:vAlign w:val="bottom"/>
            <w:hideMark/>
          </w:tcPr>
          <w:p w14:paraId="54CC6B65" w14:textId="77777777" w:rsidR="003135B2" w:rsidRPr="008D63B0" w:rsidRDefault="003135B2" w:rsidP="00080772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8D63B0">
              <w:rPr>
                <w:rFonts w:eastAsia="Times New Roman"/>
                <w:sz w:val="22"/>
                <w:szCs w:val="22"/>
              </w:rPr>
              <w:t>$      446</w:t>
            </w:r>
          </w:p>
        </w:tc>
      </w:tr>
      <w:tr w:rsidR="00267F58" w:rsidRPr="008D63B0" w14:paraId="1A0B79E9" w14:textId="77777777" w:rsidTr="00267F58">
        <w:trPr>
          <w:trHeight w:val="20"/>
        </w:trPr>
        <w:tc>
          <w:tcPr>
            <w:tcW w:w="1365" w:type="pct"/>
            <w:shd w:val="clear" w:color="auto" w:fill="auto"/>
            <w:noWrap/>
            <w:vAlign w:val="bottom"/>
            <w:hideMark/>
          </w:tcPr>
          <w:p w14:paraId="72970687" w14:textId="77777777" w:rsidR="003135B2" w:rsidRPr="008D63B0" w:rsidRDefault="003135B2" w:rsidP="00080772">
            <w:pPr>
              <w:rPr>
                <w:rFonts w:eastAsia="Times New Roman"/>
                <w:sz w:val="22"/>
                <w:szCs w:val="22"/>
              </w:rPr>
            </w:pPr>
            <w:r w:rsidRPr="008D63B0">
              <w:rPr>
                <w:rFonts w:eastAsia="Times New Roman"/>
                <w:sz w:val="22"/>
                <w:szCs w:val="22"/>
              </w:rPr>
              <w:t>Sales</w:t>
            </w:r>
          </w:p>
        </w:tc>
        <w:tc>
          <w:tcPr>
            <w:tcW w:w="900" w:type="pct"/>
            <w:shd w:val="clear" w:color="auto" w:fill="auto"/>
            <w:noWrap/>
            <w:vAlign w:val="bottom"/>
            <w:hideMark/>
          </w:tcPr>
          <w:p w14:paraId="26E26D5E" w14:textId="77777777" w:rsidR="003135B2" w:rsidRPr="008D63B0" w:rsidRDefault="003135B2" w:rsidP="00080772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8D63B0">
              <w:rPr>
                <w:rFonts w:eastAsia="Times New Roman"/>
                <w:sz w:val="22"/>
                <w:szCs w:val="22"/>
              </w:rPr>
              <w:t>$   69,495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578A8098" w14:textId="77777777" w:rsidR="003135B2" w:rsidRPr="008D63B0" w:rsidRDefault="003135B2" w:rsidP="00080772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721" w:type="pct"/>
            <w:shd w:val="clear" w:color="auto" w:fill="auto"/>
            <w:noWrap/>
            <w:vAlign w:val="bottom"/>
            <w:hideMark/>
          </w:tcPr>
          <w:p w14:paraId="77743210" w14:textId="77777777" w:rsidR="003135B2" w:rsidRPr="008D63B0" w:rsidRDefault="003135B2" w:rsidP="00080772">
            <w:pPr>
              <w:rPr>
                <w:rFonts w:eastAsia="Times New Roman"/>
                <w:sz w:val="22"/>
                <w:szCs w:val="22"/>
              </w:rPr>
            </w:pPr>
            <w:r w:rsidRPr="008D63B0">
              <w:rPr>
                <w:rFonts w:eastAsia="Times New Roman"/>
                <w:sz w:val="22"/>
                <w:szCs w:val="22"/>
              </w:rPr>
              <w:t>Sales</w:t>
            </w:r>
          </w:p>
        </w:tc>
        <w:tc>
          <w:tcPr>
            <w:tcW w:w="544" w:type="pct"/>
            <w:shd w:val="clear" w:color="auto" w:fill="auto"/>
            <w:noWrap/>
            <w:vAlign w:val="bottom"/>
            <w:hideMark/>
          </w:tcPr>
          <w:p w14:paraId="3FB190C4" w14:textId="77777777" w:rsidR="003135B2" w:rsidRPr="008D63B0" w:rsidRDefault="003135B2" w:rsidP="00080772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8D63B0">
              <w:rPr>
                <w:rFonts w:eastAsia="Times New Roman"/>
                <w:sz w:val="22"/>
                <w:szCs w:val="22"/>
              </w:rPr>
              <w:t>$   4,002</w:t>
            </w:r>
          </w:p>
        </w:tc>
      </w:tr>
      <w:tr w:rsidR="00267F58" w:rsidRPr="008D63B0" w14:paraId="5F6C4867" w14:textId="77777777" w:rsidTr="00267F58">
        <w:trPr>
          <w:trHeight w:val="20"/>
        </w:trPr>
        <w:tc>
          <w:tcPr>
            <w:tcW w:w="1365" w:type="pct"/>
            <w:shd w:val="clear" w:color="auto" w:fill="auto"/>
            <w:noWrap/>
            <w:vAlign w:val="bottom"/>
            <w:hideMark/>
          </w:tcPr>
          <w:p w14:paraId="71C70611" w14:textId="20A0D263" w:rsidR="008D63B0" w:rsidRPr="008D63B0" w:rsidRDefault="008D63B0" w:rsidP="00080772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*</w:t>
            </w:r>
            <w:r w:rsidRPr="008D63B0">
              <w:rPr>
                <w:rFonts w:eastAsia="Times New Roman"/>
                <w:sz w:val="22"/>
                <w:szCs w:val="22"/>
              </w:rPr>
              <w:t>Average Assets</w:t>
            </w:r>
          </w:p>
        </w:tc>
        <w:tc>
          <w:tcPr>
            <w:tcW w:w="900" w:type="pct"/>
            <w:shd w:val="clear" w:color="auto" w:fill="auto"/>
            <w:noWrap/>
            <w:vAlign w:val="bottom"/>
            <w:hideMark/>
          </w:tcPr>
          <w:p w14:paraId="7B40B79A" w14:textId="77777777" w:rsidR="008D63B0" w:rsidRPr="008D63B0" w:rsidRDefault="008D63B0" w:rsidP="00080772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8D63B0">
              <w:rPr>
                <w:rFonts w:eastAsia="Times New Roman"/>
                <w:sz w:val="22"/>
                <w:szCs w:val="22"/>
              </w:rPr>
              <w:t>$   40,717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7CD091D7" w14:textId="77777777" w:rsidR="008D63B0" w:rsidRPr="008D63B0" w:rsidRDefault="008D63B0" w:rsidP="00080772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721" w:type="pct"/>
            <w:shd w:val="clear" w:color="auto" w:fill="auto"/>
            <w:noWrap/>
            <w:vAlign w:val="bottom"/>
            <w:hideMark/>
          </w:tcPr>
          <w:p w14:paraId="6877F1E5" w14:textId="1455AA1C" w:rsidR="008D63B0" w:rsidRPr="008D63B0" w:rsidRDefault="008D63B0" w:rsidP="00080772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*</w:t>
            </w:r>
            <w:r w:rsidRPr="008D63B0">
              <w:rPr>
                <w:rFonts w:eastAsia="Times New Roman"/>
                <w:sz w:val="22"/>
                <w:szCs w:val="22"/>
              </w:rPr>
              <w:t>Average Assets</w:t>
            </w:r>
          </w:p>
        </w:tc>
        <w:tc>
          <w:tcPr>
            <w:tcW w:w="544" w:type="pct"/>
            <w:shd w:val="clear" w:color="auto" w:fill="auto"/>
            <w:noWrap/>
            <w:vAlign w:val="bottom"/>
            <w:hideMark/>
          </w:tcPr>
          <w:p w14:paraId="5C87C3B8" w14:textId="77777777" w:rsidR="008D63B0" w:rsidRPr="008D63B0" w:rsidRDefault="008D63B0" w:rsidP="00080772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8D63B0">
              <w:rPr>
                <w:rFonts w:eastAsia="Times New Roman"/>
                <w:sz w:val="22"/>
                <w:szCs w:val="22"/>
              </w:rPr>
              <w:t>$   5,110</w:t>
            </w:r>
          </w:p>
        </w:tc>
      </w:tr>
      <w:tr w:rsidR="00267F58" w:rsidRPr="008D63B0" w14:paraId="2F924027" w14:textId="77777777" w:rsidTr="00267F58">
        <w:trPr>
          <w:trHeight w:val="20"/>
        </w:trPr>
        <w:tc>
          <w:tcPr>
            <w:tcW w:w="1365" w:type="pct"/>
            <w:shd w:val="clear" w:color="auto" w:fill="auto"/>
            <w:noWrap/>
            <w:vAlign w:val="bottom"/>
            <w:hideMark/>
          </w:tcPr>
          <w:p w14:paraId="6E1329DC" w14:textId="54B3E499" w:rsidR="008D63B0" w:rsidRPr="008D63B0" w:rsidRDefault="008D63B0" w:rsidP="00080772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*</w:t>
            </w:r>
            <w:r w:rsidRPr="008D63B0">
              <w:rPr>
                <w:rFonts w:eastAsia="Times New Roman"/>
                <w:sz w:val="22"/>
                <w:szCs w:val="22"/>
              </w:rPr>
              <w:t>Average Equity</w:t>
            </w:r>
          </w:p>
        </w:tc>
        <w:tc>
          <w:tcPr>
            <w:tcW w:w="900" w:type="pct"/>
            <w:shd w:val="clear" w:color="auto" w:fill="auto"/>
            <w:noWrap/>
            <w:vAlign w:val="bottom"/>
            <w:hideMark/>
          </w:tcPr>
          <w:p w14:paraId="7039D481" w14:textId="77777777" w:rsidR="008D63B0" w:rsidRPr="008D63B0" w:rsidRDefault="008D63B0" w:rsidP="00080772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8D63B0">
              <w:rPr>
                <w:rFonts w:eastAsia="Times New Roman"/>
                <w:sz w:val="22"/>
                <w:szCs w:val="22"/>
              </w:rPr>
              <w:t>$   13,477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759A552B" w14:textId="77777777" w:rsidR="008D63B0" w:rsidRPr="008D63B0" w:rsidRDefault="008D63B0" w:rsidP="00080772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721" w:type="pct"/>
            <w:shd w:val="clear" w:color="auto" w:fill="auto"/>
            <w:noWrap/>
            <w:vAlign w:val="bottom"/>
            <w:hideMark/>
          </w:tcPr>
          <w:p w14:paraId="3CC239A6" w14:textId="356BB68F" w:rsidR="008D63B0" w:rsidRPr="008D63B0" w:rsidRDefault="008D63B0" w:rsidP="00080772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*</w:t>
            </w:r>
            <w:r w:rsidRPr="008D63B0">
              <w:rPr>
                <w:rFonts w:eastAsia="Times New Roman"/>
                <w:sz w:val="22"/>
                <w:szCs w:val="22"/>
              </w:rPr>
              <w:t>Average Equity</w:t>
            </w:r>
          </w:p>
        </w:tc>
        <w:tc>
          <w:tcPr>
            <w:tcW w:w="544" w:type="pct"/>
            <w:shd w:val="clear" w:color="auto" w:fill="auto"/>
            <w:noWrap/>
            <w:vAlign w:val="bottom"/>
            <w:hideMark/>
          </w:tcPr>
          <w:p w14:paraId="022A65DB" w14:textId="77777777" w:rsidR="008D63B0" w:rsidRPr="008D63B0" w:rsidRDefault="008D63B0" w:rsidP="00080772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8D63B0">
              <w:rPr>
                <w:rFonts w:eastAsia="Times New Roman"/>
                <w:sz w:val="22"/>
                <w:szCs w:val="22"/>
              </w:rPr>
              <w:t>$   2,979</w:t>
            </w:r>
          </w:p>
        </w:tc>
      </w:tr>
      <w:tr w:rsidR="00267F58" w:rsidRPr="008D63B0" w14:paraId="6EA3BB1E" w14:textId="77777777" w:rsidTr="00267F58">
        <w:trPr>
          <w:trHeight w:val="20"/>
        </w:trPr>
        <w:tc>
          <w:tcPr>
            <w:tcW w:w="1365" w:type="pct"/>
            <w:shd w:val="clear" w:color="auto" w:fill="auto"/>
            <w:noWrap/>
            <w:vAlign w:val="bottom"/>
            <w:hideMark/>
          </w:tcPr>
          <w:p w14:paraId="455096CB" w14:textId="77777777" w:rsidR="003135B2" w:rsidRPr="008D63B0" w:rsidRDefault="003135B2" w:rsidP="00080772">
            <w:pPr>
              <w:ind w:firstLineChars="200" w:firstLine="440"/>
              <w:rPr>
                <w:rFonts w:eastAsia="Times New Roman"/>
                <w:i/>
                <w:iCs/>
                <w:sz w:val="22"/>
                <w:szCs w:val="22"/>
              </w:rPr>
            </w:pPr>
            <w:r w:rsidRPr="008D63B0">
              <w:rPr>
                <w:rFonts w:eastAsia="Times New Roman"/>
                <w:i/>
                <w:iCs/>
                <w:sz w:val="22"/>
                <w:szCs w:val="22"/>
              </w:rPr>
              <w:t>Beginning Assets</w:t>
            </w:r>
          </w:p>
        </w:tc>
        <w:tc>
          <w:tcPr>
            <w:tcW w:w="900" w:type="pct"/>
            <w:shd w:val="clear" w:color="auto" w:fill="auto"/>
            <w:noWrap/>
            <w:vAlign w:val="bottom"/>
            <w:hideMark/>
          </w:tcPr>
          <w:p w14:paraId="3FB5B799" w14:textId="77777777" w:rsidR="003135B2" w:rsidRPr="008D63B0" w:rsidRDefault="003135B2" w:rsidP="00080772">
            <w:pPr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 w:rsidRPr="008D63B0">
              <w:rPr>
                <w:rFonts w:eastAsia="Times New Roman"/>
                <w:i/>
                <w:iCs/>
                <w:sz w:val="22"/>
                <w:szCs w:val="22"/>
              </w:rPr>
              <w:t>$ 41,172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395137DB" w14:textId="77777777" w:rsidR="003135B2" w:rsidRPr="008D63B0" w:rsidRDefault="003135B2" w:rsidP="00080772">
            <w:pPr>
              <w:rPr>
                <w:rFonts w:eastAsia="Times New Roman"/>
                <w:i/>
                <w:iCs/>
                <w:sz w:val="22"/>
                <w:szCs w:val="22"/>
              </w:rPr>
            </w:pPr>
          </w:p>
        </w:tc>
        <w:tc>
          <w:tcPr>
            <w:tcW w:w="1721" w:type="pct"/>
            <w:shd w:val="clear" w:color="auto" w:fill="auto"/>
            <w:noWrap/>
            <w:vAlign w:val="bottom"/>
            <w:hideMark/>
          </w:tcPr>
          <w:p w14:paraId="7BD8AD23" w14:textId="77777777" w:rsidR="003135B2" w:rsidRPr="008D63B0" w:rsidRDefault="003135B2" w:rsidP="00080772">
            <w:pPr>
              <w:ind w:firstLineChars="200" w:firstLine="440"/>
              <w:rPr>
                <w:rFonts w:eastAsia="Times New Roman"/>
                <w:i/>
                <w:iCs/>
                <w:sz w:val="22"/>
                <w:szCs w:val="22"/>
              </w:rPr>
            </w:pPr>
            <w:r w:rsidRPr="008D63B0">
              <w:rPr>
                <w:rFonts w:eastAsia="Times New Roman"/>
                <w:i/>
                <w:iCs/>
                <w:sz w:val="22"/>
                <w:szCs w:val="22"/>
              </w:rPr>
              <w:t>Beginning Assets</w:t>
            </w:r>
          </w:p>
        </w:tc>
        <w:tc>
          <w:tcPr>
            <w:tcW w:w="544" w:type="pct"/>
            <w:shd w:val="clear" w:color="auto" w:fill="auto"/>
            <w:noWrap/>
            <w:vAlign w:val="bottom"/>
            <w:hideMark/>
          </w:tcPr>
          <w:p w14:paraId="42771D16" w14:textId="77777777" w:rsidR="003135B2" w:rsidRPr="008D63B0" w:rsidRDefault="003135B2" w:rsidP="00080772">
            <w:pPr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 w:rsidRPr="008D63B0">
              <w:rPr>
                <w:rFonts w:eastAsia="Times New Roman"/>
                <w:i/>
                <w:iCs/>
                <w:sz w:val="22"/>
                <w:szCs w:val="22"/>
              </w:rPr>
              <w:t>$ 5,122</w:t>
            </w:r>
          </w:p>
        </w:tc>
      </w:tr>
      <w:tr w:rsidR="00267F58" w:rsidRPr="008D63B0" w14:paraId="6F11F31D" w14:textId="77777777" w:rsidTr="00267F58">
        <w:trPr>
          <w:trHeight w:val="20"/>
        </w:trPr>
        <w:tc>
          <w:tcPr>
            <w:tcW w:w="1365" w:type="pct"/>
            <w:shd w:val="clear" w:color="auto" w:fill="auto"/>
            <w:noWrap/>
            <w:vAlign w:val="bottom"/>
            <w:hideMark/>
          </w:tcPr>
          <w:p w14:paraId="1A4E5DD8" w14:textId="77777777" w:rsidR="003135B2" w:rsidRPr="008D63B0" w:rsidRDefault="003135B2" w:rsidP="00080772">
            <w:pPr>
              <w:ind w:firstLineChars="200" w:firstLine="440"/>
              <w:rPr>
                <w:rFonts w:eastAsia="Times New Roman"/>
                <w:i/>
                <w:iCs/>
                <w:sz w:val="22"/>
                <w:szCs w:val="22"/>
              </w:rPr>
            </w:pPr>
            <w:r w:rsidRPr="008D63B0">
              <w:rPr>
                <w:rFonts w:eastAsia="Times New Roman"/>
                <w:i/>
                <w:iCs/>
                <w:sz w:val="22"/>
                <w:szCs w:val="22"/>
              </w:rPr>
              <w:t>Ending Assets</w:t>
            </w:r>
          </w:p>
        </w:tc>
        <w:tc>
          <w:tcPr>
            <w:tcW w:w="900" w:type="pct"/>
            <w:shd w:val="clear" w:color="auto" w:fill="auto"/>
            <w:noWrap/>
            <w:vAlign w:val="bottom"/>
            <w:hideMark/>
          </w:tcPr>
          <w:p w14:paraId="4B72E955" w14:textId="77777777" w:rsidR="003135B2" w:rsidRPr="008D63B0" w:rsidRDefault="003135B2" w:rsidP="00080772">
            <w:pPr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 w:rsidRPr="008D63B0">
              <w:rPr>
                <w:rFonts w:eastAsia="Times New Roman"/>
                <w:i/>
                <w:iCs/>
                <w:sz w:val="22"/>
                <w:szCs w:val="22"/>
              </w:rPr>
              <w:t>$ 40,262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126E2EC2" w14:textId="77777777" w:rsidR="003135B2" w:rsidRPr="008D63B0" w:rsidRDefault="003135B2" w:rsidP="00080772">
            <w:pPr>
              <w:rPr>
                <w:rFonts w:eastAsia="Times New Roman"/>
                <w:i/>
                <w:iCs/>
                <w:sz w:val="22"/>
                <w:szCs w:val="22"/>
              </w:rPr>
            </w:pPr>
          </w:p>
        </w:tc>
        <w:tc>
          <w:tcPr>
            <w:tcW w:w="1721" w:type="pct"/>
            <w:shd w:val="clear" w:color="auto" w:fill="auto"/>
            <w:noWrap/>
            <w:vAlign w:val="bottom"/>
            <w:hideMark/>
          </w:tcPr>
          <w:p w14:paraId="280489E4" w14:textId="77777777" w:rsidR="003135B2" w:rsidRPr="008D63B0" w:rsidRDefault="003135B2" w:rsidP="00080772">
            <w:pPr>
              <w:ind w:firstLineChars="200" w:firstLine="440"/>
              <w:rPr>
                <w:rFonts w:eastAsia="Times New Roman"/>
                <w:i/>
                <w:iCs/>
                <w:sz w:val="22"/>
                <w:szCs w:val="22"/>
              </w:rPr>
            </w:pPr>
            <w:r w:rsidRPr="008D63B0">
              <w:rPr>
                <w:rFonts w:eastAsia="Times New Roman"/>
                <w:i/>
                <w:iCs/>
                <w:sz w:val="22"/>
                <w:szCs w:val="22"/>
              </w:rPr>
              <w:t>Ending Assets</w:t>
            </w:r>
          </w:p>
        </w:tc>
        <w:tc>
          <w:tcPr>
            <w:tcW w:w="544" w:type="pct"/>
            <w:shd w:val="clear" w:color="auto" w:fill="auto"/>
            <w:noWrap/>
            <w:vAlign w:val="bottom"/>
            <w:hideMark/>
          </w:tcPr>
          <w:p w14:paraId="512AB942" w14:textId="77777777" w:rsidR="003135B2" w:rsidRPr="008D63B0" w:rsidRDefault="003135B2" w:rsidP="00080772">
            <w:pPr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 w:rsidRPr="008D63B0">
              <w:rPr>
                <w:rFonts w:eastAsia="Times New Roman"/>
                <w:i/>
                <w:iCs/>
                <w:sz w:val="22"/>
                <w:szCs w:val="22"/>
              </w:rPr>
              <w:t>$ 5,098</w:t>
            </w:r>
          </w:p>
        </w:tc>
      </w:tr>
      <w:tr w:rsidR="00267F58" w:rsidRPr="008D63B0" w14:paraId="5BE9EA19" w14:textId="77777777" w:rsidTr="00267F58">
        <w:trPr>
          <w:trHeight w:val="20"/>
        </w:trPr>
        <w:tc>
          <w:tcPr>
            <w:tcW w:w="1365" w:type="pct"/>
            <w:shd w:val="clear" w:color="auto" w:fill="auto"/>
            <w:noWrap/>
            <w:vAlign w:val="bottom"/>
            <w:hideMark/>
          </w:tcPr>
          <w:p w14:paraId="2255495B" w14:textId="77777777" w:rsidR="003135B2" w:rsidRPr="008D63B0" w:rsidRDefault="003135B2" w:rsidP="00080772">
            <w:pPr>
              <w:ind w:firstLineChars="200" w:firstLine="440"/>
              <w:rPr>
                <w:rFonts w:eastAsia="Times New Roman"/>
                <w:i/>
                <w:iCs/>
                <w:sz w:val="22"/>
                <w:szCs w:val="22"/>
              </w:rPr>
            </w:pPr>
            <w:r w:rsidRPr="008D63B0">
              <w:rPr>
                <w:rFonts w:eastAsia="Times New Roman"/>
                <w:i/>
                <w:iCs/>
                <w:sz w:val="22"/>
                <w:szCs w:val="22"/>
              </w:rPr>
              <w:t>Beginning Equity</w:t>
            </w:r>
          </w:p>
        </w:tc>
        <w:tc>
          <w:tcPr>
            <w:tcW w:w="900" w:type="pct"/>
            <w:shd w:val="clear" w:color="auto" w:fill="auto"/>
            <w:noWrap/>
            <w:vAlign w:val="bottom"/>
            <w:hideMark/>
          </w:tcPr>
          <w:p w14:paraId="3CEBE5CD" w14:textId="77777777" w:rsidR="003135B2" w:rsidRPr="008D63B0" w:rsidRDefault="003135B2" w:rsidP="00080772">
            <w:pPr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 w:rsidRPr="008D63B0">
              <w:rPr>
                <w:rFonts w:eastAsia="Times New Roman"/>
                <w:i/>
                <w:iCs/>
                <w:sz w:val="22"/>
                <w:szCs w:val="22"/>
              </w:rPr>
              <w:t>$ 13,997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40DBB6B9" w14:textId="77777777" w:rsidR="003135B2" w:rsidRPr="008D63B0" w:rsidRDefault="003135B2" w:rsidP="00080772">
            <w:pPr>
              <w:rPr>
                <w:rFonts w:eastAsia="Times New Roman"/>
                <w:i/>
                <w:iCs/>
                <w:sz w:val="22"/>
                <w:szCs w:val="22"/>
              </w:rPr>
            </w:pPr>
          </w:p>
        </w:tc>
        <w:tc>
          <w:tcPr>
            <w:tcW w:w="1721" w:type="pct"/>
            <w:shd w:val="clear" w:color="auto" w:fill="auto"/>
            <w:noWrap/>
            <w:vAlign w:val="bottom"/>
            <w:hideMark/>
          </w:tcPr>
          <w:p w14:paraId="47FDBB76" w14:textId="77777777" w:rsidR="003135B2" w:rsidRPr="008D63B0" w:rsidRDefault="003135B2" w:rsidP="00080772">
            <w:pPr>
              <w:ind w:firstLineChars="200" w:firstLine="440"/>
              <w:rPr>
                <w:rFonts w:eastAsia="Times New Roman"/>
                <w:i/>
                <w:iCs/>
                <w:sz w:val="22"/>
                <w:szCs w:val="22"/>
              </w:rPr>
            </w:pPr>
            <w:r w:rsidRPr="008D63B0">
              <w:rPr>
                <w:rFonts w:eastAsia="Times New Roman"/>
                <w:i/>
                <w:iCs/>
                <w:sz w:val="22"/>
                <w:szCs w:val="22"/>
              </w:rPr>
              <w:t>Beginning Equity</w:t>
            </w:r>
          </w:p>
        </w:tc>
        <w:tc>
          <w:tcPr>
            <w:tcW w:w="544" w:type="pct"/>
            <w:shd w:val="clear" w:color="auto" w:fill="auto"/>
            <w:noWrap/>
            <w:vAlign w:val="bottom"/>
            <w:hideMark/>
          </w:tcPr>
          <w:p w14:paraId="6C0D790D" w14:textId="77777777" w:rsidR="003135B2" w:rsidRPr="008D63B0" w:rsidRDefault="003135B2" w:rsidP="00080772">
            <w:pPr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 w:rsidRPr="008D63B0">
              <w:rPr>
                <w:rFonts w:eastAsia="Times New Roman"/>
                <w:i/>
                <w:iCs/>
                <w:sz w:val="22"/>
                <w:szCs w:val="22"/>
              </w:rPr>
              <w:t>$ 2,930</w:t>
            </w:r>
          </w:p>
        </w:tc>
      </w:tr>
      <w:tr w:rsidR="00267F58" w:rsidRPr="008D63B0" w14:paraId="7D9619DE" w14:textId="77777777" w:rsidTr="00267F58">
        <w:trPr>
          <w:trHeight w:val="20"/>
        </w:trPr>
        <w:tc>
          <w:tcPr>
            <w:tcW w:w="1365" w:type="pct"/>
            <w:shd w:val="clear" w:color="auto" w:fill="auto"/>
            <w:noWrap/>
            <w:vAlign w:val="bottom"/>
            <w:hideMark/>
          </w:tcPr>
          <w:p w14:paraId="37C69D05" w14:textId="77777777" w:rsidR="003135B2" w:rsidRPr="008D63B0" w:rsidRDefault="003135B2" w:rsidP="00080772">
            <w:pPr>
              <w:ind w:firstLineChars="200" w:firstLine="440"/>
              <w:rPr>
                <w:rFonts w:eastAsia="Times New Roman"/>
                <w:i/>
                <w:iCs/>
                <w:sz w:val="22"/>
                <w:szCs w:val="22"/>
              </w:rPr>
            </w:pPr>
            <w:r w:rsidRPr="008D63B0">
              <w:rPr>
                <w:rFonts w:eastAsia="Times New Roman"/>
                <w:i/>
                <w:iCs/>
                <w:sz w:val="22"/>
                <w:szCs w:val="22"/>
              </w:rPr>
              <w:t>Ending Equity</w:t>
            </w:r>
          </w:p>
        </w:tc>
        <w:tc>
          <w:tcPr>
            <w:tcW w:w="900" w:type="pct"/>
            <w:shd w:val="clear" w:color="auto" w:fill="auto"/>
            <w:noWrap/>
            <w:vAlign w:val="bottom"/>
            <w:hideMark/>
          </w:tcPr>
          <w:p w14:paraId="59829DC9" w14:textId="77777777" w:rsidR="003135B2" w:rsidRPr="008D63B0" w:rsidRDefault="003135B2" w:rsidP="00080772">
            <w:pPr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 w:rsidRPr="008D63B0">
              <w:rPr>
                <w:rFonts w:eastAsia="Times New Roman"/>
                <w:i/>
                <w:iCs/>
                <w:sz w:val="22"/>
                <w:szCs w:val="22"/>
              </w:rPr>
              <w:t>$ 12,957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02EC011D" w14:textId="77777777" w:rsidR="003135B2" w:rsidRPr="008D63B0" w:rsidRDefault="003135B2" w:rsidP="00080772">
            <w:pPr>
              <w:rPr>
                <w:rFonts w:eastAsia="Times New Roman"/>
                <w:i/>
                <w:iCs/>
                <w:sz w:val="22"/>
                <w:szCs w:val="22"/>
              </w:rPr>
            </w:pPr>
          </w:p>
        </w:tc>
        <w:tc>
          <w:tcPr>
            <w:tcW w:w="1721" w:type="pct"/>
            <w:shd w:val="clear" w:color="auto" w:fill="auto"/>
            <w:noWrap/>
            <w:vAlign w:val="bottom"/>
            <w:hideMark/>
          </w:tcPr>
          <w:p w14:paraId="32F367E3" w14:textId="77777777" w:rsidR="003135B2" w:rsidRPr="008D63B0" w:rsidRDefault="003135B2" w:rsidP="00080772">
            <w:pPr>
              <w:ind w:firstLineChars="200" w:firstLine="440"/>
              <w:rPr>
                <w:rFonts w:eastAsia="Times New Roman"/>
                <w:i/>
                <w:iCs/>
                <w:sz w:val="22"/>
                <w:szCs w:val="22"/>
              </w:rPr>
            </w:pPr>
            <w:r w:rsidRPr="008D63B0">
              <w:rPr>
                <w:rFonts w:eastAsia="Times New Roman"/>
                <w:i/>
                <w:iCs/>
                <w:sz w:val="22"/>
                <w:szCs w:val="22"/>
              </w:rPr>
              <w:t>Ending Equity</w:t>
            </w:r>
          </w:p>
        </w:tc>
        <w:tc>
          <w:tcPr>
            <w:tcW w:w="544" w:type="pct"/>
            <w:shd w:val="clear" w:color="auto" w:fill="auto"/>
            <w:noWrap/>
            <w:vAlign w:val="bottom"/>
            <w:hideMark/>
          </w:tcPr>
          <w:p w14:paraId="3EE54BB4" w14:textId="77777777" w:rsidR="003135B2" w:rsidRPr="008D63B0" w:rsidRDefault="003135B2" w:rsidP="00080772">
            <w:pPr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 w:rsidRPr="008D63B0">
              <w:rPr>
                <w:rFonts w:eastAsia="Times New Roman"/>
                <w:i/>
                <w:iCs/>
                <w:sz w:val="22"/>
                <w:szCs w:val="22"/>
              </w:rPr>
              <w:t>$ 3,028</w:t>
            </w:r>
          </w:p>
        </w:tc>
      </w:tr>
      <w:tr w:rsidR="008D63B0" w:rsidRPr="008D63B0" w14:paraId="04B7F78F" w14:textId="77777777" w:rsidTr="00267F58">
        <w:trPr>
          <w:trHeight w:val="20"/>
        </w:trPr>
        <w:tc>
          <w:tcPr>
            <w:tcW w:w="2265" w:type="pct"/>
            <w:gridSpan w:val="2"/>
            <w:shd w:val="clear" w:color="auto" w:fill="auto"/>
            <w:noWrap/>
            <w:vAlign w:val="bottom"/>
          </w:tcPr>
          <w:p w14:paraId="762E4225" w14:textId="4AC9871B" w:rsidR="00267F58" w:rsidRPr="008D63B0" w:rsidRDefault="00267F58" w:rsidP="00267F58">
            <w:pPr>
              <w:rPr>
                <w:rFonts w:eastAsia="Times New Roman"/>
                <w:i/>
                <w:iCs/>
                <w:sz w:val="22"/>
                <w:szCs w:val="22"/>
              </w:rPr>
            </w:pPr>
            <w:r>
              <w:rPr>
                <w:rFonts w:eastAsia="Times New Roman"/>
                <w:i/>
                <w:iCs/>
                <w:sz w:val="22"/>
                <w:szCs w:val="22"/>
              </w:rPr>
              <w:t>*Calculated</w:t>
            </w:r>
          </w:p>
        </w:tc>
        <w:tc>
          <w:tcPr>
            <w:tcW w:w="470" w:type="pct"/>
            <w:shd w:val="clear" w:color="auto" w:fill="auto"/>
            <w:noWrap/>
            <w:vAlign w:val="bottom"/>
          </w:tcPr>
          <w:p w14:paraId="67AC6EF0" w14:textId="77777777" w:rsidR="008D63B0" w:rsidRPr="008D63B0" w:rsidRDefault="008D63B0" w:rsidP="00080772">
            <w:pPr>
              <w:rPr>
                <w:rFonts w:eastAsia="Times New Roman"/>
                <w:i/>
                <w:iCs/>
                <w:sz w:val="22"/>
                <w:szCs w:val="22"/>
              </w:rPr>
            </w:pPr>
          </w:p>
        </w:tc>
        <w:tc>
          <w:tcPr>
            <w:tcW w:w="2265" w:type="pct"/>
            <w:gridSpan w:val="2"/>
            <w:shd w:val="clear" w:color="auto" w:fill="auto"/>
            <w:noWrap/>
            <w:vAlign w:val="bottom"/>
          </w:tcPr>
          <w:p w14:paraId="5D28E3CC" w14:textId="78481671" w:rsidR="00267F58" w:rsidRPr="00267F58" w:rsidRDefault="00267F58" w:rsidP="00267F58">
            <w:pPr>
              <w:rPr>
                <w:rFonts w:eastAsia="Times New Roman"/>
                <w:i/>
                <w:iCs/>
                <w:sz w:val="22"/>
                <w:szCs w:val="22"/>
              </w:rPr>
            </w:pPr>
            <w:r>
              <w:rPr>
                <w:rFonts w:eastAsia="Times New Roman"/>
                <w:i/>
                <w:iCs/>
                <w:sz w:val="22"/>
                <w:szCs w:val="22"/>
              </w:rPr>
              <w:t>*Calculated</w:t>
            </w:r>
          </w:p>
        </w:tc>
      </w:tr>
    </w:tbl>
    <w:p w14:paraId="5334A7DC" w14:textId="179D3B2A" w:rsidR="003135B2" w:rsidRPr="00A028D0" w:rsidRDefault="003135B2" w:rsidP="008D63B0">
      <w:pPr>
        <w:pBdr>
          <w:bottom w:val="single" w:sz="4" w:space="1" w:color="auto"/>
        </w:pBdr>
        <w:jc w:val="center"/>
        <w:rPr>
          <w:b/>
          <w:sz w:val="22"/>
          <w:szCs w:val="22"/>
        </w:rPr>
      </w:pPr>
    </w:p>
    <w:sectPr w:rsidR="003135B2" w:rsidRPr="00A028D0" w:rsidSect="004725F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59B7F" w14:textId="77777777" w:rsidR="0023272B" w:rsidRDefault="0023272B" w:rsidP="00860AF4">
      <w:r>
        <w:separator/>
      </w:r>
    </w:p>
  </w:endnote>
  <w:endnote w:type="continuationSeparator" w:id="0">
    <w:p w14:paraId="0F9E9340" w14:textId="77777777" w:rsidR="0023272B" w:rsidRDefault="0023272B" w:rsidP="00860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FCF8D" w14:textId="77777777" w:rsidR="0023272B" w:rsidRDefault="0023272B" w:rsidP="00860AF4">
      <w:r>
        <w:separator/>
      </w:r>
    </w:p>
  </w:footnote>
  <w:footnote w:type="continuationSeparator" w:id="0">
    <w:p w14:paraId="147648C2" w14:textId="77777777" w:rsidR="0023272B" w:rsidRDefault="0023272B" w:rsidP="00860AF4">
      <w:r>
        <w:continuationSeparator/>
      </w:r>
    </w:p>
  </w:footnote>
  <w:footnote w:id="1">
    <w:p w14:paraId="307C34BD" w14:textId="77777777" w:rsidR="00021E6B" w:rsidRPr="00605388" w:rsidRDefault="00021E6B" w:rsidP="00021E6B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605388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605388">
        <w:rPr>
          <w:rFonts w:ascii="Times New Roman" w:hAnsi="Times New Roman" w:cs="Times New Roman"/>
          <w:sz w:val="20"/>
          <w:szCs w:val="20"/>
        </w:rPr>
        <w:t xml:space="preserve"> Late assignments will be penalized 10 points.</w:t>
      </w:r>
    </w:p>
  </w:footnote>
  <w:footnote w:id="2">
    <w:p w14:paraId="2797AF0C" w14:textId="77777777" w:rsidR="00F35002" w:rsidRPr="00605388" w:rsidRDefault="00F35002" w:rsidP="00F35002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605388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605388">
        <w:rPr>
          <w:rFonts w:ascii="Times New Roman" w:hAnsi="Times New Roman" w:cs="Times New Roman"/>
          <w:sz w:val="20"/>
          <w:szCs w:val="20"/>
        </w:rPr>
        <w:t xml:space="preserve"> Late assignments will be penalized 10 points.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FFEEF" w14:textId="51FF74AD" w:rsidR="007362E6" w:rsidRPr="00860AF4" w:rsidRDefault="007362E6" w:rsidP="00860AF4">
    <w:pPr>
      <w:pStyle w:val="Header"/>
      <w:jc w:val="right"/>
      <w:rPr>
        <w:rFonts w:ascii="Times New Roman" w:hAnsi="Times New Roman" w:cs="Times New Roman"/>
        <w:i/>
        <w:sz w:val="20"/>
      </w:rPr>
    </w:pPr>
    <w:r w:rsidRPr="00860AF4">
      <w:rPr>
        <w:rFonts w:ascii="Times New Roman" w:hAnsi="Times New Roman" w:cs="Times New Roman"/>
        <w:i/>
        <w:sz w:val="20"/>
      </w:rPr>
      <w:t>A</w:t>
    </w:r>
    <w:r>
      <w:rPr>
        <w:rFonts w:ascii="Times New Roman" w:hAnsi="Times New Roman" w:cs="Times New Roman"/>
        <w:i/>
        <w:sz w:val="20"/>
      </w:rPr>
      <w:t>ssigned</w:t>
    </w:r>
    <w:r w:rsidRPr="00860AF4">
      <w:rPr>
        <w:rFonts w:ascii="Times New Roman" w:hAnsi="Times New Roman" w:cs="Times New Roman"/>
        <w:i/>
        <w:sz w:val="20"/>
      </w:rPr>
      <w:t xml:space="preserve">: Thursday </w:t>
    </w:r>
    <w:r w:rsidR="005E40F6">
      <w:rPr>
        <w:rFonts w:ascii="Times New Roman" w:hAnsi="Times New Roman" w:cs="Times New Roman"/>
        <w:i/>
        <w:sz w:val="20"/>
      </w:rPr>
      <w:t>April 20</w:t>
    </w:r>
  </w:p>
  <w:p w14:paraId="4123F48F" w14:textId="368D886E" w:rsidR="00D45B5A" w:rsidRDefault="003868FD" w:rsidP="00D45B5A">
    <w:pPr>
      <w:pStyle w:val="Header"/>
      <w:jc w:val="right"/>
      <w:rPr>
        <w:rFonts w:ascii="Times New Roman" w:hAnsi="Times New Roman" w:cs="Times New Roman"/>
        <w:i/>
        <w:sz w:val="20"/>
      </w:rPr>
    </w:pPr>
    <w:r>
      <w:rPr>
        <w:rFonts w:ascii="Times New Roman" w:hAnsi="Times New Roman" w:cs="Times New Roman"/>
        <w:i/>
        <w:sz w:val="20"/>
      </w:rPr>
      <w:t xml:space="preserve">Presentation </w:t>
    </w:r>
    <w:r w:rsidR="007362E6">
      <w:rPr>
        <w:rFonts w:ascii="Times New Roman" w:hAnsi="Times New Roman" w:cs="Times New Roman"/>
        <w:i/>
        <w:sz w:val="20"/>
      </w:rPr>
      <w:t xml:space="preserve">Due: Thursday </w:t>
    </w:r>
    <w:r w:rsidR="005E40F6">
      <w:rPr>
        <w:rFonts w:ascii="Times New Roman" w:hAnsi="Times New Roman" w:cs="Times New Roman"/>
        <w:i/>
        <w:sz w:val="20"/>
      </w:rPr>
      <w:t>April 27</w:t>
    </w:r>
  </w:p>
  <w:p w14:paraId="6EB7C6CA" w14:textId="6E8175B7" w:rsidR="003868FD" w:rsidRPr="00860AF4" w:rsidRDefault="003868FD" w:rsidP="00D45B5A">
    <w:pPr>
      <w:pStyle w:val="Header"/>
      <w:jc w:val="right"/>
      <w:rPr>
        <w:rFonts w:ascii="Times New Roman" w:hAnsi="Times New Roman" w:cs="Times New Roman"/>
        <w:i/>
        <w:sz w:val="20"/>
      </w:rPr>
    </w:pPr>
    <w:r>
      <w:rPr>
        <w:rFonts w:ascii="Times New Roman" w:hAnsi="Times New Roman" w:cs="Times New Roman"/>
        <w:i/>
        <w:sz w:val="20"/>
      </w:rPr>
      <w:t>Report Due: Monday May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84F6594"/>
    <w:multiLevelType w:val="hybridMultilevel"/>
    <w:tmpl w:val="1188D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60EA1"/>
    <w:multiLevelType w:val="hybridMultilevel"/>
    <w:tmpl w:val="1188D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94677"/>
    <w:multiLevelType w:val="hybridMultilevel"/>
    <w:tmpl w:val="1188D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F2368"/>
    <w:multiLevelType w:val="hybridMultilevel"/>
    <w:tmpl w:val="1188D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600A1"/>
    <w:multiLevelType w:val="hybridMultilevel"/>
    <w:tmpl w:val="B92EA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02115B"/>
    <w:multiLevelType w:val="hybridMultilevel"/>
    <w:tmpl w:val="1BD8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797C27"/>
    <w:multiLevelType w:val="hybridMultilevel"/>
    <w:tmpl w:val="5EDEF6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1F1946"/>
    <w:multiLevelType w:val="hybridMultilevel"/>
    <w:tmpl w:val="81784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D7F93"/>
    <w:multiLevelType w:val="hybridMultilevel"/>
    <w:tmpl w:val="E076A5BE"/>
    <w:lvl w:ilvl="0" w:tplc="F140BA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8156AD"/>
    <w:multiLevelType w:val="hybridMultilevel"/>
    <w:tmpl w:val="D996EFD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DD5255"/>
    <w:multiLevelType w:val="hybridMultilevel"/>
    <w:tmpl w:val="BCC421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AF4"/>
    <w:rsid w:val="00016C5C"/>
    <w:rsid w:val="00021E6B"/>
    <w:rsid w:val="00024377"/>
    <w:rsid w:val="00076300"/>
    <w:rsid w:val="00082771"/>
    <w:rsid w:val="000931CD"/>
    <w:rsid w:val="000A139D"/>
    <w:rsid w:val="000A1544"/>
    <w:rsid w:val="0010121F"/>
    <w:rsid w:val="00114CF9"/>
    <w:rsid w:val="00117AF0"/>
    <w:rsid w:val="001248A8"/>
    <w:rsid w:val="00133314"/>
    <w:rsid w:val="00136C47"/>
    <w:rsid w:val="001718F9"/>
    <w:rsid w:val="001B6F93"/>
    <w:rsid w:val="001C0E4D"/>
    <w:rsid w:val="001C2492"/>
    <w:rsid w:val="001F619D"/>
    <w:rsid w:val="00204B8E"/>
    <w:rsid w:val="00211015"/>
    <w:rsid w:val="00212F40"/>
    <w:rsid w:val="0023272B"/>
    <w:rsid w:val="002550E0"/>
    <w:rsid w:val="00267F58"/>
    <w:rsid w:val="002A468A"/>
    <w:rsid w:val="002A5B50"/>
    <w:rsid w:val="002A6A99"/>
    <w:rsid w:val="002D23CA"/>
    <w:rsid w:val="002D39B0"/>
    <w:rsid w:val="002E2876"/>
    <w:rsid w:val="002E4FAE"/>
    <w:rsid w:val="002E681A"/>
    <w:rsid w:val="00300A62"/>
    <w:rsid w:val="00311D4F"/>
    <w:rsid w:val="003135B2"/>
    <w:rsid w:val="00323D55"/>
    <w:rsid w:val="003251EB"/>
    <w:rsid w:val="00336400"/>
    <w:rsid w:val="00376550"/>
    <w:rsid w:val="003868FD"/>
    <w:rsid w:val="003B13E4"/>
    <w:rsid w:val="003D03EB"/>
    <w:rsid w:val="003F131F"/>
    <w:rsid w:val="00407C38"/>
    <w:rsid w:val="00447969"/>
    <w:rsid w:val="004725F6"/>
    <w:rsid w:val="00485DA2"/>
    <w:rsid w:val="00491346"/>
    <w:rsid w:val="004A2195"/>
    <w:rsid w:val="004C17C6"/>
    <w:rsid w:val="004C4386"/>
    <w:rsid w:val="004E113A"/>
    <w:rsid w:val="004F4876"/>
    <w:rsid w:val="0050650B"/>
    <w:rsid w:val="00510802"/>
    <w:rsid w:val="00512FF8"/>
    <w:rsid w:val="005221E8"/>
    <w:rsid w:val="00584B18"/>
    <w:rsid w:val="005B3C6F"/>
    <w:rsid w:val="005E22D4"/>
    <w:rsid w:val="005E40F6"/>
    <w:rsid w:val="00605388"/>
    <w:rsid w:val="006202D5"/>
    <w:rsid w:val="006228B9"/>
    <w:rsid w:val="00632664"/>
    <w:rsid w:val="006447F5"/>
    <w:rsid w:val="00653F77"/>
    <w:rsid w:val="00662785"/>
    <w:rsid w:val="006920AC"/>
    <w:rsid w:val="00695DED"/>
    <w:rsid w:val="006F1B8C"/>
    <w:rsid w:val="00707A4D"/>
    <w:rsid w:val="007236ED"/>
    <w:rsid w:val="0073111F"/>
    <w:rsid w:val="007362E6"/>
    <w:rsid w:val="00797F08"/>
    <w:rsid w:val="007A384B"/>
    <w:rsid w:val="007C114D"/>
    <w:rsid w:val="00823525"/>
    <w:rsid w:val="00832996"/>
    <w:rsid w:val="00841D3B"/>
    <w:rsid w:val="00850ABD"/>
    <w:rsid w:val="00860AF4"/>
    <w:rsid w:val="008848A4"/>
    <w:rsid w:val="00885459"/>
    <w:rsid w:val="00890FAD"/>
    <w:rsid w:val="00895EDE"/>
    <w:rsid w:val="008C46BA"/>
    <w:rsid w:val="008D059D"/>
    <w:rsid w:val="008D63B0"/>
    <w:rsid w:val="008E326F"/>
    <w:rsid w:val="008F1391"/>
    <w:rsid w:val="00904855"/>
    <w:rsid w:val="0093019B"/>
    <w:rsid w:val="00932253"/>
    <w:rsid w:val="00946C86"/>
    <w:rsid w:val="00984437"/>
    <w:rsid w:val="009A33AC"/>
    <w:rsid w:val="009E0F50"/>
    <w:rsid w:val="009E289B"/>
    <w:rsid w:val="00A028D0"/>
    <w:rsid w:val="00A105F7"/>
    <w:rsid w:val="00A26403"/>
    <w:rsid w:val="00A33C8A"/>
    <w:rsid w:val="00A5688C"/>
    <w:rsid w:val="00A61B5B"/>
    <w:rsid w:val="00AD12C1"/>
    <w:rsid w:val="00AD3014"/>
    <w:rsid w:val="00AF3491"/>
    <w:rsid w:val="00AF3746"/>
    <w:rsid w:val="00B07B86"/>
    <w:rsid w:val="00B5236C"/>
    <w:rsid w:val="00B654E9"/>
    <w:rsid w:val="00B71F83"/>
    <w:rsid w:val="00B86D0A"/>
    <w:rsid w:val="00B9679A"/>
    <w:rsid w:val="00B96B20"/>
    <w:rsid w:val="00BA6517"/>
    <w:rsid w:val="00BC3D33"/>
    <w:rsid w:val="00BE0B2E"/>
    <w:rsid w:val="00BE23A0"/>
    <w:rsid w:val="00BE49D2"/>
    <w:rsid w:val="00BE79C1"/>
    <w:rsid w:val="00C17761"/>
    <w:rsid w:val="00C33EA2"/>
    <w:rsid w:val="00C364B2"/>
    <w:rsid w:val="00C70757"/>
    <w:rsid w:val="00C76146"/>
    <w:rsid w:val="00C866B8"/>
    <w:rsid w:val="00C86CDA"/>
    <w:rsid w:val="00C9296F"/>
    <w:rsid w:val="00C94081"/>
    <w:rsid w:val="00C95401"/>
    <w:rsid w:val="00D11321"/>
    <w:rsid w:val="00D16218"/>
    <w:rsid w:val="00D45B5A"/>
    <w:rsid w:val="00D81097"/>
    <w:rsid w:val="00DC6747"/>
    <w:rsid w:val="00DE530D"/>
    <w:rsid w:val="00DE7210"/>
    <w:rsid w:val="00E036AE"/>
    <w:rsid w:val="00E508C9"/>
    <w:rsid w:val="00EC1C69"/>
    <w:rsid w:val="00EC4910"/>
    <w:rsid w:val="00ED2A8A"/>
    <w:rsid w:val="00ED7472"/>
    <w:rsid w:val="00EE5E38"/>
    <w:rsid w:val="00F35002"/>
    <w:rsid w:val="00F42F08"/>
    <w:rsid w:val="00F74499"/>
    <w:rsid w:val="00F8440D"/>
    <w:rsid w:val="00FC1C04"/>
    <w:rsid w:val="00FE5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41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3111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60AF4"/>
    <w:pPr>
      <w:spacing w:before="240" w:after="60"/>
      <w:jc w:val="center"/>
    </w:pPr>
    <w:rPr>
      <w:rFonts w:ascii="Arial" w:eastAsia="Times New Roman" w:hAnsi="Arial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860AF4"/>
    <w:rPr>
      <w:rFonts w:ascii="Arial" w:eastAsia="Times New Roman" w:hAnsi="Arial" w:cs="Times New Roman"/>
      <w:b/>
      <w:kern w:val="28"/>
      <w:sz w:val="32"/>
      <w:szCs w:val="20"/>
    </w:rPr>
  </w:style>
  <w:style w:type="paragraph" w:styleId="Subtitle">
    <w:name w:val="Subtitle"/>
    <w:basedOn w:val="Normal"/>
    <w:link w:val="SubtitleChar"/>
    <w:qFormat/>
    <w:rsid w:val="00860AF4"/>
    <w:pPr>
      <w:spacing w:after="60"/>
      <w:jc w:val="center"/>
    </w:pPr>
    <w:rPr>
      <w:rFonts w:ascii="Arial" w:eastAsia="Times New Roman" w:hAnsi="Arial"/>
      <w:i/>
      <w:szCs w:val="20"/>
    </w:rPr>
  </w:style>
  <w:style w:type="character" w:customStyle="1" w:styleId="SubtitleChar">
    <w:name w:val="Subtitle Char"/>
    <w:basedOn w:val="DefaultParagraphFont"/>
    <w:link w:val="Subtitle"/>
    <w:rsid w:val="00860AF4"/>
    <w:rPr>
      <w:rFonts w:ascii="Arial" w:eastAsia="Times New Roman" w:hAnsi="Arial" w:cs="Times New Roman"/>
      <w:i/>
      <w:szCs w:val="20"/>
    </w:rPr>
  </w:style>
  <w:style w:type="paragraph" w:styleId="Header">
    <w:name w:val="header"/>
    <w:basedOn w:val="Normal"/>
    <w:link w:val="HeaderChar"/>
    <w:uiPriority w:val="99"/>
    <w:unhideWhenUsed/>
    <w:rsid w:val="00860AF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60AF4"/>
  </w:style>
  <w:style w:type="paragraph" w:styleId="Footer">
    <w:name w:val="footer"/>
    <w:basedOn w:val="Normal"/>
    <w:link w:val="FooterChar"/>
    <w:uiPriority w:val="99"/>
    <w:unhideWhenUsed/>
    <w:rsid w:val="00860AF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60AF4"/>
  </w:style>
  <w:style w:type="character" w:styleId="Hyperlink">
    <w:name w:val="Hyperlink"/>
    <w:basedOn w:val="DefaultParagraphFont"/>
    <w:uiPriority w:val="99"/>
    <w:unhideWhenUsed/>
    <w:rsid w:val="00212F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F40"/>
    <w:pPr>
      <w:ind w:left="720"/>
      <w:contextualSpacing/>
    </w:pPr>
    <w:rPr>
      <w:rFonts w:asciiTheme="minorHAnsi" w:hAnsiTheme="minorHAnsi" w:cstheme="minorBidi"/>
    </w:rPr>
  </w:style>
  <w:style w:type="paragraph" w:styleId="FootnoteText">
    <w:name w:val="footnote text"/>
    <w:basedOn w:val="Normal"/>
    <w:link w:val="FootnoteTextChar"/>
    <w:uiPriority w:val="99"/>
    <w:unhideWhenUsed/>
    <w:rsid w:val="00212F40"/>
    <w:rPr>
      <w:rFonts w:ascii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2F40"/>
  </w:style>
  <w:style w:type="character" w:styleId="FootnoteReference">
    <w:name w:val="footnote reference"/>
    <w:basedOn w:val="DefaultParagraphFont"/>
    <w:uiPriority w:val="99"/>
    <w:unhideWhenUsed/>
    <w:rsid w:val="00212F40"/>
    <w:rPr>
      <w:vertAlign w:val="superscript"/>
    </w:rPr>
  </w:style>
  <w:style w:type="table" w:styleId="TableGrid">
    <w:name w:val="Table Grid"/>
    <w:basedOn w:val="TableNormal"/>
    <w:uiPriority w:val="39"/>
    <w:rsid w:val="00946C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B96B20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86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13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2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9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12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689</Words>
  <Characters>3959</Characters>
  <Application>Microsoft Macintosh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Henry</dc:creator>
  <cp:keywords/>
  <dc:description/>
  <cp:lastModifiedBy>Elaine Henry</cp:lastModifiedBy>
  <cp:revision>41</cp:revision>
  <cp:lastPrinted>2017-04-19T16:24:00Z</cp:lastPrinted>
  <dcterms:created xsi:type="dcterms:W3CDTF">2017-04-18T16:41:00Z</dcterms:created>
  <dcterms:modified xsi:type="dcterms:W3CDTF">2017-04-20T11:52:00Z</dcterms:modified>
</cp:coreProperties>
</file>