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2239" w:rsidRDefault="00707D37">
      <w:r>
        <w:t>Adam Gincel</w:t>
      </w:r>
    </w:p>
    <w:p w:rsidR="00707D37" w:rsidRDefault="00707D37">
      <w:r>
        <w:t>BT321</w:t>
      </w:r>
    </w:p>
    <w:p w:rsidR="00F37C0A" w:rsidRDefault="00F37C0A">
      <w:r>
        <w:t>10/29/2017</w:t>
      </w:r>
    </w:p>
    <w:p w:rsidR="00F37C0A" w:rsidRPr="00F37C0A" w:rsidRDefault="00F37C0A">
      <w:r>
        <w:rPr>
          <w:i/>
        </w:rPr>
        <w:t>I pledge my honor that I have abided by the Stevens Honor System.</w:t>
      </w:r>
    </w:p>
    <w:p w:rsidR="00707D37" w:rsidRDefault="00707D37" w:rsidP="00707D37">
      <w:pPr>
        <w:jc w:val="center"/>
      </w:pPr>
      <w:r>
        <w:t>Homework 2</w:t>
      </w:r>
    </w:p>
    <w:p w:rsidR="00707D37" w:rsidRDefault="00F96C4E" w:rsidP="00707D37">
      <w:r>
        <w:t>1)</w:t>
      </w:r>
    </w:p>
    <w:p w:rsidR="00707D37" w:rsidRDefault="00F96C4E" w:rsidP="00707D37">
      <w:r>
        <w:t xml:space="preserve">a) </w:t>
      </w:r>
      <w:r w:rsidR="00707D37">
        <w:rPr>
          <w:noProof/>
        </w:rPr>
        <w:drawing>
          <wp:inline distT="0" distB="0" distL="0" distR="0" wp14:anchorId="28EE576B" wp14:editId="4CF66127">
            <wp:extent cx="4533900" cy="222868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68295" cy="2245590"/>
                    </a:xfrm>
                    <a:prstGeom prst="rect">
                      <a:avLst/>
                    </a:prstGeom>
                  </pic:spPr>
                </pic:pic>
              </a:graphicData>
            </a:graphic>
          </wp:inline>
        </w:drawing>
      </w:r>
    </w:p>
    <w:p w:rsidR="00F96C4E" w:rsidRDefault="00F96C4E" w:rsidP="00707D37">
      <w:r>
        <w:t xml:space="preserve">b) </w:t>
      </w:r>
      <w:r>
        <w:rPr>
          <w:noProof/>
        </w:rPr>
        <w:drawing>
          <wp:inline distT="0" distB="0" distL="0" distR="0" wp14:anchorId="6827A0DC" wp14:editId="3D82CDD0">
            <wp:extent cx="4857750" cy="26494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1642" cy="2662477"/>
                    </a:xfrm>
                    <a:prstGeom prst="rect">
                      <a:avLst/>
                    </a:prstGeom>
                  </pic:spPr>
                </pic:pic>
              </a:graphicData>
            </a:graphic>
          </wp:inline>
        </w:drawing>
      </w:r>
    </w:p>
    <w:p w:rsidR="001D509E" w:rsidRDefault="001D509E" w:rsidP="00707D37">
      <w:r>
        <w:lastRenderedPageBreak/>
        <w:t>c) Imposing short-sales constraints on a market appears to reduce both overall average expected return, while also reducing standard deviation on the return of the portfolio. It seems to allow for lower risk, lower return portfolios.</w:t>
      </w:r>
    </w:p>
    <w:p w:rsidR="00186DBA" w:rsidRDefault="001D509E" w:rsidP="00707D37">
      <w:r>
        <w:t xml:space="preserve">d) </w:t>
      </w:r>
      <w:r w:rsidR="00186DBA">
        <w:rPr>
          <w:noProof/>
        </w:rPr>
        <w:drawing>
          <wp:inline distT="0" distB="0" distL="0" distR="0" wp14:anchorId="548B27A3" wp14:editId="3800D7D4">
            <wp:extent cx="5484023" cy="27051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02662" cy="2714294"/>
                    </a:xfrm>
                    <a:prstGeom prst="rect">
                      <a:avLst/>
                    </a:prstGeom>
                  </pic:spPr>
                </pic:pic>
              </a:graphicData>
            </a:graphic>
          </wp:inline>
        </w:drawing>
      </w:r>
    </w:p>
    <w:p w:rsidR="00186DBA" w:rsidRDefault="00186DBA" w:rsidP="00707D37">
      <w:r>
        <w:rPr>
          <w:noProof/>
        </w:rPr>
        <w:drawing>
          <wp:inline distT="0" distB="0" distL="0" distR="0" wp14:anchorId="1DFA7199" wp14:editId="525783C2">
            <wp:extent cx="5715000" cy="310051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19965" cy="3103203"/>
                    </a:xfrm>
                    <a:prstGeom prst="rect">
                      <a:avLst/>
                    </a:prstGeom>
                  </pic:spPr>
                </pic:pic>
              </a:graphicData>
            </a:graphic>
          </wp:inline>
        </w:drawing>
      </w:r>
      <w:r>
        <w:br/>
        <w:t>The graphs of standard deviation in XOM-JNJ seem much more symmetrical than in AAPL-MSFT. This may imply that these two shares are more similar in volatility.</w:t>
      </w:r>
    </w:p>
    <w:p w:rsidR="00186DBA" w:rsidRDefault="00186DBA" w:rsidP="00707D37">
      <w:r>
        <w:lastRenderedPageBreak/>
        <w:t xml:space="preserve">2) </w:t>
      </w:r>
    </w:p>
    <w:p w:rsidR="00186DBA" w:rsidRDefault="00BC770B" w:rsidP="00707D37">
      <w:r>
        <w:t xml:space="preserve">a) </w:t>
      </w:r>
      <w:r>
        <w:rPr>
          <w:noProof/>
        </w:rPr>
        <w:drawing>
          <wp:inline distT="0" distB="0" distL="0" distR="0" wp14:anchorId="6DF0FB07" wp14:editId="05816999">
            <wp:extent cx="5495925" cy="2971088"/>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08813" cy="2978055"/>
                    </a:xfrm>
                    <a:prstGeom prst="rect">
                      <a:avLst/>
                    </a:prstGeom>
                  </pic:spPr>
                </pic:pic>
              </a:graphicData>
            </a:graphic>
          </wp:inline>
        </w:drawing>
      </w:r>
    </w:p>
    <w:p w:rsidR="009B00F1" w:rsidRDefault="009B00F1" w:rsidP="00707D37">
      <w:r>
        <w:t xml:space="preserve">For the </w:t>
      </w:r>
      <w:proofErr w:type="gramStart"/>
      <w:r>
        <w:t>time period</w:t>
      </w:r>
      <w:proofErr w:type="gramEnd"/>
      <w:r>
        <w:t xml:space="preserve"> of 1/1/1970 to 10/29/2017, the overall beta of PG was 0.59997.</w:t>
      </w:r>
    </w:p>
    <w:p w:rsidR="009B00F1" w:rsidRDefault="009B00F1" w:rsidP="00707D37">
      <w:r>
        <w:t>b) Beta in 1980s: 0.6979. Beta in 1990s: 0.9044. Beta in 2000s: 0.1768. Beta in 2010s: 0.396</w:t>
      </w:r>
      <w:r w:rsidR="00546D7E">
        <w:t>8.</w:t>
      </w:r>
    </w:p>
    <w:p w:rsidR="00546D7E" w:rsidRDefault="00546D7E" w:rsidP="00707D37">
      <w:r>
        <w:rPr>
          <w:noProof/>
        </w:rPr>
        <w:drawing>
          <wp:inline distT="0" distB="0" distL="0" distR="0" wp14:anchorId="506BBE31" wp14:editId="3C614C9B">
            <wp:extent cx="5943600" cy="31750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75000"/>
                    </a:xfrm>
                    <a:prstGeom prst="rect">
                      <a:avLst/>
                    </a:prstGeom>
                  </pic:spPr>
                </pic:pic>
              </a:graphicData>
            </a:graphic>
          </wp:inline>
        </w:drawing>
      </w:r>
    </w:p>
    <w:p w:rsidR="00546D7E" w:rsidRDefault="00546D7E" w:rsidP="00707D37">
      <w:r>
        <w:rPr>
          <w:noProof/>
        </w:rPr>
        <w:lastRenderedPageBreak/>
        <w:drawing>
          <wp:inline distT="0" distB="0" distL="0" distR="0" wp14:anchorId="343219DD" wp14:editId="7531844F">
            <wp:extent cx="5943600" cy="32213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21355"/>
                    </a:xfrm>
                    <a:prstGeom prst="rect">
                      <a:avLst/>
                    </a:prstGeom>
                  </pic:spPr>
                </pic:pic>
              </a:graphicData>
            </a:graphic>
          </wp:inline>
        </w:drawing>
      </w:r>
    </w:p>
    <w:p w:rsidR="00546D7E" w:rsidRDefault="00546D7E" w:rsidP="00707D37">
      <w:r>
        <w:rPr>
          <w:noProof/>
        </w:rPr>
        <w:drawing>
          <wp:inline distT="0" distB="0" distL="0" distR="0" wp14:anchorId="7BDF47D5" wp14:editId="72B7541F">
            <wp:extent cx="5943600" cy="31953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95320"/>
                    </a:xfrm>
                    <a:prstGeom prst="rect">
                      <a:avLst/>
                    </a:prstGeom>
                  </pic:spPr>
                </pic:pic>
              </a:graphicData>
            </a:graphic>
          </wp:inline>
        </w:drawing>
      </w:r>
    </w:p>
    <w:p w:rsidR="00222379" w:rsidRDefault="00222379" w:rsidP="00707D37">
      <w:r>
        <w:rPr>
          <w:noProof/>
        </w:rPr>
        <w:lastRenderedPageBreak/>
        <w:drawing>
          <wp:inline distT="0" distB="0" distL="0" distR="0" wp14:anchorId="4E76C43D" wp14:editId="14DDCAB1">
            <wp:extent cx="5943600" cy="31915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91510"/>
                    </a:xfrm>
                    <a:prstGeom prst="rect">
                      <a:avLst/>
                    </a:prstGeom>
                  </pic:spPr>
                </pic:pic>
              </a:graphicData>
            </a:graphic>
          </wp:inline>
        </w:drawing>
      </w:r>
    </w:p>
    <w:p w:rsidR="00222379" w:rsidRDefault="00222379" w:rsidP="00707D37">
      <w:r>
        <w:t>c) By looking at shorter time periods we see that PG did very well in the 1990s, and more poorly by comparison in the 2000s. Even so, looking at the overall Beta for the whole period shows us that PG has been a well performing investment over time.</w:t>
      </w:r>
    </w:p>
    <w:p w:rsidR="00BC770B" w:rsidRDefault="00526FEE" w:rsidP="007273F8">
      <w:pPr>
        <w:spacing w:line="240" w:lineRule="auto"/>
      </w:pPr>
      <w:r>
        <w:t>3)</w:t>
      </w:r>
    </w:p>
    <w:p w:rsidR="00526FEE" w:rsidRDefault="007552A5" w:rsidP="007273F8">
      <w:pPr>
        <w:spacing w:line="240" w:lineRule="auto"/>
        <w:contextualSpacing/>
      </w:pPr>
      <w:r>
        <w:t>R</w:t>
      </w:r>
      <w:r w:rsidRPr="007552A5">
        <w:rPr>
          <w:vertAlign w:val="subscript"/>
        </w:rPr>
        <w:t>a</w:t>
      </w:r>
      <w:r>
        <w:t xml:space="preserve"> = </w:t>
      </w:r>
      <w:r w:rsidR="00526FEE">
        <w:t>R</w:t>
      </w:r>
      <w:r w:rsidR="00526FEE" w:rsidRPr="00526FEE">
        <w:rPr>
          <w:vertAlign w:val="subscript"/>
        </w:rPr>
        <w:t>rf</w:t>
      </w:r>
      <w:r w:rsidR="00526FEE">
        <w:t xml:space="preserve"> + B*(E(r</w:t>
      </w:r>
      <w:r w:rsidR="00526FEE" w:rsidRPr="00526FEE">
        <w:rPr>
          <w:vertAlign w:val="subscript"/>
        </w:rPr>
        <w:t>m</w:t>
      </w:r>
      <w:r w:rsidR="00526FEE">
        <w:t>) – R</w:t>
      </w:r>
      <w:r w:rsidR="00526FEE" w:rsidRPr="00526FEE">
        <w:rPr>
          <w:vertAlign w:val="subscript"/>
        </w:rPr>
        <w:t>rf</w:t>
      </w:r>
      <w:r w:rsidR="00526FEE">
        <w:t>)</w:t>
      </w:r>
    </w:p>
    <w:p w:rsidR="00526FEE" w:rsidRDefault="00526FEE" w:rsidP="007273F8">
      <w:pPr>
        <w:spacing w:line="240" w:lineRule="auto"/>
        <w:contextualSpacing/>
      </w:pPr>
      <w:r>
        <w:t>Stock 1: E(r</w:t>
      </w:r>
      <w:r w:rsidR="007552A5">
        <w:rPr>
          <w:vertAlign w:val="subscript"/>
        </w:rPr>
        <w:t>a</w:t>
      </w:r>
      <w:r>
        <w:t>) = 12%      B = 1.6</w:t>
      </w:r>
    </w:p>
    <w:p w:rsidR="007552A5" w:rsidRDefault="00526FEE" w:rsidP="007552A5">
      <w:pPr>
        <w:spacing w:line="240" w:lineRule="auto"/>
        <w:contextualSpacing/>
      </w:pPr>
      <w:r>
        <w:t>Stock 2: E(r</w:t>
      </w:r>
      <w:r w:rsidR="007552A5">
        <w:rPr>
          <w:vertAlign w:val="subscript"/>
        </w:rPr>
        <w:t>a</w:t>
      </w:r>
      <w:r>
        <w:t>) = 6%     B = 0.5</w:t>
      </w:r>
    </w:p>
    <w:p w:rsidR="00526FEE" w:rsidRPr="007552A5" w:rsidRDefault="007552A5" w:rsidP="007552A5">
      <w:pPr>
        <w:spacing w:line="240" w:lineRule="auto"/>
        <w:contextualSpacing/>
        <w:rPr>
          <w:i/>
          <w:vertAlign w:val="subscript"/>
        </w:rPr>
      </w:pPr>
      <w:r w:rsidRPr="007552A5">
        <w:rPr>
          <w:i/>
        </w:rPr>
        <w:t>Using Stock 1 to solve for R</w:t>
      </w:r>
      <w:r w:rsidRPr="007552A5">
        <w:rPr>
          <w:i/>
          <w:vertAlign w:val="subscript"/>
        </w:rPr>
        <w:t>rf</w:t>
      </w:r>
    </w:p>
    <w:p w:rsidR="007552A5" w:rsidRDefault="007552A5" w:rsidP="007552A5">
      <w:pPr>
        <w:spacing w:line="240" w:lineRule="auto"/>
        <w:contextualSpacing/>
        <w:rPr>
          <w:vertAlign w:val="subscript"/>
        </w:rPr>
      </w:pPr>
      <w:r>
        <w:t>.12 = R</w:t>
      </w:r>
      <w:r w:rsidRPr="007552A5">
        <w:rPr>
          <w:vertAlign w:val="subscript"/>
        </w:rPr>
        <w:t>rf</w:t>
      </w:r>
      <w:r>
        <w:t xml:space="preserve"> + 1.6(Rm – R</w:t>
      </w:r>
      <w:r w:rsidRPr="007552A5">
        <w:rPr>
          <w:vertAlign w:val="subscript"/>
        </w:rPr>
        <w:t>rf</w:t>
      </w:r>
      <w:r>
        <w:t>) = R</w:t>
      </w:r>
      <w:r w:rsidRPr="007552A5">
        <w:rPr>
          <w:vertAlign w:val="subscript"/>
        </w:rPr>
        <w:t>rf</w:t>
      </w:r>
      <w:r>
        <w:t xml:space="preserve"> + 1.6Rm – 1.6R</w:t>
      </w:r>
      <w:r w:rsidRPr="007552A5">
        <w:rPr>
          <w:vertAlign w:val="subscript"/>
        </w:rPr>
        <w:t>rf</w:t>
      </w:r>
    </w:p>
    <w:p w:rsidR="007552A5" w:rsidRDefault="007552A5" w:rsidP="007552A5">
      <w:pPr>
        <w:spacing w:line="240" w:lineRule="auto"/>
        <w:contextualSpacing/>
      </w:pPr>
      <w:r>
        <w:t>.12 – 1.6R</w:t>
      </w:r>
      <w:r w:rsidRPr="007273F8">
        <w:rPr>
          <w:vertAlign w:val="subscript"/>
        </w:rPr>
        <w:t xml:space="preserve">m </w:t>
      </w:r>
      <w:r>
        <w:t>= -0.6R</w:t>
      </w:r>
      <w:r w:rsidRPr="007552A5">
        <w:rPr>
          <w:vertAlign w:val="subscript"/>
        </w:rPr>
        <w:t>rf</w:t>
      </w:r>
    </w:p>
    <w:p w:rsidR="007552A5" w:rsidRDefault="007552A5" w:rsidP="007552A5">
      <w:pPr>
        <w:spacing w:line="240" w:lineRule="auto"/>
        <w:contextualSpacing/>
      </w:pPr>
      <w:r>
        <w:t>R</w:t>
      </w:r>
      <w:r w:rsidRPr="007552A5">
        <w:rPr>
          <w:vertAlign w:val="subscript"/>
        </w:rPr>
        <w:t xml:space="preserve">rf </w:t>
      </w:r>
      <w:r>
        <w:t>= (</w:t>
      </w:r>
      <w:r w:rsidR="007273F8">
        <w:t>0</w:t>
      </w:r>
      <w:r>
        <w:t>.12 – 1.6R</w:t>
      </w:r>
      <w:r w:rsidRPr="007273F8">
        <w:rPr>
          <w:vertAlign w:val="subscript"/>
        </w:rPr>
        <w:t>m</w:t>
      </w:r>
      <w:r>
        <w:t>) / -0.6</w:t>
      </w:r>
    </w:p>
    <w:p w:rsidR="007552A5" w:rsidRPr="007552A5" w:rsidRDefault="007552A5" w:rsidP="007552A5">
      <w:pPr>
        <w:spacing w:line="240" w:lineRule="auto"/>
        <w:contextualSpacing/>
        <w:rPr>
          <w:i/>
        </w:rPr>
      </w:pPr>
      <w:r>
        <w:rPr>
          <w:i/>
        </w:rPr>
        <w:t>Using Stock 2 to solve for R</w:t>
      </w:r>
      <w:r w:rsidRPr="007552A5">
        <w:rPr>
          <w:i/>
          <w:vertAlign w:val="subscript"/>
        </w:rPr>
        <w:t>m</w:t>
      </w:r>
    </w:p>
    <w:p w:rsidR="007552A5" w:rsidRDefault="007552A5" w:rsidP="007552A5">
      <w:pPr>
        <w:spacing w:line="240" w:lineRule="auto"/>
        <w:contextualSpacing/>
      </w:pPr>
      <w:r>
        <w:t>0.06 = R</w:t>
      </w:r>
      <w:r w:rsidRPr="007273F8">
        <w:rPr>
          <w:vertAlign w:val="subscript"/>
        </w:rPr>
        <w:t>rf</w:t>
      </w:r>
      <w:r>
        <w:t xml:space="preserve"> + 0.5(R</w:t>
      </w:r>
      <w:r w:rsidRPr="007273F8">
        <w:rPr>
          <w:vertAlign w:val="subscript"/>
        </w:rPr>
        <w:t>m</w:t>
      </w:r>
      <w:r>
        <w:t xml:space="preserve"> – R</w:t>
      </w:r>
      <w:r w:rsidRPr="007273F8">
        <w:rPr>
          <w:vertAlign w:val="subscript"/>
        </w:rPr>
        <w:t>rf</w:t>
      </w:r>
      <w:r>
        <w:t>) = R</w:t>
      </w:r>
      <w:r w:rsidRPr="007273F8">
        <w:rPr>
          <w:vertAlign w:val="subscript"/>
        </w:rPr>
        <w:t>rf</w:t>
      </w:r>
      <w:r>
        <w:t xml:space="preserve"> + 0.5R</w:t>
      </w:r>
      <w:r w:rsidRPr="007273F8">
        <w:rPr>
          <w:vertAlign w:val="subscript"/>
        </w:rPr>
        <w:t>m</w:t>
      </w:r>
      <w:r>
        <w:t xml:space="preserve"> – 0.5R</w:t>
      </w:r>
      <w:r w:rsidRPr="007273F8">
        <w:rPr>
          <w:vertAlign w:val="subscript"/>
        </w:rPr>
        <w:t>rf</w:t>
      </w:r>
    </w:p>
    <w:p w:rsidR="007552A5" w:rsidRDefault="007552A5" w:rsidP="007552A5">
      <w:pPr>
        <w:spacing w:line="240" w:lineRule="auto"/>
        <w:contextualSpacing/>
      </w:pPr>
      <w:r>
        <w:t>R</w:t>
      </w:r>
      <w:r w:rsidRPr="007273F8">
        <w:rPr>
          <w:vertAlign w:val="subscript"/>
        </w:rPr>
        <w:t>m</w:t>
      </w:r>
      <w:r>
        <w:t xml:space="preserve"> = (0.06 – 0.5R</w:t>
      </w:r>
      <w:r w:rsidRPr="007273F8">
        <w:rPr>
          <w:vertAlign w:val="subscript"/>
        </w:rPr>
        <w:t>rf</w:t>
      </w:r>
      <w:r>
        <w:t>) / 0.5</w:t>
      </w:r>
    </w:p>
    <w:p w:rsidR="007273F8" w:rsidRPr="007273F8" w:rsidRDefault="007273F8" w:rsidP="007552A5">
      <w:pPr>
        <w:spacing w:line="240" w:lineRule="auto"/>
        <w:contextualSpacing/>
        <w:rPr>
          <w:i/>
        </w:rPr>
      </w:pPr>
      <w:r>
        <w:rPr>
          <w:i/>
        </w:rPr>
        <w:t>Solving</w:t>
      </w:r>
    </w:p>
    <w:p w:rsidR="007273F8" w:rsidRDefault="007273F8" w:rsidP="007552A5">
      <w:pPr>
        <w:spacing w:line="240" w:lineRule="auto"/>
        <w:contextualSpacing/>
      </w:pPr>
      <w:r>
        <w:t>R</w:t>
      </w:r>
      <w:r w:rsidRPr="007273F8">
        <w:rPr>
          <w:vertAlign w:val="subscript"/>
        </w:rPr>
        <w:t>rf</w:t>
      </w:r>
      <w:r>
        <w:t xml:space="preserve"> = (0.12 – 1.6((0.06-0.5R</w:t>
      </w:r>
      <w:r w:rsidRPr="007273F8">
        <w:rPr>
          <w:vertAlign w:val="subscript"/>
        </w:rPr>
        <w:t>m</w:t>
      </w:r>
      <w:r>
        <w:t>) / 0.5)) / -0.6</w:t>
      </w:r>
    </w:p>
    <w:p w:rsidR="007273F8" w:rsidRDefault="007273F8" w:rsidP="007552A5">
      <w:pPr>
        <w:spacing w:line="240" w:lineRule="auto"/>
        <w:contextualSpacing/>
      </w:pPr>
      <w:r>
        <w:t>R</w:t>
      </w:r>
      <w:r w:rsidRPr="007273F8">
        <w:rPr>
          <w:vertAlign w:val="subscript"/>
        </w:rPr>
        <w:t>rf</w:t>
      </w:r>
      <w:r>
        <w:t xml:space="preserve"> = (0.12 – 0.192 + 1.6R</w:t>
      </w:r>
      <w:r w:rsidRPr="007273F8">
        <w:rPr>
          <w:vertAlign w:val="subscript"/>
        </w:rPr>
        <w:t>rf</w:t>
      </w:r>
      <w:r>
        <w:t>) / -0.06</w:t>
      </w:r>
    </w:p>
    <w:p w:rsidR="007273F8" w:rsidRDefault="007273F8" w:rsidP="007552A5">
      <w:pPr>
        <w:spacing w:line="240" w:lineRule="auto"/>
        <w:contextualSpacing/>
      </w:pPr>
      <w:r>
        <w:t>R</w:t>
      </w:r>
      <w:r w:rsidRPr="007273F8">
        <w:rPr>
          <w:vertAlign w:val="subscript"/>
        </w:rPr>
        <w:t>rf</w:t>
      </w:r>
      <w:r>
        <w:t xml:space="preserve"> = (-0.072 + 1.6R</w:t>
      </w:r>
      <w:r w:rsidRPr="007273F8">
        <w:rPr>
          <w:vertAlign w:val="subscript"/>
        </w:rPr>
        <w:t>rf</w:t>
      </w:r>
      <w:r>
        <w:t>) / -0.06</w:t>
      </w:r>
    </w:p>
    <w:p w:rsidR="007273F8" w:rsidRDefault="007273F8" w:rsidP="007552A5">
      <w:pPr>
        <w:spacing w:line="240" w:lineRule="auto"/>
        <w:contextualSpacing/>
      </w:pPr>
      <w:r>
        <w:t>R</w:t>
      </w:r>
      <w:r w:rsidRPr="007273F8">
        <w:rPr>
          <w:vertAlign w:val="subscript"/>
        </w:rPr>
        <w:t>rf</w:t>
      </w:r>
      <w:r>
        <w:t xml:space="preserve"> = 1.2 – 26.67R</w:t>
      </w:r>
      <w:r w:rsidRPr="007273F8">
        <w:rPr>
          <w:vertAlign w:val="subscript"/>
        </w:rPr>
        <w:t>rf</w:t>
      </w:r>
    </w:p>
    <w:p w:rsidR="007273F8" w:rsidRPr="00FD2F42" w:rsidRDefault="007273F8" w:rsidP="007552A5">
      <w:pPr>
        <w:spacing w:line="240" w:lineRule="auto"/>
        <w:contextualSpacing/>
        <w:rPr>
          <w:b/>
        </w:rPr>
      </w:pPr>
      <w:r w:rsidRPr="007273F8">
        <w:rPr>
          <w:b/>
        </w:rPr>
        <w:t>R</w:t>
      </w:r>
      <w:r w:rsidRPr="007273F8">
        <w:rPr>
          <w:b/>
          <w:vertAlign w:val="subscript"/>
        </w:rPr>
        <w:t>rf</w:t>
      </w:r>
      <w:r w:rsidRPr="007273F8">
        <w:rPr>
          <w:b/>
        </w:rPr>
        <w:t xml:space="preserve"> = 0.0434 = 4.34%</w:t>
      </w:r>
    </w:p>
    <w:p w:rsidR="007552A5" w:rsidRDefault="00FD2F42" w:rsidP="007552A5">
      <w:pPr>
        <w:spacing w:line="240" w:lineRule="auto"/>
        <w:contextualSpacing/>
      </w:pPr>
      <w:r w:rsidRPr="00FD2F42">
        <w:rPr>
          <w:b/>
        </w:rPr>
        <w:t>R</w:t>
      </w:r>
      <w:r w:rsidRPr="00FD2F42">
        <w:rPr>
          <w:b/>
          <w:vertAlign w:val="subscript"/>
        </w:rPr>
        <w:t>m</w:t>
      </w:r>
      <w:r w:rsidRPr="00FD2F42">
        <w:rPr>
          <w:b/>
        </w:rPr>
        <w:t xml:space="preserve"> =</w:t>
      </w:r>
      <w:r>
        <w:t xml:space="preserve"> (0.06 – 0.5(0.0434)) / 0.5 = 0.0766 </w:t>
      </w:r>
      <w:r w:rsidRPr="00FD2F42">
        <w:rPr>
          <w:b/>
        </w:rPr>
        <w:t>= 7.66%</w:t>
      </w:r>
    </w:p>
    <w:p w:rsidR="00FD2F42" w:rsidRDefault="00FD2F42" w:rsidP="007552A5">
      <w:pPr>
        <w:spacing w:line="240" w:lineRule="auto"/>
        <w:contextualSpacing/>
        <w:rPr>
          <w:b/>
        </w:rPr>
      </w:pPr>
      <w:r w:rsidRPr="00FD2F42">
        <w:rPr>
          <w:b/>
        </w:rPr>
        <w:t>Market Risk Premium =</w:t>
      </w:r>
      <w:r>
        <w:t xml:space="preserve"> R</w:t>
      </w:r>
      <w:r w:rsidRPr="00FD2F42">
        <w:rPr>
          <w:vertAlign w:val="subscript"/>
        </w:rPr>
        <w:t>m</w:t>
      </w:r>
      <w:r>
        <w:t xml:space="preserve"> – R</w:t>
      </w:r>
      <w:r w:rsidRPr="00FD2F42">
        <w:rPr>
          <w:vertAlign w:val="subscript"/>
        </w:rPr>
        <w:t>rf</w:t>
      </w:r>
      <w:r>
        <w:t xml:space="preserve"> </w:t>
      </w:r>
      <w:r w:rsidRPr="00FD2F42">
        <w:rPr>
          <w:b/>
        </w:rPr>
        <w:t>= 3.32%</w:t>
      </w:r>
    </w:p>
    <w:p w:rsidR="00FD2F42" w:rsidRDefault="00FD2F42" w:rsidP="007552A5">
      <w:pPr>
        <w:spacing w:line="240" w:lineRule="auto"/>
        <w:contextualSpacing/>
      </w:pPr>
      <w:r>
        <w:lastRenderedPageBreak/>
        <w:t>4)</w:t>
      </w:r>
    </w:p>
    <w:p w:rsidR="000F27AC" w:rsidRDefault="000F27AC" w:rsidP="007552A5">
      <w:pPr>
        <w:spacing w:line="240" w:lineRule="auto"/>
        <w:contextualSpacing/>
      </w:pPr>
    </w:p>
    <w:p w:rsidR="00FD2F42" w:rsidRDefault="00772D13" w:rsidP="007552A5">
      <w:pPr>
        <w:spacing w:line="240" w:lineRule="auto"/>
        <w:contextualSpacing/>
      </w:pPr>
      <w:r>
        <w:t>I found four ETFs with a decade of histor</w:t>
      </w:r>
      <w:r w:rsidR="000C60C7">
        <w:t>ical data</w:t>
      </w:r>
      <w:r>
        <w:t xml:space="preserve"> behind them: iShares US Real Estate ETF, iShares Cohen &amp; Steers REIT ETF, SPDR Dow Jones REIT EFT, and Vanguard REIT ETF. Conveniently these are four of the largest ETFs on the market, and thus make a good case study.</w:t>
      </w:r>
    </w:p>
    <w:p w:rsidR="00772D13" w:rsidRDefault="00772D13" w:rsidP="007552A5">
      <w:pPr>
        <w:spacing w:line="240" w:lineRule="auto"/>
        <w:contextualSpacing/>
      </w:pPr>
    </w:p>
    <w:p w:rsidR="000C60C7" w:rsidRDefault="000C60C7" w:rsidP="007552A5">
      <w:pPr>
        <w:spacing w:line="240" w:lineRule="auto"/>
        <w:contextualSpacing/>
      </w:pPr>
      <w:r>
        <w:t>a)</w:t>
      </w:r>
    </w:p>
    <w:p w:rsidR="00772D13" w:rsidRDefault="00772D13" w:rsidP="007552A5">
      <w:pPr>
        <w:spacing w:line="240" w:lineRule="auto"/>
        <w:contextualSpacing/>
      </w:pPr>
      <w:r>
        <w:t>For the period of January 2007 through October 2017, here are the average monthly and yearly returns for those ETFs</w:t>
      </w:r>
      <w:r w:rsidR="000C60C7">
        <w:t>:</w:t>
      </w:r>
    </w:p>
    <w:p w:rsidR="000C60C7" w:rsidRDefault="000C60C7" w:rsidP="007552A5">
      <w:pPr>
        <w:spacing w:line="240" w:lineRule="auto"/>
        <w:contextualSpacing/>
      </w:pPr>
    </w:p>
    <w:p w:rsidR="00772D13" w:rsidRDefault="00772D13" w:rsidP="007552A5">
      <w:pPr>
        <w:spacing w:line="240" w:lineRule="auto"/>
        <w:contextualSpacing/>
      </w:pPr>
      <w:r>
        <w:t xml:space="preserve">iShares US Real Estate: </w:t>
      </w:r>
      <w:r w:rsidR="008A025E">
        <w:t xml:space="preserve">   </w:t>
      </w:r>
      <w:r>
        <w:t>Monthly: 0.557%     Yearly: 5.952%</w:t>
      </w:r>
    </w:p>
    <w:p w:rsidR="00772D13" w:rsidRDefault="00772D13" w:rsidP="007552A5">
      <w:pPr>
        <w:spacing w:line="240" w:lineRule="auto"/>
        <w:contextualSpacing/>
      </w:pPr>
      <w:r>
        <w:t xml:space="preserve">iShares Cohen &amp; Steers: </w:t>
      </w:r>
      <w:r w:rsidR="008A025E">
        <w:t xml:space="preserve">  </w:t>
      </w:r>
      <w:r>
        <w:t>Monthly: 0.602%    Yearly: 6.062%</w:t>
      </w:r>
    </w:p>
    <w:p w:rsidR="00772D13" w:rsidRDefault="008A025E" w:rsidP="007552A5">
      <w:pPr>
        <w:spacing w:line="240" w:lineRule="auto"/>
        <w:contextualSpacing/>
      </w:pPr>
      <w:r>
        <w:t>SPDR Dow Jones REIT:   Monthly: 0.625%    Yearly: 6.373%</w:t>
      </w:r>
    </w:p>
    <w:p w:rsidR="008A025E" w:rsidRDefault="008A025E" w:rsidP="007552A5">
      <w:pPr>
        <w:spacing w:line="240" w:lineRule="auto"/>
        <w:contextualSpacing/>
      </w:pPr>
      <w:r>
        <w:t>Vanguard REIT:                Monthly: 0.680%    Yearly: 7.019%</w:t>
      </w:r>
    </w:p>
    <w:p w:rsidR="008A025E" w:rsidRDefault="008A025E" w:rsidP="007552A5">
      <w:pPr>
        <w:spacing w:line="240" w:lineRule="auto"/>
        <w:contextualSpacing/>
      </w:pPr>
    </w:p>
    <w:p w:rsidR="000C60C7" w:rsidRDefault="000C60C7" w:rsidP="007552A5">
      <w:pPr>
        <w:spacing w:line="240" w:lineRule="auto"/>
        <w:contextualSpacing/>
      </w:pPr>
      <w:r>
        <w:t>b)</w:t>
      </w:r>
    </w:p>
    <w:p w:rsidR="008A025E" w:rsidRDefault="000C60C7" w:rsidP="007552A5">
      <w:pPr>
        <w:spacing w:line="240" w:lineRule="auto"/>
        <w:contextualSpacing/>
      </w:pPr>
      <w:r>
        <w:t>Betas:</w:t>
      </w:r>
    </w:p>
    <w:p w:rsidR="000C60C7" w:rsidRDefault="000C60C7" w:rsidP="000C60C7">
      <w:pPr>
        <w:spacing w:line="240" w:lineRule="auto"/>
        <w:contextualSpacing/>
      </w:pPr>
      <w:r>
        <w:t xml:space="preserve">iShares US Real Estate:    </w:t>
      </w:r>
      <w:r>
        <w:t>Beta: 0.478</w:t>
      </w:r>
    </w:p>
    <w:p w:rsidR="000C60C7" w:rsidRDefault="000C60C7" w:rsidP="000C60C7">
      <w:pPr>
        <w:spacing w:line="240" w:lineRule="auto"/>
        <w:contextualSpacing/>
      </w:pPr>
      <w:r>
        <w:t xml:space="preserve">iShares Cohen &amp; Steers:   </w:t>
      </w:r>
      <w:r>
        <w:t>Beta: 0.419</w:t>
      </w:r>
    </w:p>
    <w:p w:rsidR="000C60C7" w:rsidRDefault="000C60C7" w:rsidP="000C60C7">
      <w:pPr>
        <w:spacing w:line="240" w:lineRule="auto"/>
        <w:contextualSpacing/>
      </w:pPr>
      <w:r>
        <w:t xml:space="preserve">SPDR Dow Jones REIT:   </w:t>
      </w:r>
      <w:r>
        <w:t>Beta: 0.437</w:t>
      </w:r>
    </w:p>
    <w:p w:rsidR="000C60C7" w:rsidRDefault="000C60C7" w:rsidP="007552A5">
      <w:pPr>
        <w:spacing w:line="240" w:lineRule="auto"/>
        <w:contextualSpacing/>
      </w:pPr>
      <w:r>
        <w:t xml:space="preserve">Vanguard REIT:                </w:t>
      </w:r>
      <w:r>
        <w:t>Beta: 0.442</w:t>
      </w:r>
    </w:p>
    <w:p w:rsidR="000C60C7" w:rsidRDefault="000C60C7" w:rsidP="007552A5">
      <w:pPr>
        <w:spacing w:line="240" w:lineRule="auto"/>
        <w:contextualSpacing/>
      </w:pPr>
    </w:p>
    <w:p w:rsidR="000C60C7" w:rsidRDefault="000C60C7" w:rsidP="007552A5">
      <w:pPr>
        <w:spacing w:line="240" w:lineRule="auto"/>
        <w:contextualSpacing/>
      </w:pPr>
      <w:r>
        <w:t xml:space="preserve">c) </w:t>
      </w:r>
    </w:p>
    <w:p w:rsidR="000C60C7" w:rsidRPr="007552A5" w:rsidRDefault="000C60C7" w:rsidP="007552A5">
      <w:pPr>
        <w:spacing w:line="240" w:lineRule="auto"/>
        <w:contextualSpacing/>
      </w:pPr>
      <w:r>
        <w:t xml:space="preserve">Each of these ETF’s Betas is below 0.5, implying lower volatility. In addition, in their short lifespan thus far they have shown </w:t>
      </w:r>
      <w:r w:rsidR="00BF4124">
        <w:t xml:space="preserve">fairly </w:t>
      </w:r>
      <w:bookmarkStart w:id="0" w:name="_GoBack"/>
      <w:bookmarkEnd w:id="0"/>
      <w:r w:rsidR="00BF4124">
        <w:t>consistent</w:t>
      </w:r>
      <w:r>
        <w:t xml:space="preserve"> positive growth, even among a very negative market, with Vanguard REIT seeing the highest yearly returns of the bunch. I would feel confident investing in these, though perhaps time will tell; a decade is not the longest time in the world of finance.</w:t>
      </w:r>
    </w:p>
    <w:sectPr w:rsidR="000C60C7" w:rsidRPr="007552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3C32" w:rsidRDefault="00703C32" w:rsidP="007552A5">
      <w:pPr>
        <w:spacing w:after="0" w:line="240" w:lineRule="auto"/>
      </w:pPr>
      <w:r>
        <w:separator/>
      </w:r>
    </w:p>
  </w:endnote>
  <w:endnote w:type="continuationSeparator" w:id="0">
    <w:p w:rsidR="00703C32" w:rsidRDefault="00703C32" w:rsidP="00755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3C32" w:rsidRDefault="00703C32" w:rsidP="007552A5">
      <w:pPr>
        <w:spacing w:after="0" w:line="240" w:lineRule="auto"/>
      </w:pPr>
      <w:r>
        <w:separator/>
      </w:r>
    </w:p>
  </w:footnote>
  <w:footnote w:type="continuationSeparator" w:id="0">
    <w:p w:rsidR="00703C32" w:rsidRDefault="00703C32" w:rsidP="007552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D37"/>
    <w:rsid w:val="000C60C7"/>
    <w:rsid w:val="000F27AC"/>
    <w:rsid w:val="00186DBA"/>
    <w:rsid w:val="001D509E"/>
    <w:rsid w:val="00222239"/>
    <w:rsid w:val="00222379"/>
    <w:rsid w:val="00526FEE"/>
    <w:rsid w:val="00546D7E"/>
    <w:rsid w:val="00616833"/>
    <w:rsid w:val="00703C32"/>
    <w:rsid w:val="00707D37"/>
    <w:rsid w:val="007273F8"/>
    <w:rsid w:val="007552A5"/>
    <w:rsid w:val="007574BA"/>
    <w:rsid w:val="00772D13"/>
    <w:rsid w:val="008A025E"/>
    <w:rsid w:val="009B00F1"/>
    <w:rsid w:val="00AD0C03"/>
    <w:rsid w:val="00B521A4"/>
    <w:rsid w:val="00BC770B"/>
    <w:rsid w:val="00BF4124"/>
    <w:rsid w:val="00F37C0A"/>
    <w:rsid w:val="00F8289D"/>
    <w:rsid w:val="00F96C4E"/>
    <w:rsid w:val="00FD2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54402"/>
  <w15:chartTrackingRefBased/>
  <w15:docId w15:val="{5A659653-1E14-45B7-8DF2-A632B04A1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52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2A5"/>
  </w:style>
  <w:style w:type="paragraph" w:styleId="Footer">
    <w:name w:val="footer"/>
    <w:basedOn w:val="Normal"/>
    <w:link w:val="FooterChar"/>
    <w:uiPriority w:val="99"/>
    <w:unhideWhenUsed/>
    <w:rsid w:val="007552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2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611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2355</TotalTime>
  <Pages>6</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 Gincel</cp:lastModifiedBy>
  <cp:revision>12</cp:revision>
  <cp:lastPrinted>2017-10-31T06:08:00Z</cp:lastPrinted>
  <dcterms:created xsi:type="dcterms:W3CDTF">2017-10-29T09:10:00Z</dcterms:created>
  <dcterms:modified xsi:type="dcterms:W3CDTF">2017-10-31T06:09:00Z</dcterms:modified>
</cp:coreProperties>
</file>