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Metodología del Curso para el Uso de la Plataforma de Inteligencia Artificial</w:t>
      </w:r>
    </w:p>
    <w:p>
      <w:pPr>
        <w:pStyle w:val="Subtitle"/>
      </w:pPr>
      <w:r>
        <w:t xml:space="preserve">Instituto de Fomento Municipal (INFOM)</w:t>
      </w:r>
    </w:p>
    <w:p>
      <w:pPr>
        <w:pStyle w:val="Heading2"/>
        <w:spacing w:after="200" w:before="120"/>
      </w:pPr>
      <w:r>
        <w:t xml:space="preserve">Objetivo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Capacitar a los usuarios del Instituto de Fomento Municipal (INFOM) y de las municipalidades en el uso eficiente de la plataforma, proporcionando los conocimientos y habilidades necesarios para utilizar las herramientas de diagnóstico institucional, consulta del cuerpo legal, generación de documentos y asistencia mediante Inteligencia Artificial en apoyo a la elaboración de reglamentos de Alianzas Público-Privadas (APP).</w:t>
      </w:r>
    </w:p>
    <w:p>
      <w:pPr>
        <w:pBdr>
          <w:bottom w:val="single" w:color="C9CEDE" w:sz="6" w:space="1"/>
        </w:pBdr>
        <w:spacing w:after="300" w:before="200"/>
      </w:pPr>
    </w:p>
    <w:p>
      <w:pPr>
        <w:pStyle w:val="Heading2"/>
        <w:spacing w:after="200" w:before="120"/>
      </w:pPr>
      <w:r>
        <w:t xml:space="preserve">Enfoque metodológico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El proceso de capacitación se desarrollará bajo un enfoque </w:t>
      </w:r>
      <w:r>
        <w:rPr>
          <w:b/>
          <w:bCs/>
          <w:color w:val="262626"/>
          <w:sz w:val="22"/>
          <w:szCs w:val="22"/>
        </w:rPr>
        <w:t xml:space="preserve">teórico-práctico</w:t>
      </w:r>
      <w:r>
        <w:rPr>
          <w:color w:val="262626"/>
          <w:sz w:val="22"/>
          <w:szCs w:val="22"/>
        </w:rPr>
        <w:t xml:space="preserve">, priorizando el aprendizaje mediante la experiencia y la resolución de casos reales. Los participantes aprenderán utilizando directamente la plataforma, reproduciendo escenarios similares a los que enfrentarán durante su trabajo cotidiano.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La metodología combina contenidos conceptuales con actividades prácticas, permitiendo que cada participante aplique inmediatamente los conocimientos adquiridos.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Los contenidos estarán disponibles dentro del módulo educativo de la plataforma Moodle y podrán consultarse en cualquier momento, favoreciendo el aprendizaje autónomo y el refuerzo de conocimientos.</w:t>
      </w:r>
    </w:p>
    <w:p>
      <w:pPr>
        <w:pBdr>
          <w:bottom w:val="single" w:color="C9CEDE" w:sz="6" w:space="1"/>
        </w:pBdr>
        <w:spacing w:after="300" w:before="200"/>
      </w:pPr>
    </w:p>
    <w:p>
      <w:pPr>
        <w:pStyle w:val="Heading2"/>
        <w:spacing w:after="200" w:before="120"/>
      </w:pPr>
      <w:r>
        <w:t xml:space="preserve">Modalidad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La capacitación se impartirá bajo una modalidad </w:t>
      </w:r>
      <w:r>
        <w:rPr>
          <w:b/>
          <w:bCs/>
          <w:color w:val="262626"/>
          <w:sz w:val="22"/>
          <w:szCs w:val="22"/>
        </w:rPr>
        <w:t xml:space="preserve">semipresencial o virtual</w:t>
      </w:r>
      <w:r>
        <w:rPr>
          <w:color w:val="262626"/>
          <w:sz w:val="22"/>
          <w:szCs w:val="22"/>
        </w:rPr>
        <w:t xml:space="preserve">, utilizando la plataforma Moodle como entorno principal de aprendizaje y la herramienta desarrollada como laboratorio práctico.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Cada unidad combinará: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Material de estudio.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Recursos audiovisuales.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Ejercicios prácticos.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Actividades guiadas.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Evaluaciones.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Casos de aplicación.</w:t>
      </w:r>
    </w:p>
    <w:p>
      <w:pPr>
        <w:pBdr>
          <w:bottom w:val="single" w:color="C9CEDE" w:sz="6" w:space="1"/>
        </w:pBdr>
        <w:spacing w:after="300" w:before="200"/>
      </w:pPr>
    </w:p>
    <w:p>
      <w:pPr>
        <w:pStyle w:val="Heading2"/>
        <w:spacing w:after="200" w:before="120"/>
      </w:pPr>
      <w:r>
        <w:t xml:space="preserve">Estrategia de aprendizaje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La metodología se desarrollará mediante las siguientes etapas:</w:t>
      </w:r>
    </w:p>
    <w:p>
      <w:pPr>
        <w:pStyle w:val="Heading3"/>
        <w:spacing w:after="120" w:before="160"/>
      </w:pPr>
      <w:r>
        <w:t xml:space="preserve">1. Sensibilización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Presentación de los objetivos del proyecto, beneficios de la Inteligencia Artificial aplicada a la gestión municipal y alcance de la plataforma.</w:t>
      </w:r>
    </w:p>
    <w:p>
      <w:pPr>
        <w:pStyle w:val="Heading3"/>
        <w:spacing w:after="120" w:before="160"/>
      </w:pPr>
      <w:r>
        <w:t xml:space="preserve">2. Aprendizaje guiado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El instructor explicará cada módulo de la plataforma mediante demostraciones prácticas, mostrando el flujo de trabajo y las funcionalidades disponibles.</w:t>
      </w:r>
    </w:p>
    <w:p>
      <w:pPr>
        <w:pStyle w:val="Heading3"/>
        <w:spacing w:after="120" w:before="160"/>
      </w:pPr>
      <w:r>
        <w:t xml:space="preserve">3. Aprendizaje práctico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Los participantes desarrollarán ejercicios utilizando información simulada y posteriormente casos basados en situaciones reales de las municipalidades.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Las actividades comprenderán: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Registro de información institucional.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Realización del diagnóstico.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Interpretación de resultados.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Consulta del cuerpo legal mediante el agente inteligente.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Generación de reglamentos.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Exportación de documentos.</w:t>
      </w:r>
    </w:p>
    <w:p>
      <w:pPr>
        <w:pStyle w:val="Heading3"/>
        <w:spacing w:after="120" w:before="160"/>
      </w:pPr>
      <w:r>
        <w:t xml:space="preserve">4. Retroalimentación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Durante cada actividad se revisarán los resultados obtenidos, identificando oportunidades de mejora y resolviendo las dudas planteadas por los participantes.</w:t>
      </w:r>
    </w:p>
    <w:p>
      <w:pPr>
        <w:pStyle w:val="Heading3"/>
        <w:spacing w:after="120" w:before="160"/>
      </w:pPr>
      <w:r>
        <w:t xml:space="preserve">5. Evaluación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Al finalizar cada módulo se realizará una evaluación que permita verificar la comprensión de los contenidos y el adecuado uso de la plataforma.</w:t>
      </w:r>
    </w:p>
    <w:p>
      <w:pPr>
        <w:pBdr>
          <w:bottom w:val="single" w:color="C9CEDE" w:sz="6" w:space="1"/>
        </w:pBdr>
        <w:spacing w:after="300" w:before="200"/>
      </w:pPr>
    </w:p>
    <w:p>
      <w:pPr>
        <w:pStyle w:val="Heading2"/>
        <w:spacing w:after="200" w:before="120"/>
      </w:pPr>
      <w:r>
        <w:t xml:space="preserve">Recursos didácticos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Para facilitar el aprendizaje se pondrán a disposición los siguientes recursos: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Manual de usuario.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Videos demostrativos.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Presentaciones.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Guías paso a paso.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Casos prácticos.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Banco de preguntas frecuentes.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Material descargable.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Actividades de autoevaluación.</w:t>
      </w:r>
    </w:p>
    <w:p>
      <w:pPr>
        <w:pBdr>
          <w:bottom w:val="single" w:color="C9CEDE" w:sz="6" w:space="1"/>
        </w:pBdr>
        <w:spacing w:after="300" w:before="200"/>
      </w:pPr>
    </w:p>
    <w:p>
      <w:pPr>
        <w:pStyle w:val="Heading2"/>
        <w:spacing w:after="200" w:before="120"/>
      </w:pPr>
      <w:r>
        <w:t xml:space="preserve">Contenido del curso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El curso estará organizado en módulos temáticos: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8000"/>
      </w:tblGrid>
      <w:tr>
        <w:trPr>
          <w:tblHeader/>
        </w:trPr>
        <w:tc>
          <w:tcPr>
            <w:tcW w:type="dxa" w:w="1360"/>
            <w:shd w:fill="1E276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Módulo</w:t>
            </w:r>
          </w:p>
        </w:tc>
        <w:tc>
          <w:tcPr>
            <w:tcW w:type="dxa" w:w="8000"/>
            <w:shd w:fill="1E276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</w:tr>
      <w:tr>
        <w:tc>
          <w:tcPr>
            <w:tcW w:type="dxa" w:w="136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1</w:t>
            </w:r>
          </w:p>
        </w:tc>
        <w:tc>
          <w:tcPr>
            <w:tcW w:type="dxa" w:w="80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Introducción al proyecto y conceptos generales sobre APP e Inteligencia Artificial.</w:t>
            </w:r>
          </w:p>
        </w:tc>
      </w:tr>
      <w:tr>
        <w:tc>
          <w:tcPr>
            <w:tcW w:type="dxa" w:w="136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2</w:t>
            </w:r>
          </w:p>
        </w:tc>
        <w:tc>
          <w:tcPr>
            <w:tcW w:type="dxa" w:w="80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Navegación y uso general de la plataforma.</w:t>
            </w:r>
          </w:p>
        </w:tc>
      </w:tr>
      <w:tr>
        <w:tc>
          <w:tcPr>
            <w:tcW w:type="dxa" w:w="136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3</w:t>
            </w:r>
          </w:p>
        </w:tc>
        <w:tc>
          <w:tcPr>
            <w:tcW w:type="dxa" w:w="80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Registro de municipalidades y administración de usuarios.</w:t>
            </w:r>
          </w:p>
        </w:tc>
      </w:tr>
      <w:tr>
        <w:tc>
          <w:tcPr>
            <w:tcW w:type="dxa" w:w="136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4</w:t>
            </w:r>
          </w:p>
        </w:tc>
        <w:tc>
          <w:tcPr>
            <w:tcW w:type="dxa" w:w="80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Aplicación del diagnóstico institucional.</w:t>
            </w:r>
          </w:p>
        </w:tc>
      </w:tr>
      <w:tr>
        <w:tc>
          <w:tcPr>
            <w:tcW w:type="dxa" w:w="136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5</w:t>
            </w:r>
          </w:p>
        </w:tc>
        <w:tc>
          <w:tcPr>
            <w:tcW w:type="dxa" w:w="80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Interpretación de indicadores y clasificación municipal.</w:t>
            </w:r>
          </w:p>
        </w:tc>
      </w:tr>
      <w:tr>
        <w:tc>
          <w:tcPr>
            <w:tcW w:type="dxa" w:w="136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6</w:t>
            </w:r>
          </w:p>
        </w:tc>
        <w:tc>
          <w:tcPr>
            <w:tcW w:type="dxa" w:w="80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Consulta del cuerpo legal mediante el Agente Inteligente.</w:t>
            </w:r>
          </w:p>
        </w:tc>
      </w:tr>
      <w:tr>
        <w:tc>
          <w:tcPr>
            <w:tcW w:type="dxa" w:w="136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7</w:t>
            </w:r>
          </w:p>
        </w:tc>
        <w:tc>
          <w:tcPr>
            <w:tcW w:type="dxa" w:w="80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Generación de reglamentos y documentos utilizando Inteligencia Artificial.</w:t>
            </w:r>
          </w:p>
        </w:tc>
      </w:tr>
      <w:tr>
        <w:tc>
          <w:tcPr>
            <w:tcW w:type="dxa" w:w="136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8</w:t>
            </w:r>
          </w:p>
        </w:tc>
        <w:tc>
          <w:tcPr>
            <w:tcW w:type="dxa" w:w="80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Reportes, exportaciones y buenas prácticas en el uso de la plataforma.</w:t>
            </w:r>
          </w:p>
        </w:tc>
      </w:tr>
    </w:tbl>
    <w:p>
      <w:pPr>
        <w:spacing w:after="300"/>
      </w:pPr>
    </w:p>
    <w:p>
      <w:pPr>
        <w:pBdr>
          <w:bottom w:val="single" w:color="C9CEDE" w:sz="6" w:space="1"/>
        </w:pBdr>
        <w:spacing w:after="300" w:before="200"/>
      </w:pPr>
    </w:p>
    <w:p>
      <w:pPr>
        <w:pStyle w:val="Heading2"/>
        <w:spacing w:after="200" w:before="120"/>
      </w:pPr>
      <w:r>
        <w:t xml:space="preserve">Estrategia de evaluación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La evaluación del aprendizaje combinará actividades formativas y sumativas, considerando los siguientes elementos: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Participación en las actividades.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Desarrollo de ejercicios prácticos.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Evaluaciones en línea.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Resolución de casos.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Generación de un documento utilizando la plataforma.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Uso adecuado del agente inteligente.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La aprobación del curso requerirá el cumplimiento de los criterios establecidos por el INFOM para las actividades y evaluaciones definidas.</w:t>
      </w:r>
    </w:p>
    <w:p>
      <w:pPr>
        <w:pBdr>
          <w:bottom w:val="single" w:color="C9CEDE" w:sz="6" w:space="1"/>
        </w:pBdr>
        <w:spacing w:after="300" w:before="200"/>
      </w:pPr>
    </w:p>
    <w:p>
      <w:pPr>
        <w:pStyle w:val="Heading2"/>
        <w:spacing w:after="200" w:before="120"/>
      </w:pPr>
      <w:r>
        <w:t xml:space="preserve">Resultados esperados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Al finalizar la capacitación, los participantes serán capaces de: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Utilizar correctamente todas las funcionalidades de la plataforma.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Realizar diagnósticos institucionales.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Interpretar los resultados de la clasificación municipal.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Consultar información normativa mediante el Agente Inteligente.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Generar reglamentos y documentos con apoyo de Inteligencia Artificial.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62626"/>
          <w:sz w:val="22"/>
          <w:szCs w:val="22"/>
        </w:rPr>
        <w:t xml:space="preserve">Administrar la información de manera segura y conforme a los procedimientos establecidos.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Esta metodología busca asegurar una transferencia efectiva de conocimientos, promoviendo la apropiación tecnológica por parte del personal del INFOM y de las municipalidades, de manera que la plataforma pueda ser utilizada de forma autónoma, eficiente y sostenible.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left"/>
    </w:pPr>
    <w:rPr>
      <w:rFonts w:ascii="Cambria" w:cs="Cambria" w:eastAsia="Cambria" w:hAnsi="Cambria"/>
      <w:b/>
      <w:bCs/>
      <w:color w:val="1E2761"/>
      <w:sz w:val="44"/>
      <w:szCs w:val="44"/>
    </w:rPr>
  </w:style>
  <w:style w:type="paragraph" w:styleId="Subtitle">
    <w:name w:val="Subtitle"/>
    <w:basedOn w:val="Normal"/>
    <w:next w:val="Normal"/>
    <w:pPr>
      <w:spacing w:after="360"/>
    </w:pPr>
    <w:rPr>
      <w:rFonts w:ascii="Calibri" w:cs="Calibri" w:eastAsia="Calibri" w:hAnsi="Calibri"/>
      <w:i/>
      <w:iCs/>
      <w:color w:val="595959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mbria" w:cs="Cambria" w:eastAsia="Cambria" w:hAnsi="Cambr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Cambria" w:cs="Cambria" w:eastAsia="Cambria" w:hAnsi="Cambria"/>
      <w:b/>
      <w:bCs/>
      <w:color w:val="1E276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9C7A1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2026-07-28T02:36:52.752Z</dcterms:created>
  <dcterms:modified xsi:type="dcterms:W3CDTF">2026-07-28T02:36:52.753Z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