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Lease Renewal Heading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Plain run, </w:t>
      </w:r>
      <w:r>
        <w:rPr>
          <w:rFonts w:ascii="Times" w:hAnsi="Times" w:cs="Times"/>
          <w:sz w:val="24"/>
          <w:sz-cs w:val="24"/>
          <w:b/>
          <w:spacing w:val="0"/>
          <w:color w:val="B00004"/>
        </w:rPr>
        <w:t xml:space="preserve">bold red run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Times" w:hAnsi="Times" w:cs="Times"/>
          <w:sz w:val="24"/>
          <w:sz-cs w:val="24"/>
          <w:i/>
          <w:spacing w:val="0"/>
        </w:rPr>
        <w:t xml:space="preserve">italic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Bullet one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Bullet two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SAVEASPDF-WORD-MARKER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