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8F949" w14:textId="0B3AA3D6" w:rsidR="002B1278" w:rsidRPr="002B1278" w:rsidRDefault="002B1278" w:rsidP="002B1278">
      <w:pPr>
        <w:ind w:left="720" w:hanging="360"/>
        <w:jc w:val="center"/>
        <w:rPr>
          <w:b/>
          <w:bCs/>
        </w:rPr>
      </w:pPr>
      <w:proofErr w:type="spellStart"/>
      <w:r>
        <w:rPr>
          <w:b/>
          <w:bCs/>
        </w:rPr>
        <w:t>Частеречная</w:t>
      </w:r>
      <w:proofErr w:type="spellEnd"/>
      <w:r>
        <w:rPr>
          <w:b/>
          <w:bCs/>
        </w:rPr>
        <w:t xml:space="preserve"> разметка: спорные случаи</w:t>
      </w:r>
    </w:p>
    <w:p w14:paraId="240377B9" w14:textId="77777777" w:rsidR="002B1278" w:rsidRDefault="002B1278" w:rsidP="00D87BFB">
      <w:pPr>
        <w:ind w:left="720" w:hanging="360"/>
      </w:pPr>
    </w:p>
    <w:p w14:paraId="6FF0C805" w14:textId="7A249A00" w:rsidR="00763C0A" w:rsidRDefault="00D87BFB" w:rsidP="00D87BFB">
      <w:pPr>
        <w:pStyle w:val="a3"/>
        <w:numPr>
          <w:ilvl w:val="0"/>
          <w:numId w:val="1"/>
        </w:numPr>
        <w:rPr>
          <w:b/>
          <w:bCs/>
        </w:rPr>
      </w:pPr>
      <w:r w:rsidRPr="00BF6FBF">
        <w:rPr>
          <w:b/>
          <w:bCs/>
        </w:rPr>
        <w:t>«То есть»</w:t>
      </w:r>
      <w:r w:rsidR="002B1278">
        <w:rPr>
          <w:b/>
          <w:bCs/>
        </w:rPr>
        <w:t xml:space="preserve"> (0:10:29; 0:11:18)</w:t>
      </w:r>
    </w:p>
    <w:p w14:paraId="6546EAC2" w14:textId="2939FBA3" w:rsidR="00BF6FBF" w:rsidRPr="00BF6FBF" w:rsidRDefault="00BF6FBF" w:rsidP="00BF6FBF">
      <w:pPr>
        <w:ind w:left="360"/>
      </w:pPr>
      <w:r>
        <w:t>Ни в Грамматическом словаре Зализняка, ни в НКРЯ «</w:t>
      </w:r>
      <w:r w:rsidRPr="002B1278">
        <w:rPr>
          <w:i/>
          <w:iCs/>
        </w:rPr>
        <w:t>то есть</w:t>
      </w:r>
      <w:r>
        <w:t>» не рассматривается как неделимая единица, что обуславливает необходимость поделить данное сочетание на два токена. В НКРЯ для «</w:t>
      </w:r>
      <w:r w:rsidRPr="002B1278">
        <w:rPr>
          <w:i/>
          <w:iCs/>
        </w:rPr>
        <w:t>то</w:t>
      </w:r>
      <w:r>
        <w:t xml:space="preserve">» предлагаются варианты местоимение-существительное и союз. Вариант </w:t>
      </w:r>
      <w:r w:rsidR="002B1278">
        <w:rPr>
          <w:lang w:val="en-US"/>
        </w:rPr>
        <w:t>CONJ</w:t>
      </w:r>
      <w:r w:rsidR="002B1278" w:rsidRPr="002B1278">
        <w:t xml:space="preserve"> </w:t>
      </w:r>
      <w:r>
        <w:t xml:space="preserve">оказывается предпочтительнее, так как в данной конструкции первична именно союзная функция. </w:t>
      </w:r>
      <w:proofErr w:type="spellStart"/>
      <w:r>
        <w:t>Б</w:t>
      </w:r>
      <w:r w:rsidR="00083971">
        <w:rPr>
          <w:rFonts w:cstheme="minorHAnsi"/>
        </w:rPr>
        <w:t>ó</w:t>
      </w:r>
      <w:r>
        <w:t>льшие</w:t>
      </w:r>
      <w:proofErr w:type="spellEnd"/>
      <w:r>
        <w:t xml:space="preserve"> проблемы вызывает слово «</w:t>
      </w:r>
      <w:r w:rsidRPr="002B1278">
        <w:rPr>
          <w:i/>
          <w:iCs/>
        </w:rPr>
        <w:t>есть</w:t>
      </w:r>
      <w:r>
        <w:t xml:space="preserve">» - </w:t>
      </w:r>
      <w:r w:rsidR="00A701AB">
        <w:t>НКРЯ довольно закономерно предлагает вариант глагол, так как в примерах с составным союзом «</w:t>
      </w:r>
      <w:r w:rsidR="00A701AB" w:rsidRPr="002B1278">
        <w:rPr>
          <w:i/>
          <w:iCs/>
        </w:rPr>
        <w:t>то есть</w:t>
      </w:r>
      <w:r w:rsidR="00A701AB">
        <w:t>» авторы разметки учитывают историческое развитие данного сочетания (которое включало в себя глагол «</w:t>
      </w:r>
      <w:r w:rsidR="00A701AB" w:rsidRPr="002B1278">
        <w:rPr>
          <w:i/>
          <w:iCs/>
        </w:rPr>
        <w:t>быть</w:t>
      </w:r>
      <w:r w:rsidR="00A701AB">
        <w:t xml:space="preserve">», </w:t>
      </w:r>
      <w:r w:rsidR="00C2452A">
        <w:t xml:space="preserve">впоследствии </w:t>
      </w:r>
      <w:r w:rsidR="00A701AB">
        <w:t>застывший в</w:t>
      </w:r>
      <w:r w:rsidR="00C2452A">
        <w:t xml:space="preserve"> данном сочетании</w:t>
      </w:r>
      <w:r w:rsidR="00A701AB">
        <w:t xml:space="preserve"> </w:t>
      </w:r>
      <w:r w:rsidR="00C2452A">
        <w:t xml:space="preserve">в </w:t>
      </w:r>
      <w:r w:rsidR="00A701AB">
        <w:t>форме наст. времени). Грамматический словарь Зализняка предлагает помимо прочего вариант «междометие», однако</w:t>
      </w:r>
      <w:r w:rsidR="001429F4">
        <w:t xml:space="preserve"> такая трактовка в данном контексте недопустима. Кажется, что глагольная семантика </w:t>
      </w:r>
      <w:r w:rsidR="00B06A45">
        <w:t>в «</w:t>
      </w:r>
      <w:r w:rsidR="00B06A45" w:rsidRPr="002B1278">
        <w:rPr>
          <w:i/>
          <w:iCs/>
        </w:rPr>
        <w:t>то есть</w:t>
      </w:r>
      <w:r w:rsidR="00B06A45">
        <w:t xml:space="preserve">» </w:t>
      </w:r>
      <w:r w:rsidR="001429F4">
        <w:t xml:space="preserve">довольно сильно стёрта, поэтому </w:t>
      </w:r>
      <w:r w:rsidR="00FF4ED6">
        <w:t>можно было бы</w:t>
      </w:r>
      <w:r w:rsidR="001429F4">
        <w:t xml:space="preserve"> отнести </w:t>
      </w:r>
      <w:r w:rsidR="00AE20E0">
        <w:t>«есть» к разряду частиц</w:t>
      </w:r>
      <w:r w:rsidR="00FF4ED6">
        <w:t xml:space="preserve">, однако тогда не совсем </w:t>
      </w:r>
      <w:r w:rsidR="00B06A45">
        <w:t>ясна его функция</w:t>
      </w:r>
      <w:r w:rsidR="00FF4ED6">
        <w:t xml:space="preserve">. </w:t>
      </w:r>
      <w:r w:rsidR="00703514">
        <w:t xml:space="preserve">Можно было бы </w:t>
      </w:r>
      <w:r w:rsidR="00B06A45">
        <w:t xml:space="preserve">также </w:t>
      </w:r>
      <w:r w:rsidR="00703514">
        <w:t>отнести «</w:t>
      </w:r>
      <w:r w:rsidR="00703514" w:rsidRPr="002B1278">
        <w:rPr>
          <w:i/>
          <w:iCs/>
        </w:rPr>
        <w:t>есть</w:t>
      </w:r>
      <w:r w:rsidR="00703514">
        <w:t>» к союзам, что указало бы на совместное употребление «</w:t>
      </w:r>
      <w:r w:rsidR="00703514" w:rsidRPr="002B1278">
        <w:rPr>
          <w:i/>
          <w:iCs/>
        </w:rPr>
        <w:t>то</w:t>
      </w:r>
      <w:r w:rsidR="00703514">
        <w:t>» и «</w:t>
      </w:r>
      <w:r w:rsidR="00703514" w:rsidRPr="002B1278">
        <w:rPr>
          <w:i/>
          <w:iCs/>
        </w:rPr>
        <w:t>есть</w:t>
      </w:r>
      <w:r w:rsidR="00703514">
        <w:t xml:space="preserve">» в данном контексте, однако при отдельном поиске по корпусу такое решение выглядело бы странно. </w:t>
      </w:r>
      <w:r w:rsidR="00CB4E5A">
        <w:t xml:space="preserve">В итоге </w:t>
      </w:r>
      <w:r w:rsidR="00B06A45">
        <w:t>было решено</w:t>
      </w:r>
      <w:r w:rsidR="00CB4E5A">
        <w:t xml:space="preserve"> отнести «есть» к частицам со значением уточнения, так как мне кажется важным отделять нормальное употребление глагола «</w:t>
      </w:r>
      <w:r w:rsidR="00CB4E5A" w:rsidRPr="002B1278">
        <w:rPr>
          <w:i/>
          <w:iCs/>
        </w:rPr>
        <w:t>быть</w:t>
      </w:r>
      <w:r w:rsidR="00CB4E5A">
        <w:t>» в настоящем времени</w:t>
      </w:r>
      <w:r w:rsidR="00B06A45">
        <w:t xml:space="preserve"> (а он в данной форме почти не употребляется, и разметив сочетания так, мы бы повысили его показатели в нашем корпусе)</w:t>
      </w:r>
      <w:r w:rsidR="00CB4E5A">
        <w:t xml:space="preserve"> от «</w:t>
      </w:r>
      <w:r w:rsidR="00CB4E5A" w:rsidRPr="002B1278">
        <w:rPr>
          <w:i/>
          <w:iCs/>
        </w:rPr>
        <w:t>есть</w:t>
      </w:r>
      <w:r w:rsidR="00CB4E5A">
        <w:t>» в составе союза, а по семантике «</w:t>
      </w:r>
      <w:r w:rsidR="00CB4E5A" w:rsidRPr="002B1278">
        <w:rPr>
          <w:i/>
          <w:iCs/>
        </w:rPr>
        <w:t>есть</w:t>
      </w:r>
      <w:r w:rsidR="00CB4E5A">
        <w:t>»</w:t>
      </w:r>
      <w:r w:rsidR="00B06A45">
        <w:t xml:space="preserve"> здесь</w:t>
      </w:r>
      <w:r w:rsidR="00CB4E5A">
        <w:t xml:space="preserve"> похоже на уточняющие частицы типа «</w:t>
      </w:r>
      <w:r w:rsidR="00CB4E5A" w:rsidRPr="002B1278">
        <w:rPr>
          <w:i/>
          <w:iCs/>
        </w:rPr>
        <w:t>именно</w:t>
      </w:r>
      <w:r w:rsidR="00CB4E5A">
        <w:t>», «</w:t>
      </w:r>
      <w:r w:rsidR="00CB4E5A" w:rsidRPr="002B1278">
        <w:rPr>
          <w:i/>
          <w:iCs/>
        </w:rPr>
        <w:t>как раз</w:t>
      </w:r>
      <w:r w:rsidR="00CB4E5A">
        <w:t>» и т.д. Хотя отнесение его к глаголам</w:t>
      </w:r>
      <w:r w:rsidR="00B06A45">
        <w:t>, возможно, даже более</w:t>
      </w:r>
      <w:r w:rsidR="00CB4E5A">
        <w:t xml:space="preserve"> оправданно и вероятно. </w:t>
      </w:r>
    </w:p>
    <w:p w14:paraId="4BD9C190" w14:textId="77777777" w:rsidR="00D87BFB" w:rsidRDefault="00D87BFB" w:rsidP="00D87BFB">
      <w:pPr>
        <w:pStyle w:val="a3"/>
      </w:pPr>
    </w:p>
    <w:p w14:paraId="13E1B12E" w14:textId="657802DF" w:rsidR="00D87BFB" w:rsidRPr="00030392" w:rsidRDefault="00D87BFB" w:rsidP="00D87BFB">
      <w:pPr>
        <w:pStyle w:val="a3"/>
        <w:numPr>
          <w:ilvl w:val="0"/>
          <w:numId w:val="1"/>
        </w:numPr>
        <w:rPr>
          <w:b/>
          <w:bCs/>
        </w:rPr>
      </w:pPr>
      <w:r w:rsidRPr="00030392">
        <w:rPr>
          <w:b/>
          <w:bCs/>
        </w:rPr>
        <w:t>«В целом»</w:t>
      </w:r>
      <w:r w:rsidR="00137E20" w:rsidRPr="00030392">
        <w:rPr>
          <w:b/>
          <w:bCs/>
        </w:rPr>
        <w:t xml:space="preserve"> и «в общем»</w:t>
      </w:r>
      <w:r w:rsidR="002B1278">
        <w:rPr>
          <w:b/>
          <w:bCs/>
        </w:rPr>
        <w:t xml:space="preserve"> (0:10:29; 0:10:51)</w:t>
      </w:r>
    </w:p>
    <w:p w14:paraId="3C28F51B" w14:textId="33FBA0F5" w:rsidR="00CB4E5A" w:rsidRDefault="00CB4E5A" w:rsidP="00CB4E5A">
      <w:pPr>
        <w:ind w:left="360"/>
      </w:pPr>
      <w:r>
        <w:t>«</w:t>
      </w:r>
      <w:r w:rsidRPr="002B1278">
        <w:rPr>
          <w:i/>
          <w:iCs/>
        </w:rPr>
        <w:t>В целом</w:t>
      </w:r>
      <w:r>
        <w:t>» и «</w:t>
      </w:r>
      <w:r w:rsidRPr="002B1278">
        <w:rPr>
          <w:i/>
          <w:iCs/>
        </w:rPr>
        <w:t>в общем</w:t>
      </w:r>
      <w:r>
        <w:t>» также не распознаются</w:t>
      </w:r>
      <w:r w:rsidR="00A8748C">
        <w:t xml:space="preserve"> НКРЯ и Грамматическим словарём как вводные конструкции, что ставит перед разметчиками вопрос о том, к каким частям речи отнести токены «</w:t>
      </w:r>
      <w:r w:rsidR="00A8748C" w:rsidRPr="002B1278">
        <w:rPr>
          <w:i/>
          <w:iCs/>
        </w:rPr>
        <w:t>целом</w:t>
      </w:r>
      <w:r w:rsidR="00A8748C">
        <w:t>» и «</w:t>
      </w:r>
      <w:r w:rsidR="00A8748C" w:rsidRPr="002B1278">
        <w:rPr>
          <w:i/>
          <w:iCs/>
        </w:rPr>
        <w:t>общем</w:t>
      </w:r>
      <w:r w:rsidR="00A8748C">
        <w:t>».</w:t>
      </w:r>
      <w:r w:rsidR="006336B5">
        <w:t xml:space="preserve"> По своим изначальным морфологическим характеристикам они относятся к именам прилагательным, однако в данном случае существительное при них отсутствует, поэтому гораздо более оправдано описывать</w:t>
      </w:r>
      <w:r w:rsidR="00B06A45">
        <w:t xml:space="preserve"> их как субстантивы</w:t>
      </w:r>
      <w:r w:rsidR="006336B5">
        <w:t>. Поэтому в разметке «</w:t>
      </w:r>
      <w:r w:rsidR="006336B5" w:rsidRPr="002B1278">
        <w:rPr>
          <w:i/>
          <w:iCs/>
        </w:rPr>
        <w:t>целом</w:t>
      </w:r>
      <w:r w:rsidR="006336B5">
        <w:t>» и «</w:t>
      </w:r>
      <w:r w:rsidR="006336B5" w:rsidRPr="002B1278">
        <w:rPr>
          <w:i/>
          <w:iCs/>
        </w:rPr>
        <w:t>общем</w:t>
      </w:r>
      <w:r w:rsidR="006336B5">
        <w:t xml:space="preserve">» </w:t>
      </w:r>
      <w:r w:rsidR="00B06A45">
        <w:t>отнесены</w:t>
      </w:r>
      <w:r w:rsidR="006336B5">
        <w:t xml:space="preserve"> к существительны</w:t>
      </w:r>
      <w:r w:rsidR="00B06A45">
        <w:t>м</w:t>
      </w:r>
      <w:r w:rsidR="006336B5">
        <w:t xml:space="preserve">. </w:t>
      </w:r>
    </w:p>
    <w:p w14:paraId="716A29F4" w14:textId="77777777" w:rsidR="00D87BFB" w:rsidRDefault="00D87BFB" w:rsidP="00D87BFB">
      <w:pPr>
        <w:pStyle w:val="a3"/>
      </w:pPr>
    </w:p>
    <w:p w14:paraId="46A93807" w14:textId="7FE50682" w:rsidR="00953502" w:rsidRDefault="0023743E" w:rsidP="00953502">
      <w:pPr>
        <w:pStyle w:val="a3"/>
        <w:numPr>
          <w:ilvl w:val="0"/>
          <w:numId w:val="1"/>
        </w:numPr>
        <w:rPr>
          <w:b/>
          <w:bCs/>
        </w:rPr>
      </w:pPr>
      <w:r w:rsidRPr="005E76CE">
        <w:rPr>
          <w:b/>
          <w:bCs/>
        </w:rPr>
        <w:t xml:space="preserve">«Такое (происходит)» </w:t>
      </w:r>
      <w:r w:rsidR="002B1278">
        <w:rPr>
          <w:b/>
          <w:bCs/>
        </w:rPr>
        <w:t>(0:10:46)</w:t>
      </w:r>
    </w:p>
    <w:p w14:paraId="10D5DE26" w14:textId="27E8D734" w:rsidR="00693228" w:rsidRPr="00210D49" w:rsidRDefault="005E76CE" w:rsidP="00210D49">
      <w:pPr>
        <w:ind w:left="360"/>
      </w:pPr>
      <w:r>
        <w:t xml:space="preserve">В данном случае основным является конфликт между морфологическим и синтаксическим подходами к определению частей речи. </w:t>
      </w:r>
      <w:r w:rsidR="00780B2E">
        <w:t xml:space="preserve">С точки зрения классической морфологии «такое» является </w:t>
      </w:r>
      <w:r w:rsidR="00012FB3">
        <w:t>указательным</w:t>
      </w:r>
      <w:r w:rsidR="00780B2E">
        <w:t xml:space="preserve"> местоимением, однако в данном случае оно выступает в функции подлежащего, отчего оно сближается с субстантивами. </w:t>
      </w:r>
      <w:r w:rsidR="00F6145F">
        <w:t>Тем не менее, видимо, в качестве доминирующего подхода следует выбрать морфологический, так как при разметке слова «такое» как существительно</w:t>
      </w:r>
      <w:r w:rsidR="00A41D86">
        <w:t>го</w:t>
      </w:r>
      <w:r w:rsidR="00F6145F">
        <w:t xml:space="preserve"> возникнут проблемы с семантикой из-за </w:t>
      </w:r>
      <w:proofErr w:type="spellStart"/>
      <w:r w:rsidR="00F6145F">
        <w:t>неполнознаменательности</w:t>
      </w:r>
      <w:proofErr w:type="spellEnd"/>
      <w:r w:rsidR="00F6145F">
        <w:t xml:space="preserve"> слова.</w:t>
      </w:r>
      <w:r w:rsidR="00A41D86">
        <w:t xml:space="preserve"> Поэтому выбрана разметка в качестве местоимения-прилагательного. </w:t>
      </w:r>
    </w:p>
    <w:p w14:paraId="2D0CD2CD" w14:textId="77777777" w:rsidR="009B5DE3" w:rsidRDefault="009B5DE3" w:rsidP="009B5DE3">
      <w:pPr>
        <w:pStyle w:val="a3"/>
      </w:pPr>
    </w:p>
    <w:p w14:paraId="178D9153" w14:textId="1A1E8115" w:rsidR="009B5DE3" w:rsidRDefault="009B5DE3" w:rsidP="00D87BFB">
      <w:pPr>
        <w:pStyle w:val="a3"/>
        <w:numPr>
          <w:ilvl w:val="0"/>
          <w:numId w:val="1"/>
        </w:numPr>
        <w:rPr>
          <w:b/>
          <w:bCs/>
        </w:rPr>
      </w:pPr>
      <w:r w:rsidRPr="00210D49">
        <w:rPr>
          <w:b/>
          <w:bCs/>
        </w:rPr>
        <w:t>«Вообще» - вводное слово или наречие</w:t>
      </w:r>
      <w:r w:rsidR="0017720D">
        <w:rPr>
          <w:b/>
          <w:bCs/>
        </w:rPr>
        <w:t xml:space="preserve"> (0:10:53)</w:t>
      </w:r>
    </w:p>
    <w:p w14:paraId="12011AC2" w14:textId="4F2E90E2" w:rsidR="005F695D" w:rsidRPr="006F62C0" w:rsidRDefault="005F695D" w:rsidP="006F62C0">
      <w:pPr>
        <w:ind w:left="360"/>
      </w:pPr>
      <w:r>
        <w:t>Со словом «</w:t>
      </w:r>
      <w:r w:rsidRPr="00A92EC7">
        <w:rPr>
          <w:i/>
          <w:iCs/>
        </w:rPr>
        <w:t>вообще</w:t>
      </w:r>
      <w:r>
        <w:t xml:space="preserve">» возникает довольно большой вопрос. </w:t>
      </w:r>
      <w:r w:rsidR="00BC510B">
        <w:t>С одной стороны, в предложении «</w:t>
      </w:r>
      <w:r w:rsidR="00BC510B" w:rsidRPr="00A92EC7">
        <w:rPr>
          <w:i/>
          <w:iCs/>
        </w:rPr>
        <w:t>мы с семьёй вообще не очень часто путешествовали за</w:t>
      </w:r>
      <w:r w:rsidR="00A92EC7">
        <w:rPr>
          <w:i/>
          <w:iCs/>
        </w:rPr>
        <w:t xml:space="preserve"> </w:t>
      </w:r>
      <w:r w:rsidR="00BC510B" w:rsidRPr="00A92EC7">
        <w:rPr>
          <w:i/>
          <w:iCs/>
        </w:rPr>
        <w:t>границу</w:t>
      </w:r>
      <w:r w:rsidR="00BC510B">
        <w:t>» слово «</w:t>
      </w:r>
      <w:r w:rsidR="00BC510B" w:rsidRPr="00A92EC7">
        <w:rPr>
          <w:i/>
          <w:iCs/>
        </w:rPr>
        <w:t>вообще</w:t>
      </w:r>
      <w:r w:rsidR="00BC510B">
        <w:t xml:space="preserve">» не очень </w:t>
      </w:r>
      <w:r w:rsidR="00BC510B">
        <w:lastRenderedPageBreak/>
        <w:t xml:space="preserve">выпадает из синтаксической структуры и может рассматриваться как обстоятельство меры и степени. </w:t>
      </w:r>
      <w:r w:rsidR="00E22059">
        <w:t>С другой стороны</w:t>
      </w:r>
      <w:r w:rsidR="005F392D">
        <w:t>,</w:t>
      </w:r>
      <w:r w:rsidR="00E22059">
        <w:t xml:space="preserve"> вписывание его по семантике в данную группу обстоятельств кажется довольно натянутым</w:t>
      </w:r>
      <w:r w:rsidR="00A41D86">
        <w:t xml:space="preserve">: </w:t>
      </w:r>
      <w:r w:rsidR="00A41D86">
        <w:t>«вообще»</w:t>
      </w:r>
      <w:r w:rsidR="00E22059">
        <w:t xml:space="preserve"> гораздо ближе </w:t>
      </w:r>
      <w:r w:rsidR="0077127F">
        <w:t xml:space="preserve">к оценке меры, чем к описанию самой меры, что сближает </w:t>
      </w:r>
      <w:r w:rsidR="00A41D86">
        <w:t xml:space="preserve">его </w:t>
      </w:r>
      <w:r w:rsidR="0077127F">
        <w:t xml:space="preserve">с вводными словами. </w:t>
      </w:r>
      <w:r w:rsidR="005F392D">
        <w:t>Так как в НКРЯ, в отличие от, например, Грамматического словаря А. А. Зализняка</w:t>
      </w:r>
      <w:r w:rsidR="00FF0153">
        <w:t xml:space="preserve"> и от </w:t>
      </w:r>
      <w:r w:rsidR="00EB456D">
        <w:t>Нового частотного словаря русской лексики, «</w:t>
      </w:r>
      <w:r w:rsidR="00EB456D" w:rsidRPr="00A92EC7">
        <w:rPr>
          <w:i/>
          <w:iCs/>
        </w:rPr>
        <w:t>вообще</w:t>
      </w:r>
      <w:r w:rsidR="00EB456D">
        <w:t xml:space="preserve">» всё же классифицируется как вводное слово, мы поступим аналогичным образом разметим его </w:t>
      </w:r>
      <w:r w:rsidR="00A41D86">
        <w:t>так же</w:t>
      </w:r>
      <w:r w:rsidR="00EB456D">
        <w:t xml:space="preserve">. </w:t>
      </w:r>
    </w:p>
    <w:p w14:paraId="409C6DBA" w14:textId="77777777" w:rsidR="00534818" w:rsidRDefault="00534818" w:rsidP="00534818">
      <w:pPr>
        <w:pStyle w:val="a3"/>
      </w:pPr>
    </w:p>
    <w:p w14:paraId="25F76A0C" w14:textId="2ECDE420" w:rsidR="006F62C0" w:rsidRDefault="00534818" w:rsidP="006F62C0">
      <w:pPr>
        <w:pStyle w:val="a3"/>
        <w:numPr>
          <w:ilvl w:val="0"/>
          <w:numId w:val="1"/>
        </w:numPr>
        <w:rPr>
          <w:b/>
          <w:bCs/>
        </w:rPr>
      </w:pPr>
      <w:r w:rsidRPr="006F62C0">
        <w:rPr>
          <w:b/>
          <w:bCs/>
        </w:rPr>
        <w:t xml:space="preserve">«Заграницу» </w:t>
      </w:r>
      <w:r w:rsidR="002B1278">
        <w:rPr>
          <w:b/>
          <w:bCs/>
        </w:rPr>
        <w:t>(0:10:54)</w:t>
      </w:r>
    </w:p>
    <w:p w14:paraId="358F9B8A" w14:textId="570F77AC" w:rsidR="006F62C0" w:rsidRDefault="006F62C0" w:rsidP="006F62C0">
      <w:pPr>
        <w:ind w:left="360"/>
      </w:pPr>
      <w:r>
        <w:t xml:space="preserve">В данном случае вопрос касается не только непосредственно </w:t>
      </w:r>
      <w:proofErr w:type="spellStart"/>
      <w:r>
        <w:t>частеречной</w:t>
      </w:r>
      <w:proofErr w:type="spellEnd"/>
      <w:r>
        <w:t xml:space="preserve"> разметки, но и количества токенов. По данным </w:t>
      </w:r>
      <w:r>
        <w:rPr>
          <w:lang w:val="en-US"/>
        </w:rPr>
        <w:t>Google</w:t>
      </w:r>
      <w:r w:rsidRPr="006F62C0">
        <w:t xml:space="preserve"> </w:t>
      </w:r>
      <w:proofErr w:type="spellStart"/>
      <w:r>
        <w:rPr>
          <w:lang w:val="en-US"/>
        </w:rPr>
        <w:t>Ngram</w:t>
      </w:r>
      <w:proofErr w:type="spellEnd"/>
      <w:r w:rsidRPr="006F62C0">
        <w:t xml:space="preserve"> </w:t>
      </w:r>
      <w:r>
        <w:rPr>
          <w:lang w:val="en-US"/>
        </w:rPr>
        <w:t>Viewer</w:t>
      </w:r>
      <w:r w:rsidRPr="006F62C0">
        <w:t xml:space="preserve"> </w:t>
      </w:r>
      <w:r>
        <w:t>предложно-падежное сочетание «</w:t>
      </w:r>
      <w:r w:rsidRPr="00A92EC7">
        <w:rPr>
          <w:i/>
          <w:iCs/>
        </w:rPr>
        <w:t>за границу</w:t>
      </w:r>
      <w:r>
        <w:t xml:space="preserve">» встречается сильно чаще, чем </w:t>
      </w:r>
      <w:r w:rsidR="006F7B43">
        <w:t>наречие «заграницу»</w:t>
      </w:r>
      <w:r w:rsidR="00721F38">
        <w:t xml:space="preserve"> со слитным написанием.</w:t>
      </w:r>
    </w:p>
    <w:p w14:paraId="4A21CE99" w14:textId="61118E19" w:rsidR="00CD544F" w:rsidRDefault="00CD544F" w:rsidP="006F62C0">
      <w:pPr>
        <w:ind w:left="360"/>
      </w:pPr>
      <w:r w:rsidRPr="00CD544F">
        <w:rPr>
          <w:noProof/>
        </w:rPr>
        <w:drawing>
          <wp:inline distT="0" distB="0" distL="0" distR="0" wp14:anchorId="7985403A" wp14:editId="54334CD9">
            <wp:extent cx="5396001" cy="2230501"/>
            <wp:effectExtent l="0" t="0" r="0" b="0"/>
            <wp:docPr id="1656779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79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1315" cy="223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E16B" w14:textId="77777777" w:rsidR="00CD544F" w:rsidRDefault="00CD544F" w:rsidP="006F62C0">
      <w:pPr>
        <w:ind w:left="360"/>
      </w:pPr>
    </w:p>
    <w:p w14:paraId="26C5F68B" w14:textId="72437A56" w:rsidR="00B27956" w:rsidRDefault="00BA3B81" w:rsidP="00083971">
      <w:pPr>
        <w:ind w:left="360"/>
      </w:pPr>
      <w:r>
        <w:t xml:space="preserve">При этом </w:t>
      </w:r>
      <w:r w:rsidR="00A41D86">
        <w:t xml:space="preserve">вхождение </w:t>
      </w:r>
      <w:r>
        <w:t>«</w:t>
      </w:r>
      <w:r w:rsidRPr="00A92EC7">
        <w:rPr>
          <w:i/>
          <w:iCs/>
        </w:rPr>
        <w:t>заграниц</w:t>
      </w:r>
      <w:r w:rsidR="00A41D86" w:rsidRPr="00A92EC7">
        <w:rPr>
          <w:i/>
          <w:iCs/>
        </w:rPr>
        <w:t>у</w:t>
      </w:r>
      <w:r>
        <w:t xml:space="preserve">» </w:t>
      </w:r>
      <w:r w:rsidR="00A41D86">
        <w:t xml:space="preserve">в основном </w:t>
      </w:r>
      <w:proofErr w:type="spellStart"/>
      <w:r w:rsidR="00A41D86">
        <w:t>подкорпусе</w:t>
      </w:r>
      <w:proofErr w:type="spellEnd"/>
      <w:r w:rsidR="00A41D86">
        <w:t xml:space="preserve"> НКРЯ встречается 932 раза (</w:t>
      </w:r>
      <w:r w:rsidR="00563088">
        <w:t xml:space="preserve">правда </w:t>
      </w:r>
      <w:r w:rsidR="00A41D86">
        <w:t xml:space="preserve">против </w:t>
      </w:r>
      <w:r w:rsidR="00563088">
        <w:t>10 547 «</w:t>
      </w:r>
      <w:r w:rsidR="00563088" w:rsidRPr="00A92EC7">
        <w:rPr>
          <w:i/>
          <w:iCs/>
        </w:rPr>
        <w:t>за границу</w:t>
      </w:r>
      <w:r w:rsidR="00563088">
        <w:t>»),</w:t>
      </w:r>
      <w:r w:rsidR="001C113A">
        <w:t xml:space="preserve"> хотя </w:t>
      </w:r>
      <w:r w:rsidR="00FB4329">
        <w:t>по</w:t>
      </w:r>
      <w:r w:rsidR="001C113A">
        <w:t xml:space="preserve"> современны</w:t>
      </w:r>
      <w:r w:rsidR="00FB4329">
        <w:t>м</w:t>
      </w:r>
      <w:r w:rsidR="001C113A">
        <w:t xml:space="preserve"> норма</w:t>
      </w:r>
      <w:r w:rsidR="00FB4329">
        <w:t>м</w:t>
      </w:r>
      <w:r w:rsidR="001C113A">
        <w:t xml:space="preserve"> </w:t>
      </w:r>
      <w:r w:rsidR="00FB4329">
        <w:t>русского языка нормативно только сочетание «за границу», а написание «заграницу» является ошибочным с точки зрения нормы. Однако в узусе довольно очевидно, что такое сочетание тяготеет к устойчивому наречному употреблению (аналогично наречиям «</w:t>
      </w:r>
      <w:r w:rsidR="00FB4329" w:rsidRPr="00A92EC7">
        <w:rPr>
          <w:i/>
          <w:iCs/>
        </w:rPr>
        <w:t>домой</w:t>
      </w:r>
      <w:r w:rsidR="00FB4329">
        <w:t>», «</w:t>
      </w:r>
      <w:r w:rsidR="00FB4329" w:rsidRPr="00A92EC7">
        <w:rPr>
          <w:i/>
          <w:iCs/>
        </w:rPr>
        <w:t>навстречу</w:t>
      </w:r>
      <w:r w:rsidR="00FB4329">
        <w:t>», «</w:t>
      </w:r>
      <w:r w:rsidR="00FB4329" w:rsidRPr="00A92EC7">
        <w:rPr>
          <w:i/>
          <w:iCs/>
        </w:rPr>
        <w:t>наружу</w:t>
      </w:r>
      <w:r w:rsidR="00FB4329">
        <w:t>»)</w:t>
      </w:r>
      <w:r w:rsidR="003164B1">
        <w:t xml:space="preserve">: </w:t>
      </w:r>
      <w:r w:rsidR="00563088">
        <w:t xml:space="preserve">оно </w:t>
      </w:r>
      <w:r w:rsidR="003164B1">
        <w:t xml:space="preserve">в основном следует за глаголами движения, выполняя при них роль обстоятельства места. </w:t>
      </w:r>
      <w:r w:rsidR="0013033A">
        <w:t>Тем не менее в данном случае следует пойти на поводу у современной нормы</w:t>
      </w:r>
      <w:r w:rsidR="00190DC9">
        <w:t xml:space="preserve"> (и показателям частотности употребления на данный момент)</w:t>
      </w:r>
      <w:r w:rsidR="0013033A">
        <w:t xml:space="preserve">, и остановится на выделении предложно-падежного сочетания. </w:t>
      </w:r>
    </w:p>
    <w:p w14:paraId="764F1ACB" w14:textId="77777777" w:rsidR="00B27956" w:rsidRDefault="00B27956" w:rsidP="00B27956">
      <w:pPr>
        <w:pStyle w:val="a3"/>
      </w:pPr>
    </w:p>
    <w:p w14:paraId="6EA2CAE8" w14:textId="3B3CDECF" w:rsidR="00B27956" w:rsidRPr="00700AD9" w:rsidRDefault="00B27956" w:rsidP="00B27956">
      <w:pPr>
        <w:pStyle w:val="a3"/>
        <w:numPr>
          <w:ilvl w:val="0"/>
          <w:numId w:val="1"/>
        </w:numPr>
        <w:rPr>
          <w:b/>
          <w:bCs/>
        </w:rPr>
      </w:pPr>
      <w:r w:rsidRPr="00083971">
        <w:rPr>
          <w:b/>
          <w:bCs/>
        </w:rPr>
        <w:t>Союзные</w:t>
      </w:r>
      <w:r w:rsidR="00083971">
        <w:rPr>
          <w:b/>
          <w:bCs/>
        </w:rPr>
        <w:t xml:space="preserve"> слова на примере «</w:t>
      </w:r>
      <w:r w:rsidR="00083971" w:rsidRPr="00A92EC7">
        <w:rPr>
          <w:b/>
          <w:bCs/>
          <w:i/>
          <w:iCs/>
        </w:rPr>
        <w:t>что</w:t>
      </w:r>
      <w:r w:rsidR="00083971" w:rsidRPr="00700AD9">
        <w:rPr>
          <w:b/>
          <w:bCs/>
        </w:rPr>
        <w:t>»</w:t>
      </w:r>
      <w:r w:rsidRPr="00700AD9">
        <w:rPr>
          <w:b/>
          <w:bCs/>
        </w:rPr>
        <w:t xml:space="preserve"> </w:t>
      </w:r>
      <w:r w:rsidR="00700AD9" w:rsidRPr="00700AD9">
        <w:rPr>
          <w:b/>
          <w:bCs/>
        </w:rPr>
        <w:t>(0:11:33)</w:t>
      </w:r>
    </w:p>
    <w:p w14:paraId="07449A52" w14:textId="6D23DAEE" w:rsidR="00083971" w:rsidRPr="00083971" w:rsidRDefault="00083971" w:rsidP="00083971">
      <w:pPr>
        <w:ind w:left="360"/>
      </w:pPr>
      <w:r>
        <w:t xml:space="preserve">В данном случае мы вновь сталкиваемся с проблемой выбора того, что оказывается семантически и синтаксически важнее – союзная функция слова или его роль внутри клаузы. В нашей разметке такая проблема возникла в предложении </w:t>
      </w:r>
      <w:r w:rsidRPr="00A92EC7">
        <w:rPr>
          <w:i/>
          <w:iCs/>
        </w:rPr>
        <w:t xml:space="preserve">«… в трёх часах езды от Риги, </w:t>
      </w:r>
      <w:r w:rsidRPr="00A92EC7">
        <w:rPr>
          <w:b/>
          <w:bCs/>
          <w:i/>
          <w:iCs/>
        </w:rPr>
        <w:t xml:space="preserve">что </w:t>
      </w:r>
      <w:r w:rsidRPr="00A92EC7">
        <w:rPr>
          <w:i/>
          <w:iCs/>
        </w:rPr>
        <w:t>по меркам Латвии очень далеко</w:t>
      </w:r>
      <w:r>
        <w:t>». В данном случае «</w:t>
      </w:r>
      <w:r w:rsidRPr="00A92EC7">
        <w:rPr>
          <w:i/>
          <w:iCs/>
        </w:rPr>
        <w:t>что</w:t>
      </w:r>
      <w:r>
        <w:t xml:space="preserve">» служит для присоединения придаточного, однако внутри него выполняет роль подлежащего. Следовательно, при </w:t>
      </w:r>
      <w:proofErr w:type="spellStart"/>
      <w:r>
        <w:t>частеречной</w:t>
      </w:r>
      <w:proofErr w:type="spellEnd"/>
      <w:r>
        <w:t xml:space="preserve"> разметке приходится выбирать, какой грамматический тэг лучше присвоить в данном случае: тэг </w:t>
      </w:r>
      <w:r>
        <w:rPr>
          <w:lang w:val="en-US"/>
        </w:rPr>
        <w:t>CONJ</w:t>
      </w:r>
      <w:r w:rsidRPr="00083971">
        <w:t xml:space="preserve"> </w:t>
      </w:r>
      <w:r>
        <w:t xml:space="preserve">или </w:t>
      </w:r>
      <w:r>
        <w:rPr>
          <w:lang w:val="en-US"/>
        </w:rPr>
        <w:t>PRON</w:t>
      </w:r>
      <w:r>
        <w:t>. С одной стороны, союзная функция «</w:t>
      </w:r>
      <w:r w:rsidRPr="00A92EC7">
        <w:rPr>
          <w:i/>
          <w:iCs/>
        </w:rPr>
        <w:t>что</w:t>
      </w:r>
      <w:r>
        <w:t>» безусловно важна, но, с другой, в такой разметке не будут различаться «</w:t>
      </w:r>
      <w:r w:rsidRPr="00A92EC7">
        <w:rPr>
          <w:i/>
          <w:iCs/>
        </w:rPr>
        <w:t>что</w:t>
      </w:r>
      <w:r>
        <w:t xml:space="preserve">» в качестве полноценного союза и в качестве союзного слова. Для избежания синтаксической омонимии слова «что» в разметке было отнесено к местоимениям. </w:t>
      </w:r>
    </w:p>
    <w:sectPr w:rsidR="00083971" w:rsidRPr="00083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D4873"/>
    <w:multiLevelType w:val="hybridMultilevel"/>
    <w:tmpl w:val="470CE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444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BFB"/>
    <w:rsid w:val="00012FB3"/>
    <w:rsid w:val="00030392"/>
    <w:rsid w:val="00083971"/>
    <w:rsid w:val="000C3712"/>
    <w:rsid w:val="0013033A"/>
    <w:rsid w:val="00137E20"/>
    <w:rsid w:val="001429F4"/>
    <w:rsid w:val="0017720D"/>
    <w:rsid w:val="00190DC9"/>
    <w:rsid w:val="001C113A"/>
    <w:rsid w:val="00210D49"/>
    <w:rsid w:val="0023743E"/>
    <w:rsid w:val="002B1278"/>
    <w:rsid w:val="003164B1"/>
    <w:rsid w:val="00534818"/>
    <w:rsid w:val="0055351D"/>
    <w:rsid w:val="00563088"/>
    <w:rsid w:val="005E76CE"/>
    <w:rsid w:val="005F392D"/>
    <w:rsid w:val="005F695D"/>
    <w:rsid w:val="006336B5"/>
    <w:rsid w:val="006569C9"/>
    <w:rsid w:val="00693228"/>
    <w:rsid w:val="006D774E"/>
    <w:rsid w:val="006F62C0"/>
    <w:rsid w:val="006F7B43"/>
    <w:rsid w:val="00700AD9"/>
    <w:rsid w:val="00703514"/>
    <w:rsid w:val="00721F38"/>
    <w:rsid w:val="00763C0A"/>
    <w:rsid w:val="0077127F"/>
    <w:rsid w:val="00780B2E"/>
    <w:rsid w:val="00953502"/>
    <w:rsid w:val="009B5DE3"/>
    <w:rsid w:val="00A41D86"/>
    <w:rsid w:val="00A626FA"/>
    <w:rsid w:val="00A701AB"/>
    <w:rsid w:val="00A8748C"/>
    <w:rsid w:val="00A92EC7"/>
    <w:rsid w:val="00AE20E0"/>
    <w:rsid w:val="00B06A45"/>
    <w:rsid w:val="00B27956"/>
    <w:rsid w:val="00BA3B81"/>
    <w:rsid w:val="00BC510B"/>
    <w:rsid w:val="00BF6FBF"/>
    <w:rsid w:val="00C2452A"/>
    <w:rsid w:val="00CB4E5A"/>
    <w:rsid w:val="00CC2D83"/>
    <w:rsid w:val="00CD544F"/>
    <w:rsid w:val="00D87BFB"/>
    <w:rsid w:val="00E22059"/>
    <w:rsid w:val="00EB456D"/>
    <w:rsid w:val="00F6145F"/>
    <w:rsid w:val="00FB4329"/>
    <w:rsid w:val="00FF0153"/>
    <w:rsid w:val="00FF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B09A"/>
  <w15:chartTrackingRefBased/>
  <w15:docId w15:val="{C8FC68EA-EEEF-406E-9204-7A2DCE06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C68E166-9D80-41C3-B92B-34C83AB1A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Зубкова</dc:creator>
  <cp:keywords/>
  <dc:description/>
  <cp:lastModifiedBy>Юлия Зубкова</cp:lastModifiedBy>
  <cp:revision>44</cp:revision>
  <dcterms:created xsi:type="dcterms:W3CDTF">2023-09-30T10:37:00Z</dcterms:created>
  <dcterms:modified xsi:type="dcterms:W3CDTF">2023-10-03T08:41:00Z</dcterms:modified>
</cp:coreProperties>
</file>