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Интегральное перекрестное сравнение v8 — пояснительная записка</w:t>
      </w:r>
    </w:p>
    <w:p>
      <w:r>
        <w:t>Сгенерировано: 2026-05-09 03:56:20Z. Документ суммирует evidence-grade результат сравнительного анализа корпуса из 26 документов о миграционных режимах и связанных НПА (Россия, 2018–2026).</w:t>
      </w:r>
    </w:p>
    <w:p>
      <w:pPr>
        <w:pStyle w:val="Heading2"/>
      </w:pPr>
      <w:r>
        <w:t>1. Цель</w:t>
      </w:r>
    </w:p>
    <w:p>
      <w:r>
        <w:t>Собрать доказательную сравнительную матрицу по корпусу документов о миграционных режимах, инвестиционном ВНЖ, ruID/целевом въезде, изменениях 2024–2026 и связанным источникам. Документ не является юридическим заключением — это forensic-материал для последующей юридической валидации. Каждый существенный вывод привязан к источнику (ИД документа, статья/пункт, дата редакции) и к статусу уверенности.</w:t>
      </w:r>
    </w:p>
    <w:p>
      <w:pPr>
        <w:pStyle w:val="Heading2"/>
      </w:pPr>
      <w:r>
        <w:t>2. Методика</w:t>
      </w:r>
    </w:p>
    <w:p>
      <w:r>
        <w:t>Шкала статусов v8: match (совпадает), partial_overlap (частично совпадает), contradiction (противоречие), outdated (устарело после поправки), source_gap (тезис без первичного подтверждения в корпусе), manual_review (требует ручной проверки), not_comparable (содержательно несопоставимо).</w:t>
      </w:r>
    </w:p>
    <w:p>
      <w:r>
        <w:t>Перекрестные срезы: документ × документ (26×26), тема × документ (15 кластеров), тезис × НПА, secondary × NPA, старая редакция × новая редакция (граф поправок), правовой режим × правовой режим, provenance-риски.</w:t>
      </w:r>
    </w:p>
    <w:p>
      <w:r>
        <w:t>Иерархия источников: rank-1 — первичный НПА (114-ФЗ, 115-ФЗ, 109-ФЗ, 260-ФЗ, 270-ФЗ, 271-ФЗ, 281-ФЗ, 121-ФЗ, ПП №2573, ПП №1510, ПП №1562, ПП №468, Указ №467, Концепция 2026/2019, План 4171-р/30-р, Договор ЕАЭС, КоАП); rank-2 — ведомственные материалы Минэка; rank-3 — аналитика, вторичные обзоры (Клерк, ВЦИОМ, методика Нейрон). Rank-3 не может опровергать rank-1; пересечение rank-3 ↔ rank-1 автоматически получает manual_review.</w:t>
      </w:r>
    </w:p>
    <w:p>
      <w:pPr>
        <w:pStyle w:val="Heading2"/>
      </w:pPr>
      <w:r>
        <w:t>3. Контрольные числа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Ожидалось</w:t>
            </w:r>
          </w:p>
        </w:tc>
        <w:tc>
          <w:tcPr>
            <w:tcW w:type="dxa" w:w="2880"/>
          </w:tcPr>
          <w:p>
            <w:r>
              <w:t>Получено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pairs</w:t>
            </w:r>
          </w:p>
        </w:tc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325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281</w:t>
            </w:r>
          </w:p>
        </w:tc>
      </w:tr>
      <w:tr>
        <w:tc>
          <w:tcPr>
            <w:tcW w:type="dxa" w:w="2880"/>
          </w:tcPr>
          <w:p>
            <w:r>
              <w:t>manual_reviews</w:t>
            </w:r>
          </w:p>
        </w:tc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final_contradictions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uncovered_theses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defect_log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fallback_sources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 Распределение пар по статусам v8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Количество пар</w:t>
            </w:r>
          </w:p>
        </w:tc>
      </w:tr>
      <w:tr>
        <w:tc>
          <w:tcPr>
            <w:tcW w:type="dxa" w:w="4320"/>
          </w:tcPr>
          <w:p>
            <w:r>
              <w:t>not_comparable</w:t>
            </w:r>
          </w:p>
        </w:tc>
        <w:tc>
          <w:tcPr>
            <w:tcW w:type="dxa" w:w="4320"/>
          </w:tcPr>
          <w:p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partial_overlap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manual_review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match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contradiction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5. Перечень источников (26 документов)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ИД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Ранг</w:t>
            </w:r>
          </w:p>
        </w:tc>
      </w:tr>
      <w:tr>
        <w:tc>
          <w:tcPr>
            <w:tcW w:type="dxa" w:w="2160"/>
          </w:tcPr>
          <w:p>
            <w:r>
              <w:t>D01</w:t>
            </w:r>
          </w:p>
        </w:tc>
        <w:tc>
          <w:tcPr>
            <w:tcW w:type="dxa" w:w="2160"/>
          </w:tcPr>
          <w:p>
            <w:r>
              <w:t>NEURON_MEMO</w:t>
            </w:r>
          </w:p>
        </w:tc>
        <w:tc>
          <w:tcPr>
            <w:tcW w:type="dxa" w:w="2160"/>
          </w:tcPr>
          <w:p>
            <w:r>
              <w:t>методика/инструкция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D02</w:t>
            </w:r>
          </w:p>
        </w:tc>
        <w:tc>
          <w:tcPr>
            <w:tcW w:type="dxa" w:w="2160"/>
          </w:tcPr>
          <w:p>
            <w:r>
              <w:t>NEURON_XLSX</w:t>
            </w:r>
          </w:p>
        </w:tc>
        <w:tc>
          <w:tcPr>
            <w:tcW w:type="dxa" w:w="2160"/>
          </w:tcPr>
          <w:p>
            <w:r>
              <w:t>пример выгрузки/таблица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D03</w:t>
            </w:r>
          </w:p>
        </w:tc>
        <w:tc>
          <w:tcPr>
            <w:tcW w:type="dxa" w:w="2160"/>
          </w:tcPr>
          <w:p>
            <w:r>
              <w:t>WCIOM_2026</w:t>
            </w:r>
          </w:p>
        </w:tc>
        <w:tc>
          <w:tcPr>
            <w:tcW w:type="dxa" w:w="2160"/>
          </w:tcPr>
          <w:p>
            <w:r>
              <w:t>презентация/аналитика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D04</w:t>
            </w:r>
          </w:p>
        </w:tc>
        <w:tc>
          <w:tcPr>
            <w:tcW w:type="dxa" w:w="2160"/>
          </w:tcPr>
          <w:p>
            <w:r>
              <w:t>CONCEPT_2026_2030</w:t>
            </w:r>
          </w:p>
        </w:tc>
        <w:tc>
          <w:tcPr>
            <w:tcW w:type="dxa" w:w="2160"/>
          </w:tcPr>
          <w:p>
            <w:r>
              <w:t>стратегический НПА/Указ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D05</w:t>
            </w:r>
          </w:p>
        </w:tc>
        <w:tc>
          <w:tcPr>
            <w:tcW w:type="dxa" w:w="2160"/>
          </w:tcPr>
          <w:p>
            <w:r>
              <w:t>CONCEPT_2019_2025</w:t>
            </w:r>
          </w:p>
        </w:tc>
        <w:tc>
          <w:tcPr>
            <w:tcW w:type="dxa" w:w="2160"/>
          </w:tcPr>
          <w:p>
            <w:r>
              <w:t>стратегический НПА/Указ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D06</w:t>
            </w:r>
          </w:p>
        </w:tc>
        <w:tc>
          <w:tcPr>
            <w:tcW w:type="dxa" w:w="2160"/>
          </w:tcPr>
          <w:p>
            <w:r>
              <w:t>FZ_109</w:t>
            </w:r>
          </w:p>
        </w:tc>
        <w:tc>
          <w:tcPr>
            <w:tcW w:type="dxa" w:w="2160"/>
          </w:tcPr>
          <w:p>
            <w:r>
              <w:t>федеральный закон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D07</w:t>
            </w:r>
          </w:p>
        </w:tc>
        <w:tc>
          <w:tcPr>
            <w:tcW w:type="dxa" w:w="2160"/>
          </w:tcPr>
          <w:p>
            <w:r>
              <w:t>PLAN_30R</w:t>
            </w:r>
          </w:p>
        </w:tc>
        <w:tc>
          <w:tcPr>
            <w:tcW w:type="dxa" w:w="2160"/>
          </w:tcPr>
          <w:p>
            <w:r>
              <w:t>план мероприятий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D08</w:t>
            </w:r>
          </w:p>
        </w:tc>
        <w:tc>
          <w:tcPr>
            <w:tcW w:type="dxa" w:w="2160"/>
          </w:tcPr>
          <w:p>
            <w:r>
              <w:t>PLAN_4171R</w:t>
            </w:r>
          </w:p>
        </w:tc>
        <w:tc>
          <w:tcPr>
            <w:tcW w:type="dxa" w:w="2160"/>
          </w:tcPr>
          <w:p>
            <w:r>
              <w:t>план мероприятий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D09</w:t>
            </w:r>
          </w:p>
        </w:tc>
        <w:tc>
          <w:tcPr>
            <w:tcW w:type="dxa" w:w="2160"/>
          </w:tcPr>
          <w:p>
            <w:r>
              <w:t>KLERK_DIGEST</w:t>
            </w:r>
          </w:p>
        </w:tc>
        <w:tc>
          <w:tcPr>
            <w:tcW w:type="dxa" w:w="2160"/>
          </w:tcPr>
          <w:p>
            <w:r>
              <w:t>вторичный обзор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D10</w:t>
            </w:r>
          </w:p>
        </w:tc>
        <w:tc>
          <w:tcPr>
            <w:tcW w:type="dxa" w:w="2160"/>
          </w:tcPr>
          <w:p>
            <w:r>
              <w:t>MINEK_SCREENSHOTS</w:t>
            </w:r>
          </w:p>
        </w:tc>
        <w:tc>
          <w:tcPr>
            <w:tcW w:type="dxa" w:w="2160"/>
          </w:tcPr>
          <w:p>
            <w:r>
              <w:t>ведомственная информация/скриншоты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D11</w:t>
            </w:r>
          </w:p>
        </w:tc>
        <w:tc>
          <w:tcPr>
            <w:tcW w:type="dxa" w:w="2160"/>
          </w:tcPr>
          <w:p>
            <w:r>
              <w:t>FZ_115</w:t>
            </w:r>
          </w:p>
        </w:tc>
        <w:tc>
          <w:tcPr>
            <w:tcW w:type="dxa" w:w="2160"/>
          </w:tcPr>
          <w:p>
            <w:r>
              <w:t>федеральный закон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D12</w:t>
            </w:r>
          </w:p>
        </w:tc>
        <w:tc>
          <w:tcPr>
            <w:tcW w:type="dxa" w:w="2160"/>
          </w:tcPr>
          <w:p>
            <w:r>
              <w:t>NK_RF</w:t>
            </w:r>
          </w:p>
        </w:tc>
        <w:tc>
          <w:tcPr>
            <w:tcW w:type="dxa" w:w="2160"/>
          </w:tcPr>
          <w:p>
            <w:r>
              <w:t>кодекс/налоги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D13</w:t>
            </w:r>
          </w:p>
        </w:tc>
        <w:tc>
          <w:tcPr>
            <w:tcW w:type="dxa" w:w="2160"/>
          </w:tcPr>
          <w:p>
            <w:r>
              <w:t>KOAP_RF</w:t>
            </w:r>
          </w:p>
        </w:tc>
        <w:tc>
          <w:tcPr>
            <w:tcW w:type="dxa" w:w="2160"/>
          </w:tcPr>
          <w:p>
            <w:r>
              <w:t>кодекс/административная ответственность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D14</w:t>
            </w:r>
          </w:p>
        </w:tc>
        <w:tc>
          <w:tcPr>
            <w:tcW w:type="dxa" w:w="2160"/>
          </w:tcPr>
          <w:p>
            <w:r>
              <w:t>FZ_121</w:t>
            </w:r>
          </w:p>
        </w:tc>
        <w:tc>
          <w:tcPr>
            <w:tcW w:type="dxa" w:w="2160"/>
          </w:tcPr>
          <w:p>
            <w:r>
              <w:t>федеральный закон/эксперимент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D15</w:t>
            </w:r>
          </w:p>
        </w:tc>
        <w:tc>
          <w:tcPr>
            <w:tcW w:type="dxa" w:w="2160"/>
          </w:tcPr>
          <w:p>
            <w:r>
              <w:t>FZ_260</w:t>
            </w:r>
          </w:p>
        </w:tc>
        <w:tc>
          <w:tcPr>
            <w:tcW w:type="dxa" w:w="2160"/>
          </w:tcPr>
          <w:p>
            <w:r>
              <w:t>федеральный закон/контроль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D16</w:t>
            </w:r>
          </w:p>
        </w:tc>
        <w:tc>
          <w:tcPr>
            <w:tcW w:type="dxa" w:w="2160"/>
          </w:tcPr>
          <w:p>
            <w:r>
              <w:t>FZ_271</w:t>
            </w:r>
          </w:p>
        </w:tc>
        <w:tc>
          <w:tcPr>
            <w:tcW w:type="dxa" w:w="2160"/>
          </w:tcPr>
          <w:p>
            <w:r>
              <w:t>федеральный закон/налоги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D17</w:t>
            </w:r>
          </w:p>
        </w:tc>
        <w:tc>
          <w:tcPr>
            <w:tcW w:type="dxa" w:w="2160"/>
          </w:tcPr>
          <w:p>
            <w:r>
              <w:t>UKAZ_467</w:t>
            </w:r>
          </w:p>
        </w:tc>
        <w:tc>
          <w:tcPr>
            <w:tcW w:type="dxa" w:w="2160"/>
          </w:tcPr>
          <w:p>
            <w:r>
              <w:t>Указ Президента/цифровой профиль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D18</w:t>
            </w:r>
          </w:p>
        </w:tc>
        <w:tc>
          <w:tcPr>
            <w:tcW w:type="dxa" w:w="2160"/>
          </w:tcPr>
          <w:p>
            <w:r>
              <w:t>MINEK_INVESTOR_BROCHURE</w:t>
            </w:r>
          </w:p>
        </w:tc>
        <w:tc>
          <w:tcPr>
            <w:tcW w:type="dxa" w:w="2160"/>
          </w:tcPr>
          <w:p>
            <w:r>
              <w:t>ведомственная брошюра / информационный материал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D19</w:t>
            </w:r>
          </w:p>
        </w:tc>
        <w:tc>
          <w:tcPr>
            <w:tcW w:type="dxa" w:w="2160"/>
          </w:tcPr>
          <w:p>
            <w:r>
              <w:t>FZ_114</w:t>
            </w:r>
          </w:p>
        </w:tc>
        <w:tc>
          <w:tcPr>
            <w:tcW w:type="dxa" w:w="2160"/>
          </w:tcPr>
          <w:p>
            <w:r>
              <w:t>федеральный закон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D20</w:t>
            </w:r>
          </w:p>
        </w:tc>
        <w:tc>
          <w:tcPr>
            <w:tcW w:type="dxa" w:w="2160"/>
          </w:tcPr>
          <w:p>
            <w:r>
              <w:t>PP_2573</w:t>
            </w:r>
          </w:p>
        </w:tc>
        <w:tc>
          <w:tcPr>
            <w:tcW w:type="dxa" w:w="2160"/>
          </w:tcPr>
          <w:p>
            <w:r>
              <w:t>постановление Правительства / критерии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D21</w:t>
            </w:r>
          </w:p>
        </w:tc>
        <w:tc>
          <w:tcPr>
            <w:tcW w:type="dxa" w:w="2160"/>
          </w:tcPr>
          <w:p>
            <w:r>
              <w:t>PP_1510</w:t>
            </w:r>
          </w:p>
        </w:tc>
        <w:tc>
          <w:tcPr>
            <w:tcW w:type="dxa" w:w="2160"/>
          </w:tcPr>
          <w:p>
            <w:r>
              <w:t>постановление Правительства / эксперимент / ruID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D22</w:t>
            </w:r>
          </w:p>
        </w:tc>
        <w:tc>
          <w:tcPr>
            <w:tcW w:type="dxa" w:w="2160"/>
          </w:tcPr>
          <w:p>
            <w:r>
              <w:t>PP_1562</w:t>
            </w:r>
          </w:p>
        </w:tc>
        <w:tc>
          <w:tcPr>
            <w:tcW w:type="dxa" w:w="2160"/>
          </w:tcPr>
          <w:p>
            <w:r>
              <w:t>постановление Правительства / изменения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D23</w:t>
            </w:r>
          </w:p>
        </w:tc>
        <w:tc>
          <w:tcPr>
            <w:tcW w:type="dxa" w:w="2160"/>
          </w:tcPr>
          <w:p>
            <w:r>
              <w:t>PP_468</w:t>
            </w:r>
          </w:p>
        </w:tc>
        <w:tc>
          <w:tcPr>
            <w:tcW w:type="dxa" w:w="2160"/>
          </w:tcPr>
          <w:p>
            <w:r>
              <w:t>постановление Правительства / изменения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D24</w:t>
            </w:r>
          </w:p>
        </w:tc>
        <w:tc>
          <w:tcPr>
            <w:tcW w:type="dxa" w:w="2160"/>
          </w:tcPr>
          <w:p>
            <w:r>
              <w:t>FZ_270</w:t>
            </w:r>
          </w:p>
        </w:tc>
        <w:tc>
          <w:tcPr>
            <w:tcW w:type="dxa" w:w="2160"/>
          </w:tcPr>
          <w:p>
            <w:r>
              <w:t>федеральный закон / изменения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D25</w:t>
            </w:r>
          </w:p>
        </w:tc>
        <w:tc>
          <w:tcPr>
            <w:tcW w:type="dxa" w:w="2160"/>
          </w:tcPr>
          <w:p>
            <w:r>
              <w:t>FZ_281</w:t>
            </w:r>
          </w:p>
        </w:tc>
        <w:tc>
          <w:tcPr>
            <w:tcW w:type="dxa" w:w="2160"/>
          </w:tcPr>
          <w:p>
            <w:r>
              <w:t>федеральный закон / КоАП / ответственность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D26</w:t>
            </w:r>
          </w:p>
        </w:tc>
        <w:tc>
          <w:tcPr>
            <w:tcW w:type="dxa" w:w="2160"/>
          </w:tcPr>
          <w:p>
            <w:r>
              <w:t>EAEU_TREATY_XXVI</w:t>
            </w:r>
          </w:p>
        </w:tc>
        <w:tc>
          <w:tcPr>
            <w:tcW w:type="dxa" w:w="2160"/>
          </w:tcPr>
          <w:p>
            <w:r>
              <w:t>международный договор / ЕАЭС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2"/>
      </w:pPr>
      <w:r>
        <w:t>6. Финальные противоречия v7 (актуальны для v8)</w:t>
      </w:r>
    </w:p>
    <w:p>
      <w:r>
        <w:rPr>
          <w:b/>
        </w:rPr>
        <w:t xml:space="preserve">C-01 • ЕАЭС vs Узбекистан/Таджикистан — </w:t>
      </w:r>
      <w:r>
        <w:t>Узбекистан и Таджикистан не являются членами ЕАЭС; блок Минэка «Работа в ЕАЭС» должен быть разделен на проект и правовой режим ЕАЭС. (Что сделать: Исправить формулировки в интеграционном документе и парных отчетах.)</w:t>
      </w:r>
    </w:p>
    <w:p>
      <w:r>
        <w:rPr>
          <w:b/>
        </w:rPr>
        <w:t xml:space="preserve">C-02 • Клерк как источник истины — </w:t>
      </w:r>
      <w:r>
        <w:t>Клерк является secondary digest; его claims нельзя маркировать как юридически подтвержденные без первичных актов. (Что сделать: Оставить Клерк как карту claims, юридическое подтверждение давать только по НПА.)</w:t>
      </w:r>
    </w:p>
    <w:p>
      <w:r>
        <w:rPr>
          <w:b/>
        </w:rPr>
        <w:t xml:space="preserve">C-03 • Брошюра Минэка — </w:t>
      </w:r>
      <w:r>
        <w:t>Брошюра совпадает с ПП №2573 по ключевым порогам, но формулировка «более»/«не менее» требует ручной проверки. (Что сделать: Сверить точную редакцию ПП №2573 и при необходимости исправить формулировку в документе.)</w:t>
      </w:r>
    </w:p>
    <w:p>
      <w:pPr>
        <w:pStyle w:val="Heading2"/>
      </w:pPr>
      <w:r>
        <w:t>7. Source gaps (непокрытые тезисы)</w:t>
      </w:r>
    </w:p>
    <w:p>
      <w:r>
        <w:rPr>
          <w:b/>
        </w:rPr>
        <w:t xml:space="preserve">U-01 • Глобальные тренды ВЦИОМ по США/Европе/академической миграции — </w:t>
      </w:r>
      <w:r>
        <w:t>не покрыто: внешние зарубежные источники не входят в российский НПА-корпус; нужно добавить: источники по США/ЕС/UK/Австралии/Канаде</w:t>
      </w:r>
    </w:p>
    <w:p>
      <w:r>
        <w:rPr>
          <w:b/>
        </w:rPr>
        <w:t xml:space="preserve">U-02 • Тезисы по НДФЛ и патентам — </w:t>
      </w:r>
      <w:r>
        <w:t>не покрыто: нужна точная статья НК РФ и 115-ФЗ в актуальной редакции; нужно добавить: полные официальные тексты и статьи</w:t>
      </w:r>
    </w:p>
    <w:p>
      <w:r>
        <w:rPr>
          <w:b/>
        </w:rPr>
        <w:t xml:space="preserve">U-03 • Построчные планы 30-р/4171-р — </w:t>
      </w:r>
      <w:r>
        <w:t>не покрыто: требуется официальная построчная сверка исполнителей/сроков/результатов; нужно добавить: полный текст приложений, желательно в таблице</w:t>
      </w:r>
    </w:p>
    <w:p>
      <w:pPr>
        <w:pStyle w:val="Heading2"/>
      </w:pPr>
      <w:r>
        <w:t>8. Defect log v7</w:t>
      </w:r>
    </w:p>
    <w:p>
      <w:r>
        <w:rPr>
          <w:b/>
        </w:rPr>
        <w:t xml:space="preserve">D-001 • </w:t>
      </w:r>
      <w:r>
        <w:t>D18-D20 рассинхрон; статус: исправлено в v7; профилактика: фиксировать source_registry и не менять ID после генерации пары</w:t>
      </w:r>
    </w:p>
    <w:p>
      <w:r>
        <w:rPr>
          <w:b/>
        </w:rPr>
        <w:t xml:space="preserve">D-002 • </w:t>
      </w:r>
      <w:r>
        <w:t>ruID неполный без ПП1510/1562/468; статус: исправлено частично: акты добавлены, полная постатейная сверка в review; профилактика: добавить dependency graph изменяющих актов</w:t>
      </w:r>
    </w:p>
    <w:p>
      <w:r>
        <w:rPr>
          <w:b/>
        </w:rPr>
        <w:t xml:space="preserve">D-003 • </w:t>
      </w:r>
      <w:r>
        <w:t>арабская страница брошюры OCR битая; статус: вручную вынесено в языковую проверку; профилактика: не использовать OCR RTL без ручной QA</w:t>
      </w:r>
    </w:p>
    <w:p>
      <w:pPr>
        <w:pStyle w:val="Heading2"/>
      </w:pPr>
      <w:r>
        <w:t>9. Что вынести на ручную юридическую проверку</w:t>
      </w:r>
    </w:p>
    <w:p>
      <w:r>
        <w:t>Очередь ручной проверки: 183 элементов (см. лист «13 Manual review (183)» в Excel). Все элементы помечены как ожидающие проверки P1; владелец — юрист/эксперт миграционного права; критерий закрытия — указаны точная статья/пункт/редакция и решение ревьюера.</w:t>
      </w:r>
    </w:p>
    <w:p>
      <w:r>
        <w:t>Особое внимание: (а) C-01 — ЕАЭС vs Узбекистан/Таджикистан (Минэк-проект «Работа в ЕАЭС» шире правового режима ст.96–98 Договора ЕАЭС); (б) C-02 — Клерк-digest как rank-3, требует первичного подтверждения по 115-ФЗ/КоАП/НК; (в) C-03 — формулировки «более»/«не менее» в брошюре Минэка vs ПП №2573.</w:t>
      </w:r>
    </w:p>
    <w:p>
      <w:pPr>
        <w:pStyle w:val="Heading2"/>
      </w:pPr>
      <w:r>
        <w:t>10. Как читать Excel/PDF</w:t>
      </w:r>
    </w:p>
    <w:p>
      <w:r>
        <w:t>Excel: 00 Dashboard → 02 Документ × Документ (карта пар) → 03 Тема × Документ (где какой документ покрывает тему) → 05 Тезисы × НПА (claim validation) → 06 Изменения (outdated) → 07 Режимы → 08 Provenance &amp; risk → 13 Manual review.</w:t>
      </w:r>
    </w:p>
    <w:p>
      <w:r>
        <w:t>PDF Интегральное_перекрестное_сравнение.pdf — компактная сводка для распечатки. PDF Редакционный_diff — красно-зелёный editorial diff с основанием (документ + норма + источник + статус) для каждой строки.</w:t>
      </w:r>
    </w:p>
    <w:p>
      <w:pPr>
        <w:pStyle w:val="Heading2"/>
      </w:pPr>
      <w:r>
        <w:t>11. Запреты и ограничения</w:t>
      </w:r>
    </w:p>
    <w:p>
      <w:pPr>
        <w:pStyle w:val="ListBullet"/>
      </w:pPr>
      <w:r>
        <w:t>Не делать выводы без источника — каждый вывод имеет ИД события/документа.</w:t>
      </w:r>
    </w:p>
    <w:p>
      <w:pPr>
        <w:pStyle w:val="ListBullet"/>
      </w:pPr>
      <w:r>
        <w:t>Не считать брошюру или письмо выше НПА — rank-3/rank-2 не опровергают rank-1.</w:t>
      </w:r>
    </w:p>
    <w:p>
      <w:pPr>
        <w:pStyle w:val="ListBullet"/>
      </w:pPr>
      <w:r>
        <w:t>Не скрывать недоступность official URL — provenance-статус явно зафиксирован.</w:t>
      </w:r>
    </w:p>
    <w:p>
      <w:pPr>
        <w:pStyle w:val="ListBullet"/>
      </w:pPr>
      <w:r>
        <w:t>Не смешивать «нет противоречия» и «не проверено» — это разные ячейки матрицы.</w:t>
      </w:r>
    </w:p>
    <w:p>
      <w:pPr>
        <w:pStyle w:val="ListBullet"/>
      </w:pPr>
      <w:r>
        <w:t>Не считать v8 юридическим заключением — это forensic-материал для юриста.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