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Что делать — конкретный план действий по корпусу v8</w:t>
      </w:r>
    </w:p>
    <w:p>
      <w:r>
        <w:t>Сгенерировано: 2026-05-09 04:18:05Z. Документ показывает: что не соответствует чему, где это в исходных материалах, и что конкретно нужно сделать. Каждое действие имеет ID (FA-XX / BR-XX / KL-XX / EA-XX / AC-XX / PV-XX), координаты в исходнике, основание (НПА), и владельца.</w:t>
      </w:r>
    </w:p>
    <w:p>
      <w:pPr>
        <w:pStyle w:val="Heading2"/>
      </w:pPr>
      <w:r>
        <w:t>1. Сводка приоритетов (Top-20)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Пара</w:t>
            </w:r>
          </w:p>
        </w:tc>
        <w:tc>
          <w:tcPr>
            <w:tcW w:type="dxa" w:w="1728"/>
          </w:tcPr>
          <w:p>
            <w:r>
              <w:t>Тема</w:t>
            </w:r>
          </w:p>
        </w:tc>
        <w:tc>
          <w:tcPr>
            <w:tcW w:type="dxa" w:w="1728"/>
          </w:tcPr>
          <w:p>
            <w:r>
              <w:t>Действие</w:t>
            </w:r>
          </w:p>
        </w:tc>
        <w:tc>
          <w:tcPr>
            <w:tcW w:type="dxa" w:w="1728"/>
          </w:tcPr>
          <w:p>
            <w:r>
              <w:t>Срок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D18↔D20</w:t>
            </w:r>
          </w:p>
        </w:tc>
        <w:tc>
          <w:tcPr>
            <w:tcW w:type="dxa" w:w="1728"/>
          </w:tcPr>
          <w:p>
            <w:r>
              <w:t>ВНЖ инвестора: пороги и формулировки</w:t>
            </w:r>
          </w:p>
        </w:tc>
        <w:tc>
          <w:tcPr>
            <w:tcW w:type="dxa" w:w="1728"/>
          </w:tcPr>
          <w:p>
            <w:r>
              <w:t>Применить FA-01 + BR-01..BR-06 (брошюра)</w:t>
            </w:r>
          </w:p>
        </w:tc>
        <w:tc>
          <w:tcPr>
            <w:tcW w:type="dxa" w:w="1728"/>
          </w:tcPr>
          <w:p>
            <w:r>
              <w:t>T+5 дней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D10↔D26</w:t>
            </w:r>
          </w:p>
        </w:tc>
        <w:tc>
          <w:tcPr>
            <w:tcW w:type="dxa" w:w="1728"/>
          </w:tcPr>
          <w:p>
            <w:r>
              <w:t>Минэк «Работа в ЕАЭС» vs Договор ЕАЭС</w:t>
            </w:r>
          </w:p>
        </w:tc>
        <w:tc>
          <w:tcPr>
            <w:tcW w:type="dxa" w:w="1728"/>
          </w:tcPr>
          <w:p>
            <w:r>
              <w:t>Применить FA-02 + EA-01/EA-02/EA-03 (split)</w:t>
            </w:r>
          </w:p>
        </w:tc>
        <w:tc>
          <w:tcPr>
            <w:tcW w:type="dxa" w:w="1728"/>
          </w:tcPr>
          <w:p>
            <w:r>
              <w:t>T+7 дней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D09↔D11</w:t>
            </w:r>
          </w:p>
        </w:tc>
        <w:tc>
          <w:tcPr>
            <w:tcW w:type="dxa" w:w="1728"/>
          </w:tcPr>
          <w:p>
            <w:r>
              <w:t>Клерк ↔ 115-ФЗ (ответственность)</w:t>
            </w:r>
          </w:p>
        </w:tc>
        <w:tc>
          <w:tcPr>
            <w:tcW w:type="dxa" w:w="1728"/>
          </w:tcPr>
          <w:p>
            <w:r>
              <w:t>Применить FA-03 + KL-06</w:t>
            </w:r>
          </w:p>
        </w:tc>
        <w:tc>
          <w:tcPr>
            <w:tcW w:type="dxa" w:w="1728"/>
          </w:tcPr>
          <w:p>
            <w:r>
              <w:t>T+10 дней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D09↔D15</w:t>
            </w:r>
          </w:p>
        </w:tc>
        <w:tc>
          <w:tcPr>
            <w:tcW w:type="dxa" w:w="1728"/>
          </w:tcPr>
          <w:p>
            <w:r>
              <w:t>Клерк ↔ 260-ФЗ (90 дней, реестр)</w:t>
            </w:r>
          </w:p>
        </w:tc>
        <w:tc>
          <w:tcPr>
            <w:tcW w:type="dxa" w:w="1728"/>
          </w:tcPr>
          <w:p>
            <w:r>
              <w:t>Применить FA-03 + KL-01/KL-02</w:t>
            </w:r>
          </w:p>
        </w:tc>
        <w:tc>
          <w:tcPr>
            <w:tcW w:type="dxa" w:w="1728"/>
          </w:tcPr>
          <w:p>
            <w:r>
              <w:t>T+10 дней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D09↔D17</w:t>
            </w:r>
          </w:p>
        </w:tc>
        <w:tc>
          <w:tcPr>
            <w:tcW w:type="dxa" w:w="1728"/>
          </w:tcPr>
          <w:p>
            <w:r>
              <w:t>Клерк ↔ Указ 467 (цифровой профиль)</w:t>
            </w:r>
          </w:p>
        </w:tc>
        <w:tc>
          <w:tcPr>
            <w:tcW w:type="dxa" w:w="1728"/>
          </w:tcPr>
          <w:p>
            <w:r>
              <w:t>Применить KL-03</w:t>
            </w:r>
          </w:p>
        </w:tc>
        <w:tc>
          <w:tcPr>
            <w:tcW w:type="dxa" w:w="1728"/>
          </w:tcPr>
          <w:p>
            <w:r>
              <w:t>T+10 дней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D09↔D12</w:t>
            </w:r>
          </w:p>
        </w:tc>
        <w:tc>
          <w:tcPr>
            <w:tcW w:type="dxa" w:w="1728"/>
          </w:tcPr>
          <w:p>
            <w:r>
              <w:t>Клерк ↔ НК (НДФЛ, госпошлины)</w:t>
            </w:r>
          </w:p>
        </w:tc>
        <w:tc>
          <w:tcPr>
            <w:tcW w:type="dxa" w:w="1728"/>
          </w:tcPr>
          <w:p>
            <w:r>
              <w:t>Применить KL-04 + KL-05</w:t>
            </w:r>
          </w:p>
        </w:tc>
        <w:tc>
          <w:tcPr>
            <w:tcW w:type="dxa" w:w="1728"/>
          </w:tcPr>
          <w:p>
            <w:r>
              <w:t>T+10 дней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D03↔D04</w:t>
            </w:r>
          </w:p>
        </w:tc>
        <w:tc>
          <w:tcPr>
            <w:tcW w:type="dxa" w:w="1728"/>
          </w:tcPr>
          <w:p>
            <w:r>
              <w:t>ВЦИОМ-claims vs Концепция 2026</w:t>
            </w:r>
          </w:p>
        </w:tc>
        <w:tc>
          <w:tcPr>
            <w:tcW w:type="dxa" w:w="1728"/>
          </w:tcPr>
          <w:p>
            <w:r>
              <w:t>Применить FA-08 (отделить аналитику от НПА)</w:t>
            </w:r>
          </w:p>
        </w:tc>
        <w:tc>
          <w:tcPr>
            <w:tcW w:type="dxa" w:w="1728"/>
          </w:tcPr>
          <w:p>
            <w:r>
              <w:t>T+14 дней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D04↔D05</w:t>
            </w:r>
          </w:p>
        </w:tc>
        <w:tc>
          <w:tcPr>
            <w:tcW w:type="dxa" w:w="1728"/>
          </w:tcPr>
          <w:p>
            <w:r>
              <w:t>Концепция 2026 vs Концепция 2019</w:t>
            </w:r>
          </w:p>
        </w:tc>
        <w:tc>
          <w:tcPr>
            <w:tcW w:type="dxa" w:w="1728"/>
          </w:tcPr>
          <w:p>
            <w:r>
              <w:t>Применить FA-04 (пометка «утратила силу»)</w:t>
            </w:r>
          </w:p>
        </w:tc>
        <w:tc>
          <w:tcPr>
            <w:tcW w:type="dxa" w:w="1728"/>
          </w:tcPr>
          <w:p>
            <w:r>
              <w:t>T+14 дней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D08↔D07</w:t>
            </w:r>
          </w:p>
        </w:tc>
        <w:tc>
          <w:tcPr>
            <w:tcW w:type="dxa" w:w="1728"/>
          </w:tcPr>
          <w:p>
            <w:r>
              <w:t>План 4171-р vs План 30-р</w:t>
            </w:r>
          </w:p>
        </w:tc>
        <w:tc>
          <w:tcPr>
            <w:tcW w:type="dxa" w:w="1728"/>
          </w:tcPr>
          <w:p>
            <w:r>
              <w:t>Применить FA-04 + получить полные приложения (U-03)</w:t>
            </w:r>
          </w:p>
        </w:tc>
        <w:tc>
          <w:tcPr>
            <w:tcW w:type="dxa" w:w="1728"/>
          </w:tcPr>
          <w:p>
            <w:r>
              <w:t>T+21 день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D21↔D22↔D23</w:t>
            </w:r>
          </w:p>
        </w:tc>
        <w:tc>
          <w:tcPr>
            <w:tcW w:type="dxa" w:w="1728"/>
          </w:tcPr>
          <w:p>
            <w:r>
              <w:t>ruID цепочка ПП 1510</w:t>
            </w:r>
          </w:p>
        </w:tc>
        <w:tc>
          <w:tcPr>
            <w:tcW w:type="dxa" w:w="1728"/>
          </w:tcPr>
          <w:p>
            <w:r>
              <w:t>Применить FA-05 + AC-01</w:t>
            </w:r>
          </w:p>
        </w:tc>
        <w:tc>
          <w:tcPr>
            <w:tcW w:type="dxa" w:w="1728"/>
          </w:tcPr>
          <w:p>
            <w:r>
              <w:t>T+7 дней</w:t>
            </w:r>
          </w:p>
        </w:tc>
      </w:tr>
    </w:tbl>
    <w:p>
      <w:pPr>
        <w:pStyle w:val="Heading2"/>
      </w:pPr>
      <w:r>
        <w:t>2. FA-01..FA-10 — каталог действий</w:t>
      </w:r>
    </w:p>
    <w:p>
      <w:r>
        <w:rPr>
          <w:b/>
        </w:rPr>
        <w:t xml:space="preserve">FA-01 • Брошюра Минэка vs ПП №2573 • </w:t>
      </w:r>
      <w:r>
        <w:rPr>
          <w:color w:val="B91C1C"/>
        </w:rPr>
        <w:t>Высокая (юридический риск отказа инвестору)</w:t>
      </w:r>
    </w:p>
    <w:p>
      <w:r>
        <w:t xml:space="preserve">   ↳ Где: D18 Брошюра «Упрощённое получение ВНЖ инвестору», стр. 1, бокс «Условия»</w:t>
      </w:r>
    </w:p>
    <w:p>
      <w:r>
        <w:t xml:space="preserve">   ↳ Что не так: Брошюра использует «более 15 млн / более 30 млн / более 6 млн / более 50 / 20 / 25 млн». ПП №2573 — «не менее».</w:t>
      </w:r>
    </w:p>
    <w:p>
      <w:r>
        <w:t xml:space="preserve">   ↳ Почему важно: «более» = строгое неравенство (X &gt; 15 млн). «не менее» = нестрогое (X ≥ 15 млн). Инвестор с ровно 15 млн пройдёт по ПП №2573, но НЕ пройдёт по тексту брошюры.</w:t>
      </w:r>
    </w:p>
    <w:p>
      <w:r>
        <w:t xml:space="preserve">   ↳ Что сделать: Заменить «более» на «не менее» в 6 ячейках брошюры (4 критерия × все языки). Утвердить итоговую редакцию с юристом Минэка.</w:t>
      </w:r>
    </w:p>
    <w:p>
      <w:r>
        <w:t xml:space="preserve">   ↳ Кто проверяет: Юрист миграционного права + контент-менеджер Минэка</w:t>
      </w:r>
    </w:p>
    <w:p/>
    <w:p>
      <w:r>
        <w:rPr>
          <w:b/>
        </w:rPr>
        <w:t xml:space="preserve">FA-02 • Минэк-страница «Работа в ЕАЭС» • </w:t>
      </w:r>
      <w:r>
        <w:rPr>
          <w:color w:val="B91C1C"/>
        </w:rPr>
        <w:t>Высокая (вводит в заблуждение работодателей и иностранных граждан)</w:t>
      </w:r>
    </w:p>
    <w:p>
      <w:r>
        <w:t xml:space="preserve">   ↳ Где: D10 Минэк-страница «миграционная политика», блок «Работа в ЕАЭС»</w:t>
      </w:r>
    </w:p>
    <w:p>
      <w:r>
        <w:t xml:space="preserve">   ↳ Что не так: Блок упоминает Узбекистан и Таджикистан вместе с гражданами государств-членов ЕАЭС. По ст.97 Договора ЕАЭС только граждане государств-членов (Армения, Беларусь, Казахстан, Киргизия) освобождены от разрешения на труд.</w:t>
      </w:r>
    </w:p>
    <w:p>
      <w:r>
        <w:t xml:space="preserve">   ↳ Почему важно: Узбекистан и Таджикистан — НЕ члены ЕАЭС. Их граждане работают на общих основаниях по 115-ФЗ (патент), что сильно отличается по процедуре, налогам и срокам.</w:t>
      </w:r>
    </w:p>
    <w:p>
      <w:r>
        <w:t xml:space="preserve">   ↳ Что сделать: Разделить блок на две группы: (а) «Государства-члены ЕАЭС: Армения, Беларусь, Казахстан, Киргизия — без разрешения на работу (ст.97 Договора ЕАЭС)»; (б) «Прочие государства (включая Узбекистан и Таджикистан) — общий порядок: патент по 115-ФЗ».</w:t>
      </w:r>
    </w:p>
    <w:p>
      <w:r>
        <w:t xml:space="preserve">   ↳ Кто проверяет: Юрист миграционного права + ответственный за страницу Минэка</w:t>
      </w:r>
    </w:p>
    <w:p/>
    <w:p>
      <w:r>
        <w:rPr>
          <w:b/>
        </w:rPr>
        <w:t xml:space="preserve">FA-03 • Клерк D09 — secondary digest без ссылок на НПА • </w:t>
      </w:r>
      <w:r>
        <w:rPr>
          <w:color w:val="4B5563"/>
        </w:rPr>
        <w:t>Средняя (методологический риск)</w:t>
      </w:r>
    </w:p>
    <w:p>
      <w:r>
        <w:t xml:space="preserve">   ↳ Где: D09 «Иностранные работники и изменения 2025 года», 6 тематических тезисов</w:t>
      </w:r>
    </w:p>
    <w:p>
      <w:r>
        <w:t xml:space="preserve">   ↳ Что не так: Каждый тезис подаётся как факт, без footnote-ссылки на конкретную статью первичного НПА. Это rank-3 источник.</w:t>
      </w:r>
    </w:p>
    <w:p>
      <w:r>
        <w:t xml:space="preserve">   ↳ Почему важно: Клерк не может ратифицировать или опровергнуть НПА. Использование как источник истины ведёт к воспроизведению устаревших или неточных формулировок.</w:t>
      </w:r>
    </w:p>
    <w:p>
      <w:r>
        <w:t xml:space="preserve">   ↳ Что сделать: Добавить footnote-ссылку рядом с каждым тезисом (см. data/12_klerk_npa_links.csv для маппинга). При несоответствии Клерк ↔ НПА — следовать НПА.</w:t>
      </w:r>
    </w:p>
    <w:p>
      <w:r>
        <w:t xml:space="preserve">   ↳ Кто проверяет: Юрист миграционного права</w:t>
      </w:r>
    </w:p>
    <w:p/>
    <w:p>
      <w:r>
        <w:rPr>
          <w:b/>
        </w:rPr>
        <w:t xml:space="preserve">FA-04 • Концепции 2026–2030 vs 2019–2025 • </w:t>
      </w:r>
      <w:r>
        <w:rPr>
          <w:color w:val="4B5563"/>
        </w:rPr>
        <w:t>Средняя (риск использования устаревшей редакции)</w:t>
      </w:r>
    </w:p>
    <w:p>
      <w:r>
        <w:t xml:space="preserve">   ↳ Где: D04 (Концепция 2026–2030) vs D05 (Концепция 2019–2025)</w:t>
      </w:r>
    </w:p>
    <w:p>
      <w:r>
        <w:t xml:space="preserve">   ↳ Что не так: После вступления в силу D04 Концепция 2019–2025 должна считаться устаревшей. Часть формулировок («адаптация», «образовательная миграция») перенесена; часть («межведомственное взаимодействие») исчезла; добавлены «цифровизация», «организованный набор», «противодействие незаконной миграции».</w:t>
      </w:r>
    </w:p>
    <w:p>
      <w:r>
        <w:t xml:space="preserve">   ↳ Почему важно: Использование D05 как актуального источника без оговорки приведёт к ссылкам на нерелевантные направления.</w:t>
      </w:r>
    </w:p>
    <w:p>
      <w:r>
        <w:t xml:space="preserve">   ↳ Что сделать: При цитировании любого положения старой Концепции — добавить отметку «утратила силу с вступлением в силу D04» и сверить, перенесено ли положение в новую редакцию.</w:t>
      </w:r>
    </w:p>
    <w:p>
      <w:r>
        <w:t xml:space="preserve">   ↳ Кто проверяет: Юрист + методолог</w:t>
      </w:r>
    </w:p>
    <w:p/>
    <w:p>
      <w:r>
        <w:rPr>
          <w:b/>
        </w:rPr>
        <w:t xml:space="preserve">FA-05 • ruID dependency chain ПП 1510 → 1562 → 468 • </w:t>
      </w:r>
      <w:r>
        <w:rPr>
          <w:color w:val="B91C1C"/>
        </w:rPr>
        <w:t>Высокая (актуальная редакция эксперимента)</w:t>
      </w:r>
    </w:p>
    <w:p>
      <w:r>
        <w:t xml:space="preserve">   ↳ Где: D21 ПП №1510 (07.11.2024), D22 ПП №1562 (08.10.2025), D23 ПП №468 (27.04.2026)</w:t>
      </w:r>
    </w:p>
    <w:p>
      <w:r>
        <w:t xml:space="preserve">   ↳ Что не так: При ссылках на «ПП 1510» без указания редакции невозможно понять, какая версия эксперимента применяется. ПП 1562 уточнил биометрический контур; ПП 468 внёс правки 2026 года.</w:t>
      </w:r>
    </w:p>
    <w:p>
      <w:r>
        <w:t xml:space="preserve">   ↳ Почему важно: Норма «эксперимент апробации правил въезда/выезда» имеет три редакции. Использование исходного текста D21 без поправок — ссылка на устаревшую версию.</w:t>
      </w:r>
    </w:p>
    <w:p>
      <w:r>
        <w:t xml:space="preserve">   ↳ Что сделать: Везде писать «ПП №1510 в редакции ПП №468 от 27.04.2026». При цитировании конкретного пункта — сверять с актуальной редакцией. Указ №467 (D17) использовать в связке.</w:t>
      </w:r>
    </w:p>
    <w:p>
      <w:r>
        <w:t xml:space="preserve">   ↳ Кто проверяет: Юрист + цифровой профиль (Минцифры/МВД)</w:t>
      </w:r>
    </w:p>
    <w:p/>
    <w:p>
      <w:r>
        <w:rPr>
          <w:b/>
        </w:rPr>
        <w:t xml:space="preserve">FA-06 • 270-ФЗ изменяет 115-ФЗ и 109-ФЗ • </w:t>
      </w:r>
      <w:r>
        <w:rPr>
          <w:color w:val="B91C1C"/>
        </w:rPr>
        <w:t>Высокая (актуальная редакция базовых актов)</w:t>
      </w:r>
    </w:p>
    <w:p>
      <w:r>
        <w:t xml:space="preserve">   ↳ Где: D24 270-ФЗ от 31.07.2025 → D11 (115-ФЗ) и D06 (109-ФЗ)</w:t>
      </w:r>
    </w:p>
    <w:p>
      <w:r>
        <w:t xml:space="preserve">   ↳ Что не так: Ссылки на 115-ФЗ и 109-ФЗ без указания «в ред. 270-ФЗ от 31.07.2025» могут отсылать к устаревшим формулировкам.</w:t>
      </w:r>
    </w:p>
    <w:p>
      <w:r>
        <w:t xml:space="preserve">   ↳ Почему важно: 270-ФЗ затронул отдельные положения 115/109-ФЗ; для миграционных claims 2025 года нужна актуальная редакция.</w:t>
      </w:r>
    </w:p>
    <w:p>
      <w:r>
        <w:t xml:space="preserve">   ↳ Что сделать: В каждом параграфе, ссылающемся на 115-ФЗ или 109-ФЗ, добавить «в ред. 270-ФЗ». Для конкретных статей, которые точно затронуты, — отдельный список с диффом.</w:t>
      </w:r>
    </w:p>
    <w:p>
      <w:r>
        <w:t xml:space="preserve">   ↳ Кто проверяет: Юрист</w:t>
      </w:r>
    </w:p>
    <w:p/>
    <w:p>
      <w:r>
        <w:rPr>
          <w:b/>
        </w:rPr>
        <w:t xml:space="preserve">FA-07 • 281-ФЗ изменяет КоАП • </w:t>
      </w:r>
      <w:r>
        <w:rPr>
          <w:color w:val="B91C1C"/>
        </w:rPr>
        <w:t>Высокая (штрафы и ответственность)</w:t>
      </w:r>
    </w:p>
    <w:p>
      <w:r>
        <w:t xml:space="preserve">   ↳ Где: D25 281-ФЗ от 31.07.2025 → D13 КоАП ст.18.8/18.9/18.10/18.15</w:t>
      </w:r>
    </w:p>
    <w:p>
      <w:r>
        <w:t xml:space="preserve">   ↳ Что не так: При ссылке на штрафные и контрольные нормы КоАП не указывается «в ред. 281-ФЗ».</w:t>
      </w:r>
    </w:p>
    <w:p>
      <w:r>
        <w:t xml:space="preserve">   ↳ Почему важно: Размер штрафов и составы могли поменяться. Без актуальной редакции возможна неверная квалификация деяния.</w:t>
      </w:r>
    </w:p>
    <w:p>
      <w:r>
        <w:t xml:space="preserve">   ↳ Что сделать: В каждом упоминании ст.18.x КоАП — указать «в ред. 281-ФЗ от 31.07.2025». В таблице «штрафы» — пересверить суммы.</w:t>
      </w:r>
    </w:p>
    <w:p>
      <w:r>
        <w:t xml:space="preserve">   ↳ Кто проверяет: Юрист + комплаенс</w:t>
      </w:r>
    </w:p>
    <w:p/>
    <w:p>
      <w:r>
        <w:rPr>
          <w:b/>
        </w:rPr>
        <w:t xml:space="preserve">FA-08 • ВЦИОМ D03 — отделить аналитику от НПА • </w:t>
      </w:r>
      <w:r>
        <w:rPr>
          <w:color w:val="4B5563"/>
        </w:rPr>
        <w:t>Низкая (методологический риск)</w:t>
      </w:r>
    </w:p>
    <w:p>
      <w:r>
        <w:t xml:space="preserve">   ↳ Где: D03 «Демография России 2026», слайды 3-5 — миграционные тезисы</w:t>
      </w:r>
    </w:p>
    <w:p>
      <w:r>
        <w:t xml:space="preserve">   ↳ Что не так: Тезисы ВЦИОМ («ужесточение», «слабая интеграция», «образовательная миграция») преподнесены как факты в одной сводке с НПА.</w:t>
      </w:r>
    </w:p>
    <w:p>
      <w:r>
        <w:t xml:space="preserve">   ↳ Почему важно: Это data-driven наблюдения, не нормы. Не могут опровергать или подтверждать НПА. Смешивание формирует у читателя ощущение, что аналитика — это норма.</w:t>
      </w:r>
    </w:p>
    <w:p>
      <w:r>
        <w:t xml:space="preserve">   ↳ Что сделать: В презентации с НПА явно разделить блок «данные/наблюдения ВЦИОМ» (с указанием периода и репрезентативности) от блока «нормативные требования». Тезисы ВЦИОМ маркировать как «по данным опроса».</w:t>
      </w:r>
    </w:p>
    <w:p>
      <w:r>
        <w:t xml:space="preserve">   ↳ Кто проверяет: Аналитик + юрист</w:t>
      </w:r>
    </w:p>
    <w:p/>
    <w:p>
      <w:r>
        <w:rPr>
          <w:b/>
        </w:rPr>
        <w:t xml:space="preserve">FA-09 • Provenance-риски (DDoS-stub, timeout) • </w:t>
      </w:r>
      <w:r>
        <w:rPr>
          <w:color w:val="4B5563"/>
        </w:rPr>
        <w:t>Средняя (operational)</w:t>
      </w:r>
    </w:p>
    <w:p>
      <w:r>
        <w:t xml:space="preserve">   ↳ Где: consultant.ru, pravo.gov.ru, mvd.ru, economy.gov.ru — недоступны из download host</w:t>
      </w:r>
    </w:p>
    <w:p>
      <w:r>
        <w:t xml:space="preserve">   ↳ Что не так: Прямой fetch актуальной редакции с official-источников нестабилен. На ряде попыток возвращаются 16 KB бот-stub-ы.</w:t>
      </w:r>
    </w:p>
    <w:p>
      <w:r>
        <w:t xml:space="preserve">   ↳ Почему важно: Без устойчивого первоисточника невозможно гарантировать, что ссылка ведёт на свежую редакцию НПА.</w:t>
      </w:r>
    </w:p>
    <w:p>
      <w:r>
        <w:t xml:space="preserve">   ↳ Что сделать: Для каждого первичного НПА — fallback-цепочка: Гарант (base/prime) → Контур → Меганорм → Парлементская газета. Явная фиксация: какой mirror использовался при генерации отчёта (timestamp + URL).</w:t>
      </w:r>
    </w:p>
    <w:p>
      <w:r>
        <w:t xml:space="preserve">   ↳ Кто проверяет: Operations / DevOps; юрист на финальной валидации</w:t>
      </w:r>
    </w:p>
    <w:p/>
    <w:p>
      <w:r>
        <w:rPr>
          <w:b/>
        </w:rPr>
        <w:t xml:space="preserve">FA-10 • Source gaps (U-01..U-03) • </w:t>
      </w:r>
      <w:r>
        <w:rPr>
          <w:color w:val="4B5563"/>
        </w:rPr>
        <w:t>Средняя (полнота корпуса)</w:t>
      </w:r>
    </w:p>
    <w:p>
      <w:r>
        <w:t xml:space="preserve">   ↳ Где: Не покрыто: внешние юрисдикции, полные тексты НК ст.227.1/333.28-29 + 115-ФЗ ст.13.3, постатейные планы 30-р/4171-р</w:t>
      </w:r>
    </w:p>
    <w:p>
      <w:r>
        <w:t xml:space="preserve">   ↳ Что не так: U-01: тренды по США/ЕС/UK/AU/CA не входят в российский НПА-корпус. U-02: для НДФЛ/патентов нужна точная статья НК и 115-ФЗ. U-03: исполнители/сроки/результаты планов 30-р/4171-р недоступны построчно.</w:t>
      </w:r>
    </w:p>
    <w:p>
      <w:r>
        <w:t xml:space="preserve">   ↳ Почему важно: Без этих данных нельзя закрыть claims «глобальные тренды миграции» (ВЦИОМ) и «объёмы патентных платежей» (Клерк). Планы без построчного диффа не позволяют судить, какие меры реально движутся.</w:t>
      </w:r>
    </w:p>
    <w:p>
      <w:r>
        <w:t xml:space="preserve">   ↳ Что сделать: U-01: запросить external источники (Пугин/IOM/OECD) или явно отметить выход за scope. U-02: получить текст ст.227.1/333.28-29 НК и ст.13.3 115-ФЗ через Гарант. U-03: получить полные приложения к 30-р и 4171-р, желательно XLSX с колонками «исполнитель/срок/результат».</w:t>
      </w:r>
    </w:p>
    <w:p>
      <w:r>
        <w:t xml:space="preserve">   ↳ Кто проверяет: Аналитик + юрист</w:t>
      </w:r>
    </w:p>
    <w:p/>
    <w:p>
      <w:pPr>
        <w:pStyle w:val="Heading2"/>
      </w:pPr>
      <w:r>
        <w:t>3. Брошюра Минэка — построчный red/green</w:t>
      </w:r>
    </w:p>
    <w:p>
      <w:r>
        <w:t>Брошюра использует «более X», ПП №2573 — «не менее X». Это юридическое отличие (строгое vs нестрогое неравенство). Инвестор с пороговой суммой попадает в ловушку. Все 6 правок ниже:</w:t>
      </w:r>
    </w:p>
    <w:p>
      <w:r>
        <w:rPr>
          <w:b/>
        </w:rPr>
        <w:t>BR-01 • Критерий 1: социально значимые проекты (стр. 1, бокс «Условия», п.1)</w:t>
      </w:r>
    </w:p>
    <w:p>
      <w:r>
        <w:rPr>
          <w:color w:val="B91C1C"/>
        </w:rPr>
        <w:t xml:space="preserve">   RED:   более 15 млн руб. в социально значимые проекты за 3 года</w:t>
      </w:r>
    </w:p>
    <w:p>
      <w:r>
        <w:rPr>
          <w:color w:val="166F33"/>
        </w:rPr>
        <w:t xml:space="preserve">   GREEN: не менее 15 млн руб. в социально значимые проекты за 3 года</w:t>
      </w:r>
    </w:p>
    <w:p>
      <w:r>
        <w:rPr>
          <w:color w:val="4B5563"/>
          <w:sz w:val="16"/>
        </w:rPr>
        <w:t xml:space="preserve">   ↳ Основание: пп.«а» п.1 — «не менее 15 миллионов рублей»; Эффект: Инвестор с ровно 15 млн ₽ должен проходить (X ≥ 15), но текущий текст требует X &gt; 15</w:t>
      </w:r>
    </w:p>
    <w:p>
      <w:r>
        <w:rPr>
          <w:b/>
        </w:rPr>
        <w:t>BR-02 • Критерий 2: собственное юрлицо и налоги (стр. 1, бокс «Условия», п.2)</w:t>
      </w:r>
    </w:p>
    <w:p>
      <w:r>
        <w:rPr>
          <w:color w:val="B91C1C"/>
        </w:rPr>
        <w:t xml:space="preserve">   RED:   юрлицо в РФ работает 2 года, ежегодно платит более 4 млн руб. налогов</w:t>
      </w:r>
    </w:p>
    <w:p>
      <w:r>
        <w:rPr>
          <w:color w:val="166F33"/>
        </w:rPr>
        <w:t xml:space="preserve">   GREEN: юрлицо в РФ работает не менее 2 лет, ежегодные налоги/взносы не менее 4 млн руб.</w:t>
      </w:r>
    </w:p>
    <w:p>
      <w:r>
        <w:rPr>
          <w:color w:val="4B5563"/>
          <w:sz w:val="16"/>
        </w:rPr>
        <w:t xml:space="preserve">   ↳ Основание: пп.«б» п.1 — «не менее 4 миллионов рублей в год»; Эффект: Юрлицо с ровно 4 млн отчислений выпадает из критерия по тексту брошюры</w:t>
      </w:r>
    </w:p>
    <w:p>
      <w:r>
        <w:rPr>
          <w:b/>
        </w:rPr>
        <w:t>BR-03 • Критерий 3: инвестиции в российское юрлицо (стр. 1, бокс «Условия», п.3)</w:t>
      </w:r>
    </w:p>
    <w:p>
      <w:r>
        <w:rPr>
          <w:color w:val="B91C1C"/>
        </w:rPr>
        <w:t xml:space="preserve">   RED:   инвестиции более 30 млн руб. в российское юрлицо, налоги юрлица более 6 млн в год</w:t>
      </w:r>
    </w:p>
    <w:p>
      <w:r>
        <w:rPr>
          <w:color w:val="166F33"/>
        </w:rPr>
        <w:t xml:space="preserve">   GREEN: инвестиции не менее 30 млн руб. в российское юрлицо, налоги/взносы юрлица не менее 6 млн в год</w:t>
      </w:r>
    </w:p>
    <w:p>
      <w:r>
        <w:rPr>
          <w:color w:val="4B5563"/>
          <w:sz w:val="16"/>
        </w:rPr>
        <w:t xml:space="preserve">   ↳ Основание: пп.«в» п.1 — «не менее 30 миллионов» / «не менее 6 миллионов»; Эффект: Двойной перекос — оба порога строгие, обрезает легитимных кандидатов</w:t>
      </w:r>
    </w:p>
    <w:p>
      <w:r>
        <w:rPr>
          <w:b/>
        </w:rPr>
        <w:t>BR-04 • Критерий 4: недвижимость (стр. 1, бокс «Условия», п.4)</w:t>
      </w:r>
    </w:p>
    <w:p>
      <w:r>
        <w:rPr>
          <w:color w:val="B91C1C"/>
        </w:rPr>
        <w:t xml:space="preserve">   RED:   недвижимость во владении более 1 года, кадастр: более 50 млн (Москва), более 20 млн (ДФО), более 25 млн (иные регионы)</w:t>
      </w:r>
    </w:p>
    <w:p>
      <w:r>
        <w:rPr>
          <w:color w:val="166F33"/>
        </w:rPr>
        <w:t xml:space="preserve">   GREEN: недвижимость во владении не менее 1 года, кадастр: не менее 50 млн (Москва), не менее 20 млн (ДФО), не менее 25 млн (иные регионы)</w:t>
      </w:r>
    </w:p>
    <w:p>
      <w:r>
        <w:rPr>
          <w:color w:val="4B5563"/>
          <w:sz w:val="16"/>
        </w:rPr>
        <w:t xml:space="preserve">   ↳ Основание: пп.«г» п.1 — «не менее»; Эффект: Самый частый случай в практике — кадастр ровно на пороговой отметке</w:t>
      </w:r>
    </w:p>
    <w:p>
      <w:r>
        <w:rPr>
          <w:b/>
        </w:rPr>
        <w:t>BR-05 • Сноска (стр. 1, нижняя сноска)</w:t>
      </w:r>
    </w:p>
    <w:p>
      <w:r>
        <w:rPr>
          <w:color w:val="B91C1C"/>
        </w:rPr>
        <w:t xml:space="preserve">   RED:   в соответствии с ПП РФ от 31.12.2022 №2573</w:t>
      </w:r>
    </w:p>
    <w:p>
      <w:r>
        <w:rPr>
          <w:color w:val="166F33"/>
        </w:rPr>
        <w:t xml:space="preserve">   GREEN: в соответствии с ПП РФ от 31.12.2022 №2573 (актуальная редакция; сверить с base.garant.ru/406067851/)</w:t>
      </w:r>
    </w:p>
    <w:p>
      <w:r>
        <w:rPr>
          <w:color w:val="4B5563"/>
          <w:sz w:val="16"/>
        </w:rPr>
        <w:t xml:space="preserve">   ↳ Основание: —; Эффект: Без указания редакции невозможно отследить применимость на момент подачи документов</w:t>
      </w:r>
    </w:p>
    <w:p>
      <w:r>
        <w:rPr>
          <w:b/>
        </w:rPr>
        <w:t>BR-06 • Локализации (9 языковых страниц)</w:t>
      </w:r>
    </w:p>
    <w:p>
      <w:r>
        <w:rPr>
          <w:color w:val="B91C1C"/>
        </w:rPr>
        <w:t xml:space="preserve">   RED:   Поправки 1-5 повторить в EN/CN/AR/FR/DE/ES/JA/KO</w:t>
      </w:r>
    </w:p>
    <w:p>
      <w:r>
        <w:rPr>
          <w:color w:val="166F33"/>
        </w:rPr>
        <w:t xml:space="preserve">   GREEN: Унифицированно использовать «not less than» / «不少于» / «no menos de» / «少なくとも» / 등 — соответствие formal-quantitative-language</w:t>
      </w:r>
    </w:p>
    <w:p>
      <w:r>
        <w:rPr>
          <w:color w:val="4B5563"/>
          <w:sz w:val="16"/>
        </w:rPr>
        <w:t xml:space="preserve">   ↳ Основание: соответствие исходному «не менее»; Эффект: RTL-страница арабского OCR битая (D-003 v7) — повторно вычитать вручную</w:t>
      </w:r>
    </w:p>
    <w:p>
      <w:pPr>
        <w:pStyle w:val="Heading2"/>
      </w:pPr>
      <w:r>
        <w:t>4. Клерк (D09) → первичные НПА</w:t>
      </w:r>
    </w:p>
    <w:p>
      <w:r>
        <w:t>Каждый из 6 тематических тезисов Клерка должен иметь footnote-ссылку на конкретную статью первичного акта. Иначе rank-3 источник «продаёт» свои формулировки как нормы.</w:t>
      </w:r>
    </w:p>
    <w:p>
      <w:r>
        <w:rPr>
          <w:b/>
        </w:rPr>
        <w:t xml:space="preserve">KL-01: </w:t>
      </w:r>
      <w:r>
        <w:t>90 дней безвизового пребывания в году</w:t>
      </w:r>
    </w:p>
    <w:p>
      <w:r>
        <w:t xml:space="preserve">   → D15 260-ФЗ от 08.08.2024 • ст.5 (изменения в 115-ФЗ ст.5)</w:t>
      </w:r>
    </w:p>
    <w:p>
      <w:r>
        <w:rPr>
          <w:color w:val="166F33"/>
        </w:rPr>
        <w:t xml:space="preserve">   Footnote: Footnote: «260-ФЗ от 08.08.2024 ввёл сокращение безвизового срока до 90 дней в календарном году (ранее — 90 из 180)»</w:t>
      </w:r>
    </w:p>
    <w:p>
      <w:r>
        <w:rPr>
          <w:b/>
        </w:rPr>
        <w:t xml:space="preserve">KL-02: </w:t>
      </w:r>
      <w:r>
        <w:t>Реестр контролируемых лиц</w:t>
      </w:r>
    </w:p>
    <w:p>
      <w:r>
        <w:t xml:space="preserve">   → D15 260-ФЗ; D11 115-ФЗ (в ред. 260-ФЗ) • ст.4 260-ФЗ + 115-ФЗ ст.32 (новая редакция)</w:t>
      </w:r>
    </w:p>
    <w:p>
      <w:r>
        <w:rPr>
          <w:color w:val="166F33"/>
        </w:rPr>
        <w:t xml:space="preserve">   Footnote: Footnote: «Реестр введён 260-ФЗ; ведёт МВД; основание включения — нарушение режима пребывания/трудовой деятельности»</w:t>
      </w:r>
    </w:p>
    <w:p>
      <w:r>
        <w:rPr>
          <w:b/>
        </w:rPr>
        <w:t xml:space="preserve">KL-03: </w:t>
      </w:r>
      <w:r>
        <w:t>Цифровой профиль иностранного гражданина</w:t>
      </w:r>
    </w:p>
    <w:p>
      <w:r>
        <w:t xml:space="preserve">   → D17 Указ Президента №467 от 09.07.2025; D21 ПП №1510 • Указ №467 п.1 — создание гос.информресурса до 30.06.2026; ПП №1510 — эксперимент</w:t>
      </w:r>
    </w:p>
    <w:p>
      <w:r>
        <w:rPr>
          <w:color w:val="166F33"/>
        </w:rPr>
        <w:t xml:space="preserve">   Footnote: Footnote: «Указ №467 от 09.07.2025: создание ГИС «Цифровой профиль иностранного гражданина» до 30.06.2026; апробация по ПП №1510 (в ред. ПП №468)»</w:t>
      </w:r>
    </w:p>
    <w:p>
      <w:r>
        <w:rPr>
          <w:b/>
        </w:rPr>
        <w:t xml:space="preserve">KL-04: </w:t>
      </w:r>
      <w:r>
        <w:t>НДФЛ по патенту: фиксированные авансовые платежи</w:t>
      </w:r>
    </w:p>
    <w:p>
      <w:r>
        <w:t xml:space="preserve">   → D12 НК РФ ст.227.1; D11 115-ФЗ ст.13.3 • НК ст.227.1 п.2 — фикс. авансовый платёж; п.3 — индексация по коэффициенту-дефлятору</w:t>
      </w:r>
    </w:p>
    <w:p>
      <w:r>
        <w:rPr>
          <w:color w:val="166F33"/>
        </w:rPr>
        <w:t xml:space="preserve">   Footnote: Footnote: «НК ст.227.1: ежемесячный фиксированный авансовый платёж × коэффициент-дефлятор × региональный коэффициент. Сумма ежегодно индексируется».</w:t>
      </w:r>
    </w:p>
    <w:p>
      <w:r>
        <w:rPr>
          <w:b/>
        </w:rPr>
        <w:t xml:space="preserve">KL-05: </w:t>
      </w:r>
      <w:r>
        <w:t>Госпошлины 2025</w:t>
      </w:r>
    </w:p>
    <w:p>
      <w:r>
        <w:t xml:space="preserve">   → D16 271-ФЗ от 31.07.2025; D12 НК ст.333.28-333.29 • 271-ФЗ → НК ст.333.28 (выдача документов на въезд/выезд) и ст.333.29 (учёт по месту пребывания)</w:t>
      </w:r>
    </w:p>
    <w:p>
      <w:r>
        <w:rPr>
          <w:color w:val="166F33"/>
        </w:rPr>
        <w:t xml:space="preserve">   Footnote: Footnote: «Госпошлины пересмотрены 271-ФЗ от 31.07.2025; новые ставки см. НК ст.333.28-333.29 в редакции 271-ФЗ»</w:t>
      </w:r>
    </w:p>
    <w:p>
      <w:r>
        <w:rPr>
          <w:b/>
        </w:rPr>
        <w:t xml:space="preserve">KL-06: </w:t>
      </w:r>
      <w:r>
        <w:t>Ответственность работодателей</w:t>
      </w:r>
    </w:p>
    <w:p>
      <w:r>
        <w:t xml:space="preserve">   → D13 КоАП ст.18.15 (в ред. 281-ФЗ); D11 115-ФЗ ст.13 • КоАП ст.18.15 (привлечение иностранца без разрешения); ст.18.10 (трудовая деятельность вне региона/специальности)</w:t>
      </w:r>
    </w:p>
    <w:p>
      <w:r>
        <w:rPr>
          <w:color w:val="166F33"/>
        </w:rPr>
        <w:t xml:space="preserve">   Footnote: Footnote: «КоАП ст.18.15 в ред. 281-ФЗ от 31.07.2025; уведомление о приёме/увольнении в МВД — сроки и штрафы по 115-ФЗ ст.13 п.8».</w:t>
      </w:r>
    </w:p>
    <w:p>
      <w:pPr>
        <w:pStyle w:val="Heading2"/>
      </w:pPr>
      <w:r>
        <w:t>5. ЕАЭС split</w:t>
      </w:r>
    </w:p>
    <w:p>
      <w:r>
        <w:t>Минэк-страница «Работа в ЕАЭС» должна быть разделена на три блока (см. таблицу). Узбекистан и Таджикистан — НЕ члены ЕАЭС; их граждане работают по 115-ФЗ через патент.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Группа</w:t>
            </w:r>
          </w:p>
        </w:tc>
        <w:tc>
          <w:tcPr>
            <w:tcW w:type="dxa" w:w="2880"/>
          </w:tcPr>
          <w:p>
            <w:r>
              <w:t>Страны</w:t>
            </w:r>
          </w:p>
        </w:tc>
        <w:tc>
          <w:tcPr>
            <w:tcW w:type="dxa" w:w="2880"/>
          </w:tcPr>
          <w:p>
            <w:r>
              <w:t>Режим работы</w:t>
            </w:r>
          </w:p>
        </w:tc>
      </w:tr>
      <w:tr>
        <w:tc>
          <w:tcPr>
            <w:tcW w:type="dxa" w:w="2880"/>
          </w:tcPr>
          <w:p>
            <w:r>
              <w:t>Государства-члены ЕАЭС</w:t>
            </w:r>
          </w:p>
        </w:tc>
        <w:tc>
          <w:tcPr>
            <w:tcW w:type="dxa" w:w="2880"/>
          </w:tcPr>
          <w:p>
            <w:r>
              <w:t>Армения, Беларусь, Казахстан, Киргизия, Россия</w:t>
            </w:r>
          </w:p>
        </w:tc>
        <w:tc>
          <w:tcPr>
            <w:tcW w:type="dxa" w:w="2880"/>
          </w:tcPr>
          <w:p>
            <w:r>
              <w:t>БЕЗ разрешения на трудовую деятельность</w:t>
            </w:r>
          </w:p>
        </w:tc>
      </w:tr>
      <w:tr>
        <w:tc>
          <w:tcPr>
            <w:tcW w:type="dxa" w:w="2880"/>
          </w:tcPr>
          <w:p>
            <w:r>
              <w:t>Прочие государства (включая Узбекистан, Таджикистан)</w:t>
            </w:r>
          </w:p>
        </w:tc>
        <w:tc>
          <w:tcPr>
            <w:tcW w:type="dxa" w:w="2880"/>
          </w:tcPr>
          <w:p>
            <w:r>
              <w:t>Узбекистан, Таджикистан, Кыргызстан *уже в ЕАЭС*, Молдова, Азербайджан, Грузия, Туркменистан, и др.</w:t>
            </w:r>
          </w:p>
        </w:tc>
        <w:tc>
          <w:tcPr>
            <w:tcW w:type="dxa" w:w="2880"/>
          </w:tcPr>
          <w:p>
            <w:r>
              <w:t>Общий порядок: ПАТЕНТ (115-ФЗ ст.13.3)</w:t>
            </w:r>
          </w:p>
        </w:tc>
      </w:tr>
      <w:tr>
        <w:tc>
          <w:tcPr>
            <w:tcW w:type="dxa" w:w="2880"/>
          </w:tcPr>
          <w:p>
            <w:r>
              <w:t>Граждане визовых государств</w:t>
            </w:r>
          </w:p>
        </w:tc>
        <w:tc>
          <w:tcPr>
            <w:tcW w:type="dxa" w:w="2880"/>
          </w:tcPr>
          <w:p>
            <w:r>
              <w:t>Большинство стран, не входящих в безвизовые соглашения с РФ</w:t>
            </w:r>
          </w:p>
        </w:tc>
        <w:tc>
          <w:tcPr>
            <w:tcW w:type="dxa" w:w="2880"/>
          </w:tcPr>
          <w:p>
            <w:r>
              <w:t>РАЗРЕШЕНИЕ НА РАБОТУ (115-ФЗ ст.13)</w:t>
            </w:r>
          </w:p>
        </w:tc>
      </w:tr>
    </w:tbl>
    <w:p>
      <w:pPr>
        <w:pStyle w:val="Heading2"/>
      </w:pPr>
      <w:r>
        <w:t>6. Amendment chain — что цитировать сейчас</w:t>
      </w:r>
    </w:p>
    <w:p>
      <w:r>
        <w:rPr>
          <w:b/>
        </w:rPr>
        <w:t xml:space="preserve">AC-01 • ruID / эксперимент въезда-выезда: </w:t>
      </w:r>
    </w:p>
    <w:p>
      <w:r>
        <w:rPr>
          <w:color w:val="B91C1C"/>
        </w:rPr>
        <w:t xml:space="preserve">   RED (старая ссылка): D21 ПП РФ №1510 от 07.11.2024</w:t>
      </w:r>
    </w:p>
    <w:p>
      <w:r>
        <w:rPr>
          <w:color w:val="166F33"/>
        </w:rPr>
        <w:t xml:space="preserve">   GREEN (актуально): «ПП №1510 в ред. ПП №468 от 27.04.2026»</w:t>
      </w:r>
    </w:p>
    <w:p>
      <w:r>
        <w:rPr>
          <w:color w:val="4B5563"/>
          <w:sz w:val="16"/>
        </w:rPr>
        <w:t xml:space="preserve">   ↳ Поправки: D22 ПП №1562 от 08.10.2025 → D23 ПП №468 от 27.04.2026; Сверить: https://base.garant.ru/410728090/ (актуальная редакция)</w:t>
      </w:r>
    </w:p>
    <w:p>
      <w:r>
        <w:rPr>
          <w:b/>
        </w:rPr>
        <w:t xml:space="preserve">AC-02 • Базовая нормативная рамка: </w:t>
      </w:r>
    </w:p>
    <w:p>
      <w:r>
        <w:rPr>
          <w:color w:val="B91C1C"/>
        </w:rPr>
        <w:t xml:space="preserve">   RED (старая ссылка): D11 115-ФЗ + D06 109-ФЗ + D19 114-ФЗ</w:t>
      </w:r>
    </w:p>
    <w:p>
      <w:r>
        <w:rPr>
          <w:color w:val="166F33"/>
        </w:rPr>
        <w:t xml:space="preserve">   GREEN (актуально): «115-ФЗ в ред. 260-ФЗ и 270-ФЗ»; «109-ФЗ в ред. 270-ФЗ»</w:t>
      </w:r>
    </w:p>
    <w:p>
      <w:r>
        <w:rPr>
          <w:color w:val="4B5563"/>
          <w:sz w:val="16"/>
        </w:rPr>
        <w:t xml:space="preserve">   ↳ Поправки: D24 270-ФЗ от 31.07.2025 (изменения в 115/109-ФЗ); Сверить: Гарант + Контур + Консультант (round-1 fallback)</w:t>
      </w:r>
    </w:p>
    <w:p>
      <w:r>
        <w:rPr>
          <w:b/>
        </w:rPr>
        <w:t xml:space="preserve">AC-03 • КоАП — ответственность: </w:t>
      </w:r>
    </w:p>
    <w:p>
      <w:r>
        <w:rPr>
          <w:color w:val="B91C1C"/>
        </w:rPr>
        <w:t xml:space="preserve">   RED (старая ссылка): D13 КоАП ст.18.8/18.9/18.10/18.15</w:t>
      </w:r>
    </w:p>
    <w:p>
      <w:r>
        <w:rPr>
          <w:color w:val="166F33"/>
        </w:rPr>
        <w:t xml:space="preserve">   GREEN (актуально): «КоАП ст.18.x в ред. 281-ФЗ от 31.07.2025»</w:t>
      </w:r>
    </w:p>
    <w:p>
      <w:r>
        <w:rPr>
          <w:color w:val="4B5563"/>
          <w:sz w:val="16"/>
        </w:rPr>
        <w:t xml:space="preserve">   ↳ Поправки: D25 281-ФЗ от 31.07.2025; Сверить: https://publication.pravo.gov.ru/Document/View/0001202507310012</w:t>
      </w:r>
    </w:p>
    <w:p>
      <w:r>
        <w:rPr>
          <w:b/>
        </w:rPr>
        <w:t xml:space="preserve">AC-04 • НК — налоги и пошлины: </w:t>
      </w:r>
    </w:p>
    <w:p>
      <w:r>
        <w:rPr>
          <w:color w:val="B91C1C"/>
        </w:rPr>
        <w:t xml:space="preserve">   RED (старая ссылка): D12 НК ст.227.1 + ст.333.28-333.29</w:t>
      </w:r>
    </w:p>
    <w:p>
      <w:r>
        <w:rPr>
          <w:color w:val="166F33"/>
        </w:rPr>
        <w:t xml:space="preserve">   GREEN (актуально): «НК ст.227.1, 333.28-333.29 в ред. 271-ФЗ от 31.07.2025»</w:t>
      </w:r>
    </w:p>
    <w:p>
      <w:r>
        <w:rPr>
          <w:color w:val="4B5563"/>
          <w:sz w:val="16"/>
        </w:rPr>
        <w:t xml:space="preserve">   ↳ Поправки: D16 271-ФЗ от 31.07.2025; Сверить: Гарант + Контур</w:t>
      </w:r>
    </w:p>
    <w:p>
      <w:r>
        <w:rPr>
          <w:b/>
        </w:rPr>
        <w:t xml:space="preserve">AC-05 • Концепции и планы: </w:t>
      </w:r>
    </w:p>
    <w:p>
      <w:r>
        <w:rPr>
          <w:color w:val="B91C1C"/>
        </w:rPr>
        <w:t xml:space="preserve">   RED (старая ссылка): D05 Концепция 2019–2025 + D07 План 30-р</w:t>
      </w:r>
    </w:p>
    <w:p>
      <w:r>
        <w:rPr>
          <w:color w:val="166F33"/>
        </w:rPr>
        <w:t xml:space="preserve">   GREEN (актуально): «Концепция 2026–2030 (Указ Президента); План 4171-р реализации»</w:t>
      </w:r>
    </w:p>
    <w:p>
      <w:r>
        <w:rPr>
          <w:color w:val="4B5563"/>
          <w:sz w:val="16"/>
        </w:rPr>
        <w:t xml:space="preserve">   ↳ Поправки: D04 Концепция 2026–2030 + D08 План 4171-р; Сверить: https://www.kremlin.ru/acts/bank/52490 + https://www.garant.ru/products/ipo/prime/doc/413296322/</w:t>
      </w:r>
    </w:p>
    <w:p>
      <w:pPr>
        <w:pStyle w:val="Heading2"/>
      </w:pPr>
      <w:r>
        <w:t>7. Provenance — план fallback'ов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</w:t>
            </w:r>
          </w:p>
        </w:tc>
        <w:tc>
          <w:tcPr>
            <w:tcW w:type="dxa" w:w="2880"/>
          </w:tcPr>
          <w:p>
            <w:r>
              <w:t>Симптом</w:t>
            </w:r>
          </w:p>
        </w:tc>
        <w:tc>
          <w:tcPr>
            <w:tcW w:type="dxa" w:w="2880"/>
          </w:tcPr>
          <w:p>
            <w:r>
              <w:t>Fallback</w:t>
            </w:r>
          </w:p>
        </w:tc>
      </w:tr>
      <w:tr>
        <w:tc>
          <w:tcPr>
            <w:tcW w:type="dxa" w:w="2880"/>
          </w:tcPr>
          <w:p>
            <w:r>
              <w:t>consultant.ru</w:t>
            </w:r>
          </w:p>
        </w:tc>
        <w:tc>
          <w:tcPr>
            <w:tcW w:type="dxa" w:w="2880"/>
          </w:tcPr>
          <w:p>
            <w:r>
              <w:t>Возвращает 16 KB бот-stub при программном fetch</w:t>
            </w:r>
          </w:p>
        </w:tc>
        <w:tc>
          <w:tcPr>
            <w:tcW w:type="dxa" w:w="2880"/>
          </w:tcPr>
          <w:p>
            <w:r>
              <w:t>Гарант (base/prime), Контур, Меганорм</w:t>
            </w:r>
          </w:p>
        </w:tc>
      </w:tr>
      <w:tr>
        <w:tc>
          <w:tcPr>
            <w:tcW w:type="dxa" w:w="2880"/>
          </w:tcPr>
          <w:p>
            <w:r>
              <w:t>pravo.gov.ru, publication.pravo.gov.ru</w:t>
            </w:r>
          </w:p>
        </w:tc>
        <w:tc>
          <w:tcPr>
            <w:tcW w:type="dxa" w:w="2880"/>
          </w:tcPr>
          <w:p>
            <w:r>
              <w:t>Connection timeout с большинства сетей</w:t>
            </w:r>
          </w:p>
        </w:tc>
        <w:tc>
          <w:tcPr>
            <w:tcW w:type="dxa" w:w="2880"/>
          </w:tcPr>
          <w:p>
            <w:r>
              <w:t>Гарант base; для официальной публикации — паблишинг через Парлементскую газету и Российскую газету</w:t>
            </w:r>
          </w:p>
        </w:tc>
      </w:tr>
      <w:tr>
        <w:tc>
          <w:tcPr>
            <w:tcW w:type="dxa" w:w="2880"/>
          </w:tcPr>
          <w:p>
            <w:r>
              <w:t>mvd.ru, economy.gov.ru</w:t>
            </w:r>
          </w:p>
        </w:tc>
        <w:tc>
          <w:tcPr>
            <w:tcW w:type="dxa" w:w="2880"/>
          </w:tcPr>
          <w:p>
            <w:r>
              <w:t>Connection timeout / 15-секундный сброс</w:t>
            </w:r>
          </w:p>
        </w:tc>
        <w:tc>
          <w:tcPr>
            <w:tcW w:type="dxa" w:w="2880"/>
          </w:tcPr>
          <w:p>
            <w:r>
              <w:t>Кеш из Минэка (D10 локальный snapshot), prime.ru (Минэк-новости), Гарант hotlaw</w:t>
            </w:r>
          </w:p>
        </w:tc>
      </w:tr>
      <w:tr>
        <w:tc>
          <w:tcPr>
            <w:tcW w:type="dxa" w:w="2880"/>
          </w:tcPr>
          <w:p>
            <w:r>
              <w:t>vciom.ru analytical-reviews</w:t>
            </w:r>
          </w:p>
        </w:tc>
        <w:tc>
          <w:tcPr>
            <w:tcW w:type="dxa" w:w="2880"/>
          </w:tcPr>
          <w:p>
            <w:r>
              <w:t>2.3 KB stub-ответ (анти-бот)</w:t>
            </w:r>
          </w:p>
        </w:tc>
        <w:tc>
          <w:tcPr>
            <w:tcW w:type="dxa" w:w="2880"/>
          </w:tcPr>
          <w:p>
            <w:r>
              <w:t>Локальный PDF (D03), при необходимости — pdf-публикация на сайте автора отчёта</w:t>
            </w:r>
          </w:p>
        </w:tc>
      </w:tr>
    </w:tbl>
    <w:p>
      <w:pPr>
        <w:pStyle w:val="Heading2"/>
      </w:pPr>
      <w:r>
        <w:t>8. Что вынести юристу прямо сейчас</w:t>
      </w:r>
    </w:p>
    <w:p>
      <w:pPr>
        <w:pStyle w:val="ListBullet"/>
      </w:pPr>
      <w:r>
        <w:t>Утвердить новую редакцию брошюры Минэка по FA-01 + BR-01..BR-06 (срок T+5).</w:t>
      </w:r>
    </w:p>
    <w:p>
      <w:pPr>
        <w:pStyle w:val="ListBullet"/>
      </w:pPr>
      <w:r>
        <w:t>Согласовать разделение блока «Работа в ЕАЭС» по EA-01..EA-03 (срок T+7).</w:t>
      </w:r>
    </w:p>
    <w:p>
      <w:pPr>
        <w:pStyle w:val="ListBullet"/>
      </w:pPr>
      <w:r>
        <w:t>Проверить актуальные редакции 115-ФЗ, 109-ФЗ, КоАП, НК (FA-06/FA-07 + AC-02/AC-03/AC-04).</w:t>
      </w:r>
    </w:p>
    <w:p>
      <w:pPr>
        <w:pStyle w:val="ListBullet"/>
      </w:pPr>
      <w:r>
        <w:t>Закрыть source gaps U-02 (статьи НК + 115-ФЗ.ст.13.3) и U-03 (планы 30-р/4171-р).</w:t>
      </w:r>
    </w:p>
    <w:p>
      <w:pPr>
        <w:pStyle w:val="ListBullet"/>
      </w:pPr>
      <w:r>
        <w:t>Зафиксировать provenance-цепочку для каждого первичного НПА (PV-01..PV-04).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