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A6F"/>
          <w:sz w:val="44"/>
        </w:rPr>
        <w:t>Пояснительная записка</w:t>
      </w:r>
    </w:p>
    <w:p>
      <w:pPr>
        <w:jc w:val="center"/>
      </w:pPr>
      <w:r>
        <w:rPr>
          <w:color w:val="475569"/>
          <w:sz w:val="22"/>
        </w:rPr>
        <w:t>Интегральное перекрестное сравнение миграционного корпуса v9</w:t>
      </w:r>
    </w:p>
    <w:p>
      <w:pPr>
        <w:jc w:val="center"/>
      </w:pPr>
      <w:r>
        <w:rPr>
          <w:i/>
        </w:rPr>
        <w:t>Сгенерировано: 2026-05-09 03:28 | Не является юридическим заключением</w:t>
      </w:r>
    </w:p>
    <w:p>
      <w:pPr>
        <w:pStyle w:val="Heading1"/>
      </w:pPr>
      <w:r>
        <w:t>Цель</w:t>
      </w:r>
    </w:p>
    <w:p>
      <w:r>
        <w:t>Собрать forensic/evidence-grade сравнительный материал по корпусу документов о миграционных режимах, инвестиционном ВНЖ, ruID/целевом въезде, ЕАЭС, изменениям 2024-2026 и вторичным источникам. Материал не заменяет юридическое заключение.</w:t>
      </w:r>
    </w:p>
    <w:p>
      <w:pPr>
        <w:pStyle w:val="Heading1"/>
      </w:pPr>
      <w:r>
        <w:t>Методика</w:t>
      </w:r>
    </w:p>
    <w:p>
      <w:pPr>
        <w:pStyle w:val="ListBullet"/>
      </w:pPr>
      <w:r>
        <w:t>Нормализация реестра источников: ID, тип, ранг, дата/редакция, provenance.</w:t>
      </w:r>
    </w:p>
    <w:p>
      <w:pPr>
        <w:pStyle w:val="ListBullet"/>
      </w:pPr>
      <w:r>
        <w:t>Сравнение документ×документ для 351 пары: 325 базовых пар v7 + 26 пар с ПП №1375.</w:t>
      </w:r>
    </w:p>
    <w:p>
      <w:pPr>
        <w:pStyle w:val="ListBullet"/>
      </w:pPr>
      <w:r>
        <w:t>Построение срезов тема×документ и тезис×первичный НПА.</w:t>
      </w:r>
    </w:p>
    <w:p>
      <w:pPr>
        <w:pStyle w:val="ListBullet"/>
      </w:pPr>
      <w:r>
        <w:t>НПА имеют приоритет над брошюрами, письмами, аналитикой и обзорами.</w:t>
      </w:r>
    </w:p>
    <w:p>
      <w:pPr>
        <w:pStyle w:val="ListBullet"/>
      </w:pPr>
      <w:r>
        <w:t>Timeout/stub источники не удаляются, а фиксируются как provenance-risk.</w:t>
      </w:r>
    </w:p>
    <w:p>
      <w:pPr>
        <w:pStyle w:val="Heading1"/>
      </w:pPr>
      <w:r>
        <w:t>Панель результата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Исходных документов v7</w:t>
              <w:br/>
              <w:t>26</w:t>
            </w:r>
          </w:p>
        </w:tc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Дополнительный источник</w:t>
              <w:br/>
              <w:t>ПП РФ №1375</w:t>
            </w:r>
          </w:p>
        </w:tc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Всего документов в v9</w:t>
              <w:br/>
              <w:t>27</w:t>
            </w:r>
          </w:p>
        </w:tc>
        <w:tc>
          <w:tcPr>
            <w:tcW w:type="dxa" w:w="2664"/>
            <w:vAlign w:val="top"/>
            <w:shd w:fill="E0F2FE"/>
          </w:tcPr>
          <w:p>
            <w:r/>
            <w:r>
              <w:rPr>
                <w:b/>
                <w:sz w:val="19"/>
              </w:rPr>
              <w:t>Базовых пар v7</w:t>
              <w:br/>
              <w:t>325</w:t>
            </w:r>
          </w:p>
        </w:tc>
      </w:tr>
      <w:t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Пар в v9</w:t>
              <w:br/>
              <w:t>351</w:t>
            </w:r>
          </w:p>
        </w:tc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Событий</w:t>
              <w:br/>
              <w:t>312</w:t>
            </w:r>
          </w:p>
        </w:tc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Очередь проверки</w:t>
              <w:br/>
              <w:t>54</w:t>
            </w:r>
          </w:p>
        </w:tc>
        <w:tc>
          <w:tcPr>
            <w:tcW w:type="dxa" w:w="2664"/>
            <w:vAlign w:val="top"/>
            <w:shd w:fill="F0FDF4"/>
          </w:tcPr>
          <w:p>
            <w:r/>
            <w:r>
              <w:rPr>
                <w:b/>
                <w:sz w:val="19"/>
              </w:rPr>
              <w:t>Provenance rows</w:t>
              <w:br/>
              <w:t>112</w:t>
            </w:r>
          </w:p>
        </w:tc>
      </w:tr>
      <w:tr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  <w:tc>
          <w:tcPr>
            <w:tcW w:type="dxa" w:w="2664"/>
          </w:tcPr>
          <w:p/>
        </w:tc>
      </w:tr>
    </w:tbl>
    <w:p>
      <w:pPr>
        <w:pStyle w:val="Heading1"/>
      </w:pPr>
      <w:r>
        <w:t>Что сравнивали</w:t>
      </w:r>
    </w:p>
    <w:p>
      <w:r>
        <w:t>Базовый корпус v7/v8 содержит 26 документов; v9 добавляет ПП РФ №1375 как отдельный amendment-layer к ПП №2573. Реестр ниже укорочен, полный реестр в Excel.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ИД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Источник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Ранг</w:t>
            </w:r>
          </w:p>
        </w:tc>
        <w:tc>
          <w:tcPr>
            <w:tcW w:type="dxa" w:w="2131"/>
            <w:vAlign w:val="top"/>
            <w:shd w:fill="0F766E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Роль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Памятка Нейрон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методика / инструкция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методический источник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Пример выгрузки Нейрон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пример выгрузки / таблица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пример результата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ВЦИОМ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аналитическая презентация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аналитика / claim source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D04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Концепция 2026-2030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стратегический НПА / Указ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 / strategy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Концепция 2019-2025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стратегический НПА / Указ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 / strategy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D06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109-ФЗ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федеральный закон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primary law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D07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30-р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мероприятий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government plan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D08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4171-р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план мероприятий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government plan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D09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Клерк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вторичный обзор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secondary digest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D10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Минэк страница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ведомственная информация / snapshot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official/near-official information</w:t>
            </w:r>
          </w:p>
        </w:tc>
      </w:tr>
      <w:tr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...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  <w:t>Еще 17 источников см. в Excel: 01 Реестр источников</w:t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  <w:tc>
          <w:tcPr>
            <w:tcW w:type="dxa" w:w="2131"/>
            <w:vAlign w:val="top"/>
          </w:tcPr>
          <w:p>
            <w:r/>
            <w:r>
              <w:rPr>
                <w:b w:val="0"/>
                <w:sz w:val="15"/>
              </w:rPr>
            </w:r>
          </w:p>
        </w:tc>
      </w:tr>
    </w:tbl>
    <w:p>
      <w:pPr>
        <w:pStyle w:val="Heading1"/>
      </w:pPr>
      <w:r>
        <w:t>Ключевые выводы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F3C7"/>
          </w:tcPr>
          <w:p>
            <w:r/>
            <w:r>
              <w:rPr>
                <w:b/>
                <w:sz w:val="17"/>
              </w:rPr>
              <w:t>F-01</w:t>
              <w:br/>
              <w:t>частично / ручная проверка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ВНЖ инвестора: Брошюра Минэка совместима с ПП №2573 как справочный пересказ, но критические условия нужно проверять по ПП №2573 с учетом ПП №1375.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DCFCE7"/>
          </w:tcPr>
          <w:p>
            <w:r/>
            <w:r>
              <w:rPr>
                <w:b/>
                <w:sz w:val="17"/>
              </w:rPr>
              <w:t>F-02</w:t>
              <w:br/>
              <w:t>подтверждено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ruID / цифровой въезд: ПП1510 нельзя читать изолированно: текущий слой включает ПП1562, перспективный слой включает ПП468.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F3C7"/>
          </w:tcPr>
          <w:p>
            <w:r/>
            <w:r>
              <w:rPr>
                <w:b/>
                <w:sz w:val="17"/>
              </w:rPr>
              <w:t>F-03</w:t>
              <w:br/>
              <w:t>частично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КоАП: 281-ФЗ не заменяет КоАП 18.x; для ответственности нужны конкретные статьи КоАП 18.8, 18.9, 18.10, 18.15.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CACA"/>
          </w:tcPr>
          <w:p>
            <w:r/>
            <w:r>
              <w:rPr>
                <w:b/>
                <w:sz w:val="17"/>
              </w:rPr>
              <w:t>F-04</w:t>
              <w:br/>
              <w:t>риск/исправлено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ЕАЭС: Правовой режим ЕАЭС отделен от сервисного проекта «Работа в ЕАЭС»; Узбекистан/Таджикистан не являются ЕАЭС.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FEF3C7"/>
          </w:tcPr>
          <w:p>
            <w:r/>
            <w:r>
              <w:rPr>
                <w:b/>
                <w:sz w:val="17"/>
              </w:rPr>
              <w:t>F-05</w:t>
              <w:br/>
              <w:t>source_gap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ВЦИОМ: Презентация ВЦИОМ является аналитическим claim source, не НПА; социальное сопротивление требует социологических подтверждений.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5328"/>
      </w:tblGrid>
      <w:tr>
        <w:tc>
          <w:tcPr>
            <w:tcW w:type="dxa" w:w="5328"/>
            <w:vAlign w:val="top"/>
            <w:shd w:fill="DCFCE7"/>
          </w:tcPr>
          <w:p>
            <w:r/>
            <w:r>
              <w:rPr>
                <w:b/>
                <w:sz w:val="17"/>
              </w:rPr>
              <w:t>F-06</w:t>
              <w:br/>
              <w:t>подтверждено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Forensic: Timeout/stub источники сохранены в provenance и закрыты fallback-зеркалами, где возможно.</w:t>
            </w:r>
          </w:p>
        </w:tc>
      </w:tr>
    </w:tbl>
    <w:p/>
    <w:p>
      <w:pPr>
        <w:pStyle w:val="Heading1"/>
      </w:pPr>
      <w:r>
        <w:t>Риски и ручная проверка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ИД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Тема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Риск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Проблема</w:t>
            </w:r>
          </w:p>
        </w:tc>
        <w:tc>
          <w:tcPr>
            <w:tcW w:type="dxa" w:w="1776"/>
            <w:vAlign w:val="top"/>
            <w:shd w:fill="7F1D1D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Что сделать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Инвестиционный ВНЖ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ПП №1375 найден как поправка к ПП №2573.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Проверить, какие пункты ПП2573 изменены ПП1375, и обновить карточки Минэка.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Инвестиционный ВНЖ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manual_review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Брошюра может отражать не полностью актуальную редакцию после поправки ПП1375.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Юрист должен сверить каждую сумму/критерий с консолидированной редакцией ПП2573.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Миграционный учет и уведомления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270-ФЗ меняет 109-ФЗ в части учета/размещения/уведомлений.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Обновить claims Клерка и Минэка по учету после 270-ФЗ.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Правовое положение, трудовая деятельность, патенты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outdated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270-ФЗ меняет 115-ФЗ, включая миграционные действия и патентный контур.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Использовать 115-ФЗ в редакции с 270-ФЗ.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ЕАЭС и «Работа в ЕАЭС»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contradiction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Минэк/проект «Работа в ЕАЭС» имеет сервисный охват, который может быть шире ЕАЭС.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Не писать, что Узбекистан и Таджикистан входят в ЕАЭС.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ЕАЭС и «Работа в ЕАЭС»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Для граждан ЕАЭС разрешение на трудовую деятельность не требуется по ст.97 Договора ЕАЭС.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Разделить ЕАЭС и не-ЕАЭС режимы в Минэк/Клерк.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Узбекистан/Таджикистан: не-ЕАЭС режим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manual_review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высокий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Узбекистан/Таджикистан фигурируют в сервисной логике проекта/приложения.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Проверить отдельные режимы для Узбекистана/Таджикистана по 115-ФЗ, патентам и соглашениям.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source_gap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Минэк official URL имел timeout, но локальный MHT/PDF snapshot сохранен.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Фиксировать official URL недоступность и local snapshot.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R-009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source_gap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Official publication 270-ФЗ имел failed_curl_28; fallback Garant/Kontur доступны.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 источниках указать provenance-risk.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R-010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ruID / целевой цифровой въезд / биометрия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ПП468 изменяет ПП1510 с будущей датой вступления.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 матрице разделить текущую и перспективную редакции.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R-011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КоАП и ответственность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281-ФЗ меняет КоАП, но не является самостоятельным описанием всех миграционных составов.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Проверять claims по ответственности на уровне конкретных статей КоАП.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R-012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Сопротивление миграции / межнациональная напряженность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ВЦИОМ говорит о сопротивлении миграции и межнациональной напряженности как аналитическом вызове.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Не маркировать ВЦИОМ как НПА; использовать как claim source.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R-013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Сопротивление миграции / межнациональная напряженность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match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низкий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ВЦИОМ утверждает слабую интеграцию трудовых мигрантов.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Claim подтверждается направлением мер, но требует соцстатистики для уровня напряженности.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R-014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Госпошлины, НДФЛ, патенты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Клерк описывает НДФЛ/патенты/госпошлины.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Разложить каждый налоговый claim по статье НК РФ.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R-015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КоАП и ответственность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Клерк описывает ответственность работодателей.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Проверить точные суммы/составы по действующей редакции КоАП.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R-016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Forensic/provenance layer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ПП2573 official URL мог быть недоступен/stub, но mirror/fallback тексты найдены.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Указать legal database mirror как источник консолидации.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R-017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Концепции и планы реализации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Системное перекрестное сопоставление: ВЦИОМ ↔ Концепция 2026-2030.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Включено в интегральную карту покрытия; подробное юридическое событие формируется только для релевантных тематических пересечений.</w:t>
            </w:r>
          </w:p>
        </w:tc>
      </w:tr>
      <w:tr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R-018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Концепции и планы реализации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partial_overlap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средний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Системное перекрестное сопоставление: ВЦИОМ ↔ План 4171-р.</w:t>
            </w:r>
          </w:p>
        </w:tc>
        <w:tc>
          <w:tcPr>
            <w:tcW w:type="dxa" w:w="1776"/>
            <w:vAlign w:val="top"/>
          </w:tcPr>
          <w:p>
            <w:r/>
            <w:r>
              <w:rPr>
                <w:b w:val="0"/>
                <w:sz w:val="14"/>
              </w:rPr>
              <w:t>Включено в интегральную карту покрытия; подробное юридическое событие формируется только для релевантных тематических пересечений.</w:t>
            </w:r>
          </w:p>
        </w:tc>
      </w:tr>
    </w:tbl>
    <w:p>
      <w:pPr>
        <w:pStyle w:val="Heading1"/>
      </w:pPr>
      <w:r>
        <w:t>Как читать Excel/PDF</w:t>
      </w:r>
    </w:p>
    <w:p>
      <w:pPr>
        <w:pStyle w:val="ListBullet"/>
      </w:pPr>
      <w:r>
        <w:t>00 Панель - быстрый старт и контрольные числа.</w:t>
      </w:r>
    </w:p>
    <w:p>
      <w:pPr>
        <w:pStyle w:val="ListBullet"/>
      </w:pPr>
      <w:r>
        <w:t>01 Реестр источников - состав корпуса и юридическая сила источников.</w:t>
      </w:r>
    </w:p>
    <w:p>
      <w:pPr>
        <w:pStyle w:val="ListBullet"/>
      </w:pPr>
      <w:r>
        <w:t>02 Документ×Документ - все пары и их релевантность.</w:t>
      </w:r>
    </w:p>
    <w:p>
      <w:pPr>
        <w:pStyle w:val="ListBullet"/>
      </w:pPr>
      <w:r>
        <w:t>04 Тезисы×НПА - основной доказательный слой.</w:t>
      </w:r>
    </w:p>
    <w:p>
      <w:pPr>
        <w:pStyle w:val="ListBullet"/>
      </w:pPr>
      <w:r>
        <w:t>06 Очередь проверки - что должен закрыть юрист.</w:t>
      </w:r>
    </w:p>
    <w:p>
      <w:pPr>
        <w:pStyle w:val="ListBullet"/>
      </w:pPr>
      <w:r>
        <w:t>08 RedGreen слой - редакционные формулировки для правки текста.</w:t>
      </w:r>
    </w:p>
    <w:p>
      <w:pPr>
        <w:pStyle w:val="Heading1"/>
      </w:pPr>
      <w:r>
        <w:t>Что нельзя утверждать публично без ручной проверки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утверждать, что Узбекистан и Таджикистан входят в ЕАЭС.</w:t>
      </w:r>
    </w:p>
    <w:p>
      <w:r>
        <w:t>Правовой режим ЕАЭС распространяется на государства-члены; сервисный проект может быть шире.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считать брошюру Минэка первичным правовым основанием ВНЖ инвестора.</w:t>
      </w:r>
    </w:p>
    <w:p>
      <w:r>
        <w:t>Первичный источник - ПП2573 с учетом ПП1375.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использовать ВЦИОМ как НПА.</w:t>
      </w:r>
    </w:p>
    <w:p>
      <w:r>
        <w:t>Это аналитическая презентация; claims требуют НПА/социологии.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читать ПП1510 без ПП1562/ПП468.</w:t>
      </w:r>
    </w:p>
    <w:p>
      <w:r>
        <w:t>Текущий и перспективный редакционные слои нужно разделять.</w:t>
      </w:r>
    </w:p>
    <w:p>
      <w:r>
        <w:rPr>
          <w:b/>
          <w:color w:val="B91C1C"/>
        </w:rPr>
        <w:t xml:space="preserve">STOP: </w:t>
      </w:r>
      <w:r>
        <w:rPr>
          <w:b/>
        </w:rPr>
        <w:t>Нельзя подменять КоАП 18.x законом 281-ФЗ.</w:t>
      </w:r>
    </w:p>
    <w:p>
      <w:r>
        <w:t>281-ФЗ - слой изменений, основа - действующие статьи КоАП.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