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A6F"/>
          <w:sz w:val="44"/>
        </w:rPr>
        <w:t>Интегральное перекрестное сравнение</w:t>
      </w:r>
    </w:p>
    <w:p>
      <w:pPr>
        <w:jc w:val="center"/>
      </w:pPr>
      <w:r>
        <w:rPr>
          <w:color w:val="475569"/>
          <w:sz w:val="22"/>
        </w:rPr>
        <w:t>Миграционный корпус v9: НПА, Минэк, Клерк, ВЦИОМ, ruID, ЕАЭС, ВНЖ инвестора</w:t>
      </w:r>
    </w:p>
    <w:p>
      <w:pPr>
        <w:jc w:val="center"/>
      </w:pPr>
      <w:r>
        <w:rPr>
          <w:i/>
        </w:rPr>
        <w:t>Сгенерировано: 2026-05-09 03:28 | Не является юридическим заключением</w:t>
      </w:r>
    </w:p>
    <w:p>
      <w:pPr>
        <w:pStyle w:val="Heading1"/>
      </w:pPr>
      <w:r>
        <w:t>Панель результата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0F2FE"/>
          </w:tcPr>
          <w:p>
            <w:r/>
            <w:r>
              <w:rPr>
                <w:b/>
                <w:sz w:val="19"/>
              </w:rPr>
              <w:t>Исходных документов v7</w:t>
              <w:br/>
              <w:t>26</w:t>
            </w:r>
          </w:p>
        </w:tc>
        <w:tc>
          <w:tcPr>
            <w:tcW w:type="dxa" w:w="2664"/>
            <w:vAlign w:val="top"/>
            <w:shd w:fill="E0F2FE"/>
          </w:tcPr>
          <w:p>
            <w:r/>
            <w:r>
              <w:rPr>
                <w:b/>
                <w:sz w:val="19"/>
              </w:rPr>
              <w:t>Дополнительный источник</w:t>
              <w:br/>
              <w:t>ПП РФ №1375</w:t>
            </w:r>
          </w:p>
        </w:tc>
        <w:tc>
          <w:tcPr>
            <w:tcW w:type="dxa" w:w="2664"/>
            <w:vAlign w:val="top"/>
            <w:shd w:fill="E0F2FE"/>
          </w:tcPr>
          <w:p>
            <w:r/>
            <w:r>
              <w:rPr>
                <w:b/>
                <w:sz w:val="19"/>
              </w:rPr>
              <w:t>Всего документов в v9</w:t>
              <w:br/>
              <w:t>27</w:t>
            </w:r>
          </w:p>
        </w:tc>
        <w:tc>
          <w:tcPr>
            <w:tcW w:type="dxa" w:w="2664"/>
            <w:vAlign w:val="top"/>
            <w:shd w:fill="E0F2FE"/>
          </w:tcPr>
          <w:p>
            <w:r/>
            <w:r>
              <w:rPr>
                <w:b/>
                <w:sz w:val="19"/>
              </w:rPr>
              <w:t>Базовых пар v7</w:t>
              <w:br/>
              <w:t>325</w:t>
            </w:r>
          </w:p>
        </w:tc>
      </w:tr>
      <w:tr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F0FDF4"/>
          </w:tcPr>
          <w:p>
            <w:r/>
            <w:r>
              <w:rPr>
                <w:b/>
                <w:sz w:val="19"/>
              </w:rPr>
              <w:t>Пар в v9</w:t>
              <w:br/>
              <w:t>351</w:t>
            </w:r>
          </w:p>
        </w:tc>
        <w:tc>
          <w:tcPr>
            <w:tcW w:type="dxa" w:w="2664"/>
            <w:vAlign w:val="top"/>
            <w:shd w:fill="F0FDF4"/>
          </w:tcPr>
          <w:p>
            <w:r/>
            <w:r>
              <w:rPr>
                <w:b/>
                <w:sz w:val="19"/>
              </w:rPr>
              <w:t>Событий</w:t>
              <w:br/>
              <w:t>312</w:t>
            </w:r>
          </w:p>
        </w:tc>
        <w:tc>
          <w:tcPr>
            <w:tcW w:type="dxa" w:w="2664"/>
            <w:vAlign w:val="top"/>
            <w:shd w:fill="F0FDF4"/>
          </w:tcPr>
          <w:p>
            <w:r/>
            <w:r>
              <w:rPr>
                <w:b/>
                <w:sz w:val="19"/>
              </w:rPr>
              <w:t>Очередь проверки</w:t>
              <w:br/>
              <w:t>54</w:t>
            </w:r>
          </w:p>
        </w:tc>
        <w:tc>
          <w:tcPr>
            <w:tcW w:type="dxa" w:w="2664"/>
            <w:vAlign w:val="top"/>
            <w:shd w:fill="F0FDF4"/>
          </w:tcPr>
          <w:p>
            <w:r/>
            <w:r>
              <w:rPr>
                <w:b/>
                <w:sz w:val="19"/>
              </w:rPr>
              <w:t>Provenance rows</w:t>
              <w:br/>
              <w:t>112</w:t>
            </w:r>
          </w:p>
        </w:tc>
      </w:tr>
      <w:tr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</w:tbl>
    <w:p>
      <w:pPr>
        <w:pStyle w:val="Heading1"/>
      </w:pPr>
      <w:r>
        <w:t>Что сравнивали</w:t>
      </w:r>
    </w:p>
    <w:p>
      <w:r>
        <w:t>Базовый корпус v7/v8 содержит 26 документов; v9 добавляет ПП РФ №1375 как отдельный amendment-layer к ПП №2573. Реестр ниже укорочен, полный реестр в Excel.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ИД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Ранг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Роль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Памятка Нейрон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методика / инструкция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методический источник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Пример выгрузки Нейрон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пример выгрузки / таблица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пример результата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ВЦИОМ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аналитическая презентация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аналитика / claim source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Концепция 2026-2030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стратегический НПА / Указ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 / strategy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Концепция 2019-2025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стратегический НПА / Указ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 / strategy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109-ФЗ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федеральный закон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План 30-р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план мероприятий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government plan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План 4171-р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план мероприятий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government plan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Клерк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вторичный обзор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secondary digest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Минэк страница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ведомственная информация / snapshot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official/near-official information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115-ФЗ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федеральный закон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НК РФ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кодекс / налоги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КоАП РФ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кодекс / ответственность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121-ФЗ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федеральный закон / эксперимент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260-ФЗ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федеральный закон / контроль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271-ФЗ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федеральный закон / налоги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Указ №467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Указ Президента / цифровой профиль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Брошюра Минэка ВНЖ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ведомственная брошюра / информационный материал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official information / brochure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...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Еще 9 источников см. в Excel: 01 Реестр источников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</w:tr>
    </w:tbl>
    <w:p>
      <w:pPr>
        <w:pStyle w:val="Heading1"/>
      </w:pPr>
      <w:r>
        <w:t>Ключевые выводы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FEF3C7"/>
          </w:tcPr>
          <w:p>
            <w:r/>
            <w:r>
              <w:rPr>
                <w:b/>
                <w:sz w:val="17"/>
              </w:rPr>
              <w:t>F-01</w:t>
              <w:br/>
              <w:t>частично / ручная проверка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ВНЖ инвестора: Брошюра Минэка совместима с ПП №2573 как справочный пересказ, но критические условия нужно проверять по ПП №2573 с учетом ПП №1375.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DCFCE7"/>
          </w:tcPr>
          <w:p>
            <w:r/>
            <w:r>
              <w:rPr>
                <w:b/>
                <w:sz w:val="17"/>
              </w:rPr>
              <w:t>F-02</w:t>
              <w:br/>
              <w:t>подтверждено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ruID / цифровой въезд: ПП1510 нельзя читать изолированно: текущий слой включает ПП1562, перспективный слой включает ПП468.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FEF3C7"/>
          </w:tcPr>
          <w:p>
            <w:r/>
            <w:r>
              <w:rPr>
                <w:b/>
                <w:sz w:val="17"/>
              </w:rPr>
              <w:t>F-03</w:t>
              <w:br/>
              <w:t>частично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КоАП: 281-ФЗ не заменяет КоАП 18.x; для ответственности нужны конкретные статьи КоАП 18.8, 18.9, 18.10, 18.15.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FECACA"/>
          </w:tcPr>
          <w:p>
            <w:r/>
            <w:r>
              <w:rPr>
                <w:b/>
                <w:sz w:val="17"/>
              </w:rPr>
              <w:t>F-04</w:t>
              <w:br/>
              <w:t>риск/исправлено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ЕАЭС: Правовой режим ЕАЭС отделен от сервисного проекта «Работа в ЕАЭС»; Узбекистан/Таджикистан не являются ЕАЭС.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FEF3C7"/>
          </w:tcPr>
          <w:p>
            <w:r/>
            <w:r>
              <w:rPr>
                <w:b/>
                <w:sz w:val="17"/>
              </w:rPr>
              <w:t>F-05</w:t>
              <w:br/>
              <w:t>source_gap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ВЦИОМ: Презентация ВЦИОМ является аналитическим claim source, не НПА; социальное сопротивление требует социологических подтверждений.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DCFCE7"/>
          </w:tcPr>
          <w:p>
            <w:r/>
            <w:r>
              <w:rPr>
                <w:b/>
                <w:sz w:val="17"/>
              </w:rPr>
              <w:t>F-06</w:t>
              <w:br/>
              <w:t>подтверждено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Forensic: Timeout/stub источники сохранены в provenance и закрыты fallback-зеркалами, где возможно.</w:t>
            </w:r>
          </w:p>
        </w:tc>
      </w:tr>
    </w:tbl>
    <w:p/>
    <w:p>
      <w:pPr>
        <w:pStyle w:val="Heading1"/>
      </w:pPr>
      <w:r>
        <w:t>Карта корпуса</w:t>
      </w:r>
    </w:p>
    <w:p>
      <w:r>
        <w:t>Корпус разделен на первичные НПА/международные нормы, ведомственные информационные источники, вторичные обзоры, аналитические claims и provenance/fallback-слой. Ранг 1 всегда выше ранга 2/3/4.</w:t>
      </w:r>
    </w:p>
    <w:p>
      <w:pPr>
        <w:pStyle w:val="Heading1"/>
      </w:pPr>
      <w:r>
        <w:t>Матрица тем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ИД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Основные НПА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Вторичные источники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Риск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Инвестиционный ВНЖ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D18, D20, D27, D11, D19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ruID / целевой цифровой въезд / биометрия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D21, D22, D23, D17, D19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D09, D10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Миграционный учет и уведомления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D06, D14, D24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D09, D10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Правовое положение, трудовая деятельность, патенты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D11, D24, D12, D13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D09, D10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Выезд/въезд и цифровое заявление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D19, D21, D22, D23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D10, D09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ЕАЭС и «Работа в ЕАЭС»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D26, D11, D19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Узбекистан/Таджикистан: не-ЕАЭС режим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D11, D12, D13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Режим высылки и реестр контролируемых лиц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D15, D11, D06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D09, D03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Госпошлины, НДФЛ, патенты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D12, D16, D24, D11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КоАП и ответственность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D13, D25, D11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T11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Концепции и планы реализации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D04, D05, D07, D08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T12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Образовательная / интеллектуальная миграция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D04, D08, D11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T13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Сопротивление миграции / межнациональная напряженность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D04, D08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T14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Forensic/provenance layer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D01, D02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D10, D18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</w:tr>
    </w:tbl>
    <w:p>
      <w:pPr>
        <w:pStyle w:val="Heading1"/>
      </w:pPr>
      <w:r>
        <w:t>Трасса доказательства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Тезис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Источник тезиса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Первичный НПА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Действие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Брошюра Минэка по ВНЖ инвестора указывает критерии инвестора и ссылается на ПП №2573.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Брошюра Минэка ВНЖ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№2573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Оставить брошюру как информационный пересказ, первичным основанием считать ПП №2573.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№1375 найден как поправка к ПП №2573.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№2573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№2573 / ПП №1375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Проверить, какие пункты ПП2573 изменены ПП1375, и обновить карточки Минэка.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Брошюра может отражать не полностью актуальную редакцию после поправки ПП1375.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Брошюра Минэка ВНЖ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№1375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manual_review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Юрист должен сверить каждую сумму/критерий с консолидированной редакцией ПП2573.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ПП1562 вносит изменения в ПП1510.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№1510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№1510 / ПП №1562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Использовать ПП1510+1562 как текущую редакционную карту до вступления ПП468.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ПП468 изменяет ПП1510 с будущей датой вступления.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№1510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ПП №1510 / ПП №468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 матрице разделить текущую и перспективную редакции.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Указ №467 задает цифровой профиль как президентский контур.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Указ №467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Указ №467 / ПП №1510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Развести указ как стратегическое основание и ПП1510 как экспериментальный механизм.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270-ФЗ меняет 109-ФЗ в части учета/размещения/уведомлений.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109-ФЗ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109-ФЗ / 270-ФЗ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Обновить claims Клерка и Минэка по учету после 270-ФЗ.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270-ФЗ меняет 115-ФЗ, включая миграционные действия и патентный контур.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115-ФЗ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115-ФЗ / 270-ФЗ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Использовать 115-ФЗ в редакции с 270-ФЗ.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281-ФЗ меняет КоАП, но не является самостоятельным описанием всех миграционных составов.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КоАП РФ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КоАП РФ / 281-ФЗ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Проверять claims по ответственности на уровне конкретных статей КоАП.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Минэк/проект «Работа в ЕАЭС» имеет сервисный охват, который может быть шире ЕАЭС.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Минэк страница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Договор ЕАЭС ст. 96-98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contradiction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Не писать, что Узбекистан и Таджикистан входят в ЕАЭС.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Для граждан ЕАЭС разрешение на трудовую деятельность не требуется по ст.97 Договора ЕАЭС.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Договор ЕАЭС ст. 96-98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Договор ЕАЭС ст. 96-98 / 115-ФЗ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Разделить ЕАЭС и не-ЕАЭС режимы в Минэк/Клерк.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Узбекистан/Таджикистан фигурируют в сервисной логике проекта/приложения.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Минэк страница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115-ФЗ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manual_review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Проверить отдельные режимы для Узбекистана/Таджикистана по 115-ФЗ, патентам и соглашениям.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ВЦИОМ говорит о сопротивлении миграции и межнациональной напряженности как аналитическом вызове.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ВЦИОМ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Концепция 2026-2030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Не маркировать ВЦИОМ как НПА; использовать как claim source.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ВЦИОМ утверждает слабую интеграцию трудовых мигрантов.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ВЦИОМ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План 4171-р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Claim подтверждается направлением мер, но требует соцстатистики для уровня напряженности.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ВЦИОМ: стимулирование образовательной и интеллектуальной миграции.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ВЦИОМ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Концепция 2026-2030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match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4"/>
              </w:rPr>
              <w:t>Оставить как совместимый аналитический тезис.</w:t>
            </w:r>
          </w:p>
        </w:tc>
      </w:tr>
    </w:tbl>
    <w:p>
      <w:pPr>
        <w:pStyle w:val="Heading1"/>
      </w:pPr>
      <w:r>
        <w:t>Риски и ручная проверка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ИД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Что сделать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Инвестиционный ВНЖ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ПП №1375 найден как поправка к ПП №2573.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Проверить, какие пункты ПП2573 изменены ПП1375, и обновить карточки Минэка.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Инвестиционный ВНЖ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manual_review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Брошюра может отражать не полностью актуальную редакцию после поправки ПП1375.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Юрист должен сверить каждую сумму/критерий с консолидированной редакцией ПП2573.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Миграционный учет и уведомления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270-ФЗ меняет 109-ФЗ в части учета/размещения/уведомлений.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Обновить claims Клерка и Минэка по учету после 270-ФЗ.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Правовое положение, трудовая деятельность, патенты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270-ФЗ меняет 115-ФЗ, включая миграционные действия и патентный контур.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Использовать 115-ФЗ в редакции с 270-ФЗ.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ЕАЭС и «Работа в ЕАЭС»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contradiction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Минэк/проект «Работа в ЕАЭС» имеет сервисный охват, который может быть шире ЕАЭС.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Не писать, что Узбекистан и Таджикистан входят в ЕАЭС.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ЕАЭС и «Работа в ЕАЭС»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Для граждан ЕАЭС разрешение на трудовую деятельность не требуется по ст.97 Договора ЕАЭС.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Разделить ЕАЭС и не-ЕАЭС режимы в Минэк/Клерк.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Узбекистан/Таджикистан: не-ЕАЭС режим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manual_review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Узбекистан/Таджикистан фигурируют в сервисной логике проекта/приложения.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Проверить отдельные режимы для Узбекистана/Таджикистана по 115-ФЗ, патентам и соглашениям.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Forensic/provenance layer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source_gap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Минэк official URL имел timeout, но локальный MHT/PDF snapshot сохранен.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Фиксировать official URL недоступность и local snapshot.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R-009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Forensic/provenance layer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source_gap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Official publication 270-ФЗ имел failed_curl_28; fallback Garant/Kontur доступны.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 источниках указать provenance-risk.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ruID / целевой цифровой въезд / биометрия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ПП468 изменяет ПП1510 с будущей датой вступления.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 матрице разделить текущую и перспективную редакции.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КоАП и ответственность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281-ФЗ меняет КоАП, но не является самостоятельным описанием всех миграционных составов.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Проверять claims по ответственности на уровне конкретных статей КоАП.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Сопротивление миграции / межнациональная напряженность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ВЦИОМ говорит о сопротивлении миграции и межнациональной напряженности как аналитическом вызове.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Не маркировать ВЦИОМ как НПА; использовать как claim source.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Сопротивление миграции / межнациональная напряженность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match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низкий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ВЦИОМ утверждает слабую интеграцию трудовых мигрантов.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Claim подтверждается направлением мер, но требует соцстатистики для уровня напряженности.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Госпошлины, НДФЛ, патенты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Клерк описывает НДФЛ/патенты/госпошлины.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Разложить каждый налоговый claim по статье НК РФ.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КоАП и ответственность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Клерк описывает ответственность работодателей.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Проверить точные суммы/составы по действующей редакции КоАП.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Forensic/provenance layer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ПП2573 official URL мог быть недоступен/stub, но mirror/fallback тексты найдены.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Указать legal database mirror как источник консолидации.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Концепции и планы реализации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Системное перекрестное сопоставление: ВЦИОМ ↔ Концепция 2026-2030.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Включено в интегральную карту покрытия; подробное юридическое событие формируется только для релевантных тематических пересечений.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Концепции и планы реализации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Системное перекрестное сопоставление: ВЦИОМ ↔ План 4171-р.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Включено в интегральную карту покрытия; подробное юридическое событие формируется только для релевантных тематических пересечений.</w:t>
            </w:r>
          </w:p>
        </w:tc>
      </w:tr>
    </w:tbl>
    <w:p>
      <w:pPr>
        <w:pStyle w:val="Heading1"/>
      </w:pPr>
      <w:r>
        <w:t>Что нельзя утверждать публично без ручной проверки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утверждать, что Узбекистан и Таджикистан входят в ЕАЭС.</w:t>
      </w:r>
    </w:p>
    <w:p>
      <w:r>
        <w:t>Правовой режим ЕАЭС распространяется на государства-члены; сервисный проект может быть шире.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считать брошюру Минэка первичным правовым основанием ВНЖ инвестора.</w:t>
      </w:r>
    </w:p>
    <w:p>
      <w:r>
        <w:t>Первичный источник - ПП2573 с учетом ПП1375.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использовать ВЦИОМ как НПА.</w:t>
      </w:r>
    </w:p>
    <w:p>
      <w:r>
        <w:t>Это аналитическая презентация; claims требуют НПА/социологии.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читать ПП1510 без ПП1562/ПП468.</w:t>
      </w:r>
    </w:p>
    <w:p>
      <w:r>
        <w:t>Текущий и перспективный редакционные слои нужно разделять.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подменять КоАП 18.x законом 281-ФЗ.</w:t>
      </w:r>
    </w:p>
    <w:p>
      <w:r>
        <w:t>281-ФЗ - слой изменений, основа - действующие статьи КоАП.</w:t>
      </w:r>
    </w:p>
    <w:p>
      <w:pPr>
        <w:pStyle w:val="Heading1"/>
      </w:pPr>
      <w:r>
        <w:t>Ограничения</w:t>
      </w:r>
    </w:p>
    <w:p>
      <w:pPr>
        <w:pStyle w:val="ListBullet"/>
      </w:pPr>
      <w:r>
        <w:t>Материал не является юридическим заключением.</w:t>
      </w:r>
    </w:p>
    <w:p>
      <w:pPr>
        <w:pStyle w:val="ListBullet"/>
      </w:pPr>
      <w:r>
        <w:t>В части официальных URL с timeout/stub используется fallback-зеркало с явной пометкой provenance-risk.</w:t>
      </w:r>
    </w:p>
    <w:p>
      <w:pPr>
        <w:pStyle w:val="ListBullet"/>
      </w:pPr>
      <w:r>
        <w:t>ВЦИОМ claims требуют отдельной социологической валидации, если их использовать в публичной коммуникации.</w:t>
      </w:r>
    </w:p>
    <w:p>
      <w:pPr>
        <w:pStyle w:val="ListBullet"/>
      </w:pPr>
      <w:r>
        <w:t>ПП1510 имеет текущий и перспективный редакционные слои: их нельзя смешивать.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