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A6F"/>
          <w:sz w:val="44"/>
        </w:rPr>
        <w:t>Редакционный diff</w:t>
      </w:r>
    </w:p>
    <w:p>
      <w:pPr>
        <w:jc w:val="center"/>
      </w:pPr>
      <w:r>
        <w:rPr>
          <w:color w:val="475569"/>
          <w:sz w:val="22"/>
        </w:rPr>
        <w:t>Красное - убрать/уточнить; зеленое - использовать как корректную формулировку</w:t>
      </w:r>
    </w:p>
    <w:p>
      <w:pPr>
        <w:jc w:val="center"/>
      </w:pPr>
      <w:r>
        <w:rPr>
          <w:i/>
        </w:rPr>
        <w:t>Сгенерировано: 2026-05-09 03:28 | Не является юридическим заключением</w:t>
      </w:r>
    </w:p>
    <w:p>
      <w:pPr>
        <w:pStyle w:val="Heading1"/>
      </w:pPr>
      <w:r>
        <w:t>Как читать</w:t>
      </w:r>
    </w:p>
    <w:p>
      <w:r>
        <w:t>Красные формулировки являются рискованными, устаревшими или некорректными переносами нормы. Зеленые формулировки являются более точными replacement-формулировками с указанием основания.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Цвет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Формулировка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Основание / статус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ЕАЭС</w:t>
            </w:r>
          </w:p>
        </w:tc>
        <w:tc>
          <w:tcPr>
            <w:tcW w:type="dxa" w:w="2131"/>
            <w:vAlign w:val="top"/>
            <w:shd w:fill="FECACA"/>
          </w:tcPr>
          <w:p>
            <w:r/>
            <w:r>
              <w:rPr>
                <w:b w:val="0"/>
                <w:sz w:val="15"/>
              </w:rPr>
              <w:t>красный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Узбекистан и Таджикистан входят в блок ЕАЭС.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Некорректный перенос сервисного охвата на правовой режим. Основание: Договор ЕАЭС ст.96-98; статус: manual_review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ЕАЭС</w:t>
            </w:r>
          </w:p>
        </w:tc>
        <w:tc>
          <w:tcPr>
            <w:tcW w:type="dxa" w:w="2131"/>
            <w:vAlign w:val="top"/>
            <w:shd w:fill="DCFCE7"/>
          </w:tcPr>
          <w:p>
            <w:r/>
            <w:r>
              <w:rPr>
                <w:b w:val="0"/>
                <w:sz w:val="15"/>
              </w:rPr>
              <w:t>зеленый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Проект/приложение «Работа в ЕАЭС» может иметь сервисный охват шире ЕАЭС; режим Узбекистана/Таджикистана проверяется отдельно.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Корректное разграничение правового режима и сервиса. Основание: D26 + D11; статус: match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ruID</w:t>
            </w:r>
          </w:p>
        </w:tc>
        <w:tc>
          <w:tcPr>
            <w:tcW w:type="dxa" w:w="2131"/>
            <w:vAlign w:val="top"/>
            <w:shd w:fill="FECACA"/>
          </w:tcPr>
          <w:p>
            <w:r/>
            <w:r>
              <w:rPr>
                <w:b w:val="0"/>
                <w:sz w:val="15"/>
              </w:rPr>
              <w:t>красный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ПП1510 действует как единый неизменный акт.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Не учитывает ПП1562 и перспективную правку ПП468. Основание: D21-D23; статус: outdated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ruID</w:t>
            </w:r>
          </w:p>
        </w:tc>
        <w:tc>
          <w:tcPr>
            <w:tcW w:type="dxa" w:w="2131"/>
            <w:vAlign w:val="top"/>
            <w:shd w:fill="DCFCE7"/>
          </w:tcPr>
          <w:p>
            <w:r/>
            <w:r>
              <w:rPr>
                <w:b w:val="0"/>
                <w:sz w:val="15"/>
              </w:rPr>
              <w:t>зеленый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ПП1510 читать в текущей редакции с ПП1562; перспективный слой с ПП468 выделять отдельно.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Редакционная карта корректна. Основание: D21-D23; статус: match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ВНЖ инвестора</w:t>
            </w:r>
          </w:p>
        </w:tc>
        <w:tc>
          <w:tcPr>
            <w:tcW w:type="dxa" w:w="2131"/>
            <w:vAlign w:val="top"/>
            <w:shd w:fill="FECACA"/>
          </w:tcPr>
          <w:p>
            <w:r/>
            <w:r>
              <w:rPr>
                <w:b w:val="0"/>
                <w:sz w:val="15"/>
              </w:rPr>
              <w:t>красный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Брошюра Минэка сама подтверждает все критерии ВНЖ инвестора.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Брошюра не первичный НПА. Основание: D18; статус: manual_review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ВНЖ инвестора</w:t>
            </w:r>
          </w:p>
        </w:tc>
        <w:tc>
          <w:tcPr>
            <w:tcW w:type="dxa" w:w="2131"/>
            <w:vAlign w:val="top"/>
            <w:shd w:fill="DCFCE7"/>
          </w:tcPr>
          <w:p>
            <w:r/>
            <w:r>
              <w:rPr>
                <w:b w:val="0"/>
                <w:sz w:val="15"/>
              </w:rPr>
              <w:t>зеленый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Критерии инвестора подтверждать по ПП2573 с учетом ПП1375; брошюру использовать как справочный пересказ.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НПА имеет приоритет. Основание: D20+D27; статус: match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ВЦИОМ</w:t>
            </w:r>
          </w:p>
        </w:tc>
        <w:tc>
          <w:tcPr>
            <w:tcW w:type="dxa" w:w="2131"/>
            <w:vAlign w:val="top"/>
            <w:shd w:fill="FECACA"/>
          </w:tcPr>
          <w:p>
            <w:r/>
            <w:r>
              <w:rPr>
                <w:b w:val="0"/>
                <w:sz w:val="15"/>
              </w:rPr>
              <w:t>красный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ВЦИОМ доказал юридическую норму о сопротивлении миграции.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Слайды ВЦИОМ являются аналитическими claims, не НПА. Основание: D03; статус: source_gap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ВЦИОМ</w:t>
            </w:r>
          </w:p>
        </w:tc>
        <w:tc>
          <w:tcPr>
            <w:tcW w:type="dxa" w:w="2131"/>
            <w:vAlign w:val="top"/>
            <w:shd w:fill="DCFCE7"/>
          </w:tcPr>
          <w:p>
            <w:r/>
            <w:r>
              <w:rPr>
                <w:b w:val="0"/>
                <w:sz w:val="15"/>
              </w:rPr>
              <w:t>зеленый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Claim ВЦИОМ о сопротивлении миграции требует социологических подтверждений; НПА используются только для мер интеграции/контроля.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Разделены НПА и социология. Основание: D03+D04+D08; статус: partial_overlap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КоАП</w:t>
            </w:r>
          </w:p>
        </w:tc>
        <w:tc>
          <w:tcPr>
            <w:tcW w:type="dxa" w:w="2131"/>
            <w:vAlign w:val="top"/>
            <w:shd w:fill="FECACA"/>
          </w:tcPr>
          <w:p>
            <w:r/>
            <w:r>
              <w:rPr>
                <w:b w:val="0"/>
                <w:sz w:val="15"/>
              </w:rPr>
              <w:t>красный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281-ФЗ является основным источником по всем миграционным штрафам.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281-ФЗ - change layer; основа - конкретные статьи КоАП. Основание: D25; статус: partial_overlap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RG-010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КоАП</w:t>
            </w:r>
          </w:p>
        </w:tc>
        <w:tc>
          <w:tcPr>
            <w:tcW w:type="dxa" w:w="2131"/>
            <w:vAlign w:val="top"/>
            <w:shd w:fill="DCFCE7"/>
          </w:tcPr>
          <w:p>
            <w:r/>
            <w:r>
              <w:rPr>
                <w:b w:val="0"/>
                <w:sz w:val="15"/>
              </w:rPr>
              <w:t>зеленый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По ответственности использовать КоАП 18.8/18.9/18.10/18.15; 281-ФЗ учитывать как слой изменений.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Корректный источник. Основание: D13+D25; статус: match</w:t>
            </w:r>
          </w:p>
        </w:tc>
      </w:tr>
    </w:tbl>
    <w:p>
      <w:pPr>
        <w:pStyle w:val="Heading1"/>
      </w:pPr>
      <w:r>
        <w:t>Итоговая логика правки</w:t>
      </w:r>
    </w:p>
    <w:p>
      <w:pPr>
        <w:pStyle w:val="ListBullet"/>
      </w:pPr>
      <w:r>
        <w:t>Заменить опасные summary-формулировки на evidence-backed формулы.</w:t>
      </w:r>
    </w:p>
    <w:p>
      <w:pPr>
        <w:pStyle w:val="ListBullet"/>
      </w:pPr>
      <w:r>
        <w:t>В каждом спорном месте указывать: документ, норму/пункт, статус и необходимость ручной проверки.</w:t>
      </w:r>
    </w:p>
    <w:p>
      <w:pPr>
        <w:pStyle w:val="ListBullet"/>
      </w:pPr>
      <w:r>
        <w:t>Не выдавать secondary source за НПА.</w:t>
      </w:r>
    </w:p>
    <w:p>
      <w:pPr>
        <w:pStyle w:val="ListBullet"/>
      </w:pPr>
      <w:r>
        <w:t>Разделить правовой режим, сервисный охват и аналитический claim.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