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Times New Roman" w:hAnsi="Times New Roman"/>
          <w:b/>
          <w:sz w:val="32"/>
        </w:rPr>
        <w:t>DESAIN SISTEM &amp; ARSITEKTUR TEKNIS PLATFORM GENESIS</w:t>
        <w:br/>
      </w:r>
    </w:p>
    <w:p>
      <w:pPr>
        <w:spacing w:after="2800"/>
        <w:jc w:val="center"/>
      </w:pPr>
      <w:r>
        <w:rPr>
          <w:rFonts w:ascii="Times New Roman" w:hAnsi="Times New Roman"/>
          <w:i/>
          <w:sz w:val="26"/>
        </w:rPr>
        <w:t>Platform Crowdsourcing Lingkungan Berbasis Kecerdasan Artifisial untuk Mendukung Tata Kelola Lingkungan yang Partisipatif dan Pengambilan Keputusan Berbasis Data</w:t>
        <w:br/>
        <w:br/>
        <w:t>STUDI KASUS 2 — LINGKUNGAN: MENDUKUNG AKSI IKLIM LOKAL</w:t>
      </w:r>
    </w:p>
    <w:p>
      <w:pPr>
        <w:spacing w:after="200"/>
        <w:jc w:val="center"/>
      </w:pPr>
      <w:r>
        <w:rPr>
          <w:rFonts w:ascii="Times New Roman" w:hAnsi="Times New Roman"/>
          <w:b/>
          <w:sz w:val="24"/>
        </w:rPr>
        <w:t>EKSHIBISI TEKNOLOGI AI — LKS NASIONAL 2026</w:t>
        <w:br/>
        <w:t>Disusun Oleh:</w:t>
        <w:br/>
        <w:t>Tim Pengembang Antigravity Genesis</w:t>
        <w:br/>
        <w:t>Republik Indonesia</w:t>
        <w:br/>
        <w:t>2026</w:t>
      </w:r>
    </w:p>
    <w:p>
      <w:r>
        <w:br w:type="page"/>
      </w:r>
    </w:p>
    <w:p>
      <w:pPr>
        <w:keepNext/>
        <w:spacing w:before="360" w:after="80" w:line="276" w:lineRule="auto"/>
        <w:jc w:val="left"/>
      </w:pPr>
      <w:r>
        <w:rPr>
          <w:rFonts w:ascii="Times New Roman" w:hAnsi="Times New Roman"/>
          <w:b/>
          <w:color w:val="000000"/>
          <w:sz w:val="24"/>
        </w:rPr>
        <w:t>1.1 Ringkasan Eksekutif</w:t>
      </w:r>
    </w:p>
    <w:p>
      <w:pPr>
        <w:spacing w:before="0" w:after="80" w:line="360" w:lineRule="auto"/>
        <w:ind w:firstLine="720"/>
        <w:jc w:val="both"/>
      </w:pPr>
      <w:r>
        <w:rPr>
          <w:rFonts w:ascii="Times New Roman" w:hAnsi="Times New Roman"/>
          <w:b w:val="0"/>
          <w:i w:val="0"/>
          <w:color w:val="000000"/>
          <w:sz w:val="24"/>
        </w:rPr>
        <w:t>Sistem tata kelola lingkungan modern menuntut adanya integrasi yang erat antara peran aktif masyarakat luas (</w:t>
      </w:r>
      <w:r>
        <w:rPr>
          <w:rFonts w:ascii="Times New Roman" w:hAnsi="Times New Roman"/>
          <w:b w:val="0"/>
          <w:i/>
          <w:color w:val="000000"/>
          <w:sz w:val="24"/>
        </w:rPr>
        <w:t>crowdsourcing</w:t>
      </w:r>
      <w:r>
        <w:rPr>
          <w:rFonts w:ascii="Times New Roman" w:hAnsi="Times New Roman"/>
          <w:b w:val="0"/>
          <w:i w:val="0"/>
          <w:color w:val="000000"/>
          <w:sz w:val="24"/>
        </w:rPr>
        <w:t xml:space="preserve">) dengan pemrosesan data otomatis berbasis kecerdasan artifisial. Platform </w:t>
      </w:r>
      <w:r>
        <w:rPr>
          <w:rFonts w:ascii="Times New Roman" w:hAnsi="Times New Roman"/>
          <w:b/>
          <w:i w:val="0"/>
          <w:color w:val="000000"/>
          <w:sz w:val="24"/>
        </w:rPr>
        <w:t>Genesis</w:t>
      </w:r>
      <w:r>
        <w:rPr>
          <w:rFonts w:ascii="Times New Roman" w:hAnsi="Times New Roman"/>
          <w:b w:val="0"/>
          <w:i w:val="0"/>
          <w:color w:val="000000"/>
          <w:sz w:val="24"/>
        </w:rPr>
        <w:t xml:space="preserve"> dikembangkan untuk mengatasi ketimpangan koordinasi penanganan laporan lingkungan hidup di Indonesia dengan menyajikan arsitektur multi-layanan yang handal, cepat, aman, dan dapat dipertanggungjawabkan (</w:t>
      </w:r>
      <w:r>
        <w:rPr>
          <w:rFonts w:ascii="Times New Roman" w:hAnsi="Times New Roman"/>
          <w:b w:val="0"/>
          <w:i/>
          <w:color w:val="000000"/>
          <w:sz w:val="24"/>
        </w:rPr>
        <w:t>Responsible AI</w:t>
      </w:r>
      <w:r>
        <w:rPr>
          <w:rFonts w:ascii="Times New Roman" w:hAnsi="Times New Roman"/>
          <w:b w:val="0"/>
          <w:i w:val="0"/>
          <w:color w:val="000000"/>
          <w:sz w:val="24"/>
        </w:rPr>
        <w:t>). Dokumen teknis ini memaparkan rancangan struktural, pipeline transmisi data, sistem penalaran kognitif AI, hingga aspek gamifikasi yang mendasari keandalan platform Genesis.</w:t>
      </w:r>
    </w:p>
    <w:p>
      <w:pPr>
        <w:keepNext/>
        <w:spacing w:before="240" w:after="80" w:line="276" w:lineRule="auto"/>
        <w:jc w:val="left"/>
      </w:pPr>
      <w:r>
        <w:rPr>
          <w:rFonts w:ascii="Times New Roman" w:hAnsi="Times New Roman"/>
          <w:b/>
          <w:color w:val="000000"/>
          <w:sz w:val="24"/>
        </w:rPr>
        <w:t>1.2 Latar Belakang dan Batasan Masalah</w:t>
      </w:r>
    </w:p>
    <w:p>
      <w:pPr>
        <w:spacing w:before="0" w:after="80" w:line="360" w:lineRule="auto"/>
        <w:ind w:firstLine="720"/>
        <w:jc w:val="both"/>
      </w:pPr>
      <w:r>
        <w:rPr>
          <w:rFonts w:ascii="Times New Roman" w:hAnsi="Times New Roman"/>
          <w:b w:val="0"/>
          <w:i w:val="0"/>
          <w:color w:val="000000"/>
          <w:sz w:val="24"/>
        </w:rPr>
        <w:t xml:space="preserve">Aksi iklim lokal sering kali terhambat oleh lambatnya proses verifikasi administratif dan keterbatasan data spasial real-time bagi Dinas Lingkungan Hidup (DLH). Laporan yang dikirimkan warga kerap berulang, tidak memiliki koordinat presisi, serta mengandung informasi sensitif pribadi yang melanggar privasi publik. Genesis mengatasi hal tersebut melalui integrasi sistem validasi spasial </w:t>
      </w:r>
      <w:r>
        <w:rPr>
          <w:rFonts w:ascii="Times New Roman" w:hAnsi="Times New Roman"/>
          <w:b/>
          <w:i w:val="0"/>
          <w:color w:val="000000"/>
          <w:sz w:val="24"/>
        </w:rPr>
        <w:t>PostGIS</w:t>
      </w:r>
      <w:r>
        <w:rPr>
          <w:rFonts w:ascii="Times New Roman" w:hAnsi="Times New Roman"/>
          <w:b w:val="0"/>
          <w:i/>
          <w:color w:val="000000"/>
          <w:sz w:val="24"/>
        </w:rPr>
        <w:t>, sensor buram wajah in-memory, serta perutean model kecerdasan artifisial dinamis (</w:t>
      </w:r>
      <w:r>
        <w:rPr>
          <w:rFonts w:ascii="Times New Roman" w:hAnsi="Times New Roman"/>
          <w:b w:val="0"/>
          <w:i/>
          <w:color w:val="000000"/>
          <w:sz w:val="24"/>
        </w:rPr>
        <w:t>dynamic model routing</w:t>
      </w:r>
      <w:r>
        <w:rPr>
          <w:rFonts w:ascii="Times New Roman" w:hAnsi="Times New Roman"/>
          <w:b w:val="0"/>
          <w:i w:val="0"/>
          <w:color w:val="000000"/>
          <w:sz w:val="24"/>
        </w:rPr>
        <w:t>) untuk menjamin skalabilitas operasional dan efisiensi biaya secara berkelanjutan.</w:t>
      </w:r>
    </w:p>
    <w:p>
      <w:r>
        <w:br w:type="page"/>
      </w:r>
    </w:p>
    <w:p>
      <w:pPr>
        <w:keepNext/>
        <w:spacing w:before="360" w:after="80" w:line="276" w:lineRule="auto"/>
        <w:jc w:val="left"/>
      </w:pPr>
      <w:r>
        <w:rPr>
          <w:rFonts w:ascii="Times New Roman" w:hAnsi="Times New Roman"/>
          <w:b/>
          <w:color w:val="000000"/>
          <w:sz w:val="24"/>
        </w:rPr>
        <w:t>2.1 Arsitektur Enterprise Sistem</w:t>
      </w:r>
    </w:p>
    <w:p>
      <w:pPr>
        <w:spacing w:before="0" w:after="80" w:line="360" w:lineRule="auto"/>
        <w:ind w:firstLine="720"/>
        <w:jc w:val="both"/>
      </w:pPr>
      <w:r>
        <w:rPr>
          <w:rFonts w:ascii="Times New Roman" w:hAnsi="Times New Roman"/>
          <w:b w:val="0"/>
          <w:i/>
          <w:color w:val="000000"/>
          <w:sz w:val="24"/>
        </w:rPr>
        <w:t>Arsitektur platform Genesis dirancang menggunakan pola multitier yang kokoh untuk memisahkan tanggung jawab visual, logika bisnis, dan inferensi kecerdasan artifisial. Sistem terbagi menjadi empat lapisan utama: (1) Client Layer menggunakan Flutter dengan pola manajemen state BLoC dan dasbor administrasi berbasis Next.js, (2) Orchestration Layer berbasis NestJS Node.js, (3) Persistence Layer berbasis PostgreSQL/PostGIS, dan (4) Cognitive AI Layer berbasis Google Cloud Vertex AI SDK. Interaksi antar-komponen diatur menggunakan protokol komunikasi REST API terenkripsi dan Server-Sent Events (SSE) untuk transmisi data kecerdasan buatan secara real-time.</w:t>
      </w:r>
    </w:p>
    <w:p>
      <w:pPr>
        <w:spacing w:before="0" w:after="80" w:line="360" w:lineRule="auto"/>
        <w:ind w:firstLine="720"/>
        <w:jc w:val="both"/>
      </w:pPr>
      <w:r>
        <w:rPr>
          <w:rFonts w:ascii="Times New Roman" w:hAnsi="Times New Roman"/>
          <w:b w:val="0"/>
          <w:i w:val="0"/>
          <w:color w:val="000000"/>
          <w:sz w:val="24"/>
        </w:rPr>
        <w:t xml:space="preserve">Melalui arsitektur ini, seluruh kueri chatbot sederhana diproses otomatis oleh model berbiaya rendah dengan latensi ultra-rendah yaitu </w:t>
      </w:r>
      <w:r>
        <w:rPr>
          <w:rFonts w:ascii="Times New Roman" w:hAnsi="Times New Roman"/>
          <w:b/>
          <w:i w:val="0"/>
          <w:color w:val="000000"/>
          <w:sz w:val="24"/>
        </w:rPr>
        <w:t>Gemini 2.5 Flash Lite</w:t>
      </w:r>
      <w:r>
        <w:rPr>
          <w:rFonts w:ascii="Times New Roman" w:hAnsi="Times New Roman"/>
          <w:b w:val="0"/>
          <w:i w:val="0"/>
          <w:color w:val="000000"/>
          <w:sz w:val="24"/>
        </w:rPr>
        <w:t xml:space="preserve">. Sebaliknya, kueri kompleks yang membutuhkan penalaran regulasi hukum panjang, dokumen pembanding RAG, atau klasifikasi foto kerusakan lingkungan diarahkan ke model dengan kapasitas penalaran tinggi yaitu </w:t>
      </w:r>
      <w:r>
        <w:rPr>
          <w:rFonts w:ascii="Times New Roman" w:hAnsi="Times New Roman"/>
          <w:b/>
          <w:i w:val="0"/>
          <w:color w:val="000000"/>
          <w:sz w:val="24"/>
        </w:rPr>
        <w:t>Gemini 3.5 Flash</w:t>
      </w:r>
      <w:r>
        <w:rPr>
          <w:rFonts w:ascii="Times New Roman" w:hAnsi="Times New Roman"/>
          <w:b w:val="0"/>
          <w:i w:val="0"/>
          <w:color w:val="000000"/>
          <w:sz w:val="24"/>
        </w:rPr>
        <w:t>. Pola perutean ini menjamin efisiensi biaya operasional dan kecepatan respons sistem.</w:t>
      </w:r>
    </w:p>
    <w:p>
      <w:r>
        <w:br w:type="page"/>
      </w:r>
    </w:p>
    <w:p>
      <w:pPr>
        <w:keepNext/>
        <w:spacing w:before="360" w:after="80" w:line="276" w:lineRule="auto"/>
        <w:jc w:val="left"/>
      </w:pPr>
      <w:r>
        <w:rPr>
          <w:rFonts w:ascii="Times New Roman" w:hAnsi="Times New Roman"/>
          <w:b/>
          <w:color w:val="000000"/>
          <w:sz w:val="24"/>
        </w:rPr>
        <w:t>2.2 Visualisasi Skema Arsitektur &amp; Interaksi Komponen</w:t>
      </w:r>
    </w:p>
    <w:p>
      <w:pPr>
        <w:spacing w:before="0" w:after="80" w:line="360" w:lineRule="auto"/>
        <w:ind w:firstLine="720"/>
        <w:jc w:val="both"/>
      </w:pPr>
      <w:r>
        <w:rPr>
          <w:rFonts w:ascii="Times New Roman" w:hAnsi="Times New Roman"/>
          <w:b w:val="0"/>
          <w:i w:val="0"/>
          <w:color w:val="000000"/>
          <w:sz w:val="24"/>
        </w:rPr>
        <w:t>Guna memberikan pemahaman yang komprehensif bagi para arsitek sistem dan pengembang, berikut disajikan skema grafis arsitektur terintegrasi platform Genesis. Skema ini menunjukkan relasi hulu-ke-hilir dari pengiriman koordinat spasial warga hingga inferensi model AI di Google Cloud Platform (GCP).</w:t>
      </w:r>
    </w:p>
    <w:p>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genesis_architecture_concept.png"/>
                    <pic:cNvPicPr/>
                  </pic:nvPicPr>
                  <pic:blipFill>
                    <a:blip r:embed="rId9"/>
                    <a:stretch>
                      <a:fillRect/>
                    </a:stretch>
                  </pic:blipFill>
                  <pic:spPr>
                    <a:xfrm>
                      <a:off x="0" y="0"/>
                      <a:ext cx="5040000" cy="5040000"/>
                    </a:xfrm>
                    <a:prstGeom prst="rect"/>
                  </pic:spPr>
                </pic:pic>
              </a:graphicData>
            </a:graphic>
          </wp:inline>
        </w:drawing>
      </w:r>
    </w:p>
    <w:p>
      <w:pPr>
        <w:spacing w:before="80" w:after="160" w:line="240" w:lineRule="auto"/>
        <w:jc w:val="center"/>
      </w:pPr>
      <w:r>
        <w:rPr>
          <w:rFonts w:ascii="Times New Roman" w:hAnsi="Times New Roman"/>
          <w:i/>
          <w:color w:val="333333"/>
          <w:sz w:val="19"/>
        </w:rPr>
        <w:t>Gambar 1. Skema grafis arsitektur terpadu sistem cloud dan AI platform Genesis.</w:t>
      </w:r>
    </w:p>
    <w:p>
      <w:r>
        <w:br w:type="page"/>
      </w:r>
    </w:p>
    <w:p>
      <w:pPr>
        <w:keepNext/>
        <w:spacing w:before="360" w:after="80" w:line="276" w:lineRule="auto"/>
        <w:jc w:val="left"/>
      </w:pPr>
      <w:r>
        <w:rPr>
          <w:rFonts w:ascii="Times New Roman" w:hAnsi="Times New Roman"/>
          <w:b/>
          <w:color w:val="000000"/>
          <w:sz w:val="24"/>
        </w:rPr>
        <w:t>3.1 Pipeline Pemrosesan Citra &amp; Sensor Spasial</w:t>
      </w:r>
    </w:p>
    <w:p>
      <w:pPr>
        <w:spacing w:before="0" w:after="80" w:line="360" w:lineRule="auto"/>
        <w:ind w:firstLine="720"/>
        <w:jc w:val="both"/>
      </w:pPr>
      <w:r>
        <w:rPr>
          <w:rFonts w:ascii="Times New Roman" w:hAnsi="Times New Roman"/>
          <w:b w:val="0"/>
          <w:i/>
          <w:color w:val="000000"/>
          <w:sz w:val="24"/>
        </w:rPr>
        <w:t>Akurasi dan kepatuhan terhadap perlindungan privasi data warga merupakan prasyarat utama dalam aksi crowdsourcing lokal. Setiap berkas laporan multimedia yang dikirimkan oleh sensor kamera warga tidak langsung disimpan ke dalam storage utama. Sistem menerapkan pipeline pemrosesan in-memory menggunakan RAM server secara aman sebelum melakukan persistensi data.</w:t>
      </w:r>
    </w:p>
    <w:p>
      <w:pPr>
        <w:spacing w:before="0" w:after="80" w:line="360" w:lineRule="auto"/>
        <w:ind w:firstLine="720"/>
        <w:jc w:val="both"/>
      </w:pPr>
      <w:r>
        <w:rPr>
          <w:rFonts w:ascii="Times New Roman" w:hAnsi="Times New Roman"/>
          <w:b w:val="0"/>
          <w:i w:val="0"/>
          <w:color w:val="000000"/>
          <w:sz w:val="24"/>
        </w:rPr>
        <w:t xml:space="preserve">Tahapan pengolahan citra diawali dengan deteksi wajah dan nomor plat kendaraan bermotor melalui integrasi </w:t>
      </w:r>
      <w:r>
        <w:rPr>
          <w:rFonts w:ascii="Times New Roman" w:hAnsi="Times New Roman"/>
          <w:b/>
          <w:i w:val="0"/>
          <w:color w:val="000000"/>
          <w:sz w:val="24"/>
        </w:rPr>
        <w:t>Google Vision API</w:t>
      </w:r>
      <w:r>
        <w:rPr>
          <w:rFonts w:ascii="Times New Roman" w:hAnsi="Times New Roman"/>
          <w:b w:val="0"/>
          <w:i/>
          <w:color w:val="000000"/>
          <w:sz w:val="24"/>
        </w:rPr>
        <w:t xml:space="preserve">. Jika objek sensitif tersebut ditemukan, koordinat piksel dikirim ke modul pemrosesan gambar in-memory menggunakan pustaka </w:t>
      </w:r>
      <w:r>
        <w:rPr>
          <w:rFonts w:ascii="Times New Roman" w:hAnsi="Times New Roman"/>
          <w:b/>
          <w:i w:val="0"/>
          <w:color w:val="000000"/>
          <w:sz w:val="24"/>
        </w:rPr>
        <w:t>Sharp</w:t>
      </w:r>
      <w:r>
        <w:rPr>
          <w:rFonts w:ascii="Times New Roman" w:hAnsi="Times New Roman"/>
          <w:b w:val="0"/>
          <w:i/>
          <w:color w:val="000000"/>
          <w:sz w:val="24"/>
        </w:rPr>
        <w:t xml:space="preserve"> untuk diterapkan efek buram miring (blur). Setelah citra dinyatakan bersih (anonymized), berkas diunggah secara aman ke Google Cloud Storage (GCS) dan dianalisis kandungannya menggunakan model Gemini 3.5 Flash secara otomatis.</w:t>
      </w:r>
    </w:p>
    <w:p>
      <w:r>
        <w:br w:type="page"/>
      </w:r>
    </w:p>
    <w:p>
      <w:pPr>
        <w:keepNext/>
        <w:spacing w:before="360" w:after="80" w:line="276" w:lineRule="auto"/>
        <w:jc w:val="left"/>
      </w:pPr>
      <w:r>
        <w:rPr>
          <w:rFonts w:ascii="Times New Roman" w:hAnsi="Times New Roman"/>
          <w:b/>
          <w:color w:val="000000"/>
          <w:sz w:val="24"/>
        </w:rPr>
        <w:t>3.2 Tabel Tahapan Alur Kerja Data Spasial &amp; Citra AI</w:t>
      </w:r>
    </w:p>
    <w:p>
      <w:pPr>
        <w:spacing w:before="0" w:after="80" w:line="360" w:lineRule="auto"/>
        <w:ind w:firstLine="720"/>
        <w:jc w:val="both"/>
      </w:pPr>
      <w:r>
        <w:rPr>
          <w:rFonts w:ascii="Times New Roman" w:hAnsi="Times New Roman"/>
          <w:b w:val="0"/>
          <w:i/>
          <w:color w:val="000000"/>
          <w:sz w:val="24"/>
        </w:rPr>
        <w:t>Metode pengolahan citra dan validasi spasial dari hulu ke hilir dirangkum secara sistematis pada Tabel 1 di bawah ini, termasuk ambang batas verifikasi manual (Human-in-the-Loop) untuk menjamin kualitas data laporan.</w:t>
      </w:r>
    </w:p>
    <w:tbl>
      <w:tblPr>
        <w:tblW w:type="auto" w:w="0"/>
        <w:jc w:val="center"/>
        <w:tblLayout w:type="fixed"/>
        <w:tblLook w:firstColumn="1" w:firstRow="1" w:lastColumn="0" w:lastRow="0" w:noHBand="0" w:noVBand="1" w:val="04A0"/>
      </w:tblPr>
      <w:tblGrid>
        <w:gridCol w:w="1984"/>
        <w:gridCol w:w="1984"/>
        <w:gridCol w:w="1984"/>
        <w:gridCol w:w="1984"/>
      </w:tblGrid>
      <w:tr>
        <w:tc>
          <w:tcPr>
            <w:tcW w:type="dxa" w:w="567"/>
            <w:tcMar>
              <w:top w:w="60" w:type="dxa"/>
              <w:bottom w:w="60" w:type="dxa"/>
              <w:left w:w="100" w:type="dxa"/>
              <w:right w:w="10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No. </w:t>
            </w:r>
          </w:p>
        </w:tc>
        <w:tc>
          <w:tcPr>
            <w:tcW w:type="dxa" w:w="1701"/>
            <w:tcMar>
              <w:top w:w="60" w:type="dxa"/>
              <w:bottom w:w="60" w:type="dxa"/>
              <w:left w:w="100" w:type="dxa"/>
              <w:right w:w="10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Fase </w:t>
            </w:r>
          </w:p>
        </w:tc>
        <w:tc>
          <w:tcPr>
            <w:tcW w:type="dxa" w:w="3118"/>
            <w:tcMar>
              <w:top w:w="60" w:type="dxa"/>
              <w:bottom w:w="60" w:type="dxa"/>
              <w:left w:w="100" w:type="dxa"/>
              <w:right w:w="10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Aktivitas </w:t>
            </w:r>
            <w:r>
              <w:rPr>
                <w:rFonts w:ascii="Times New Roman" w:hAnsi="Times New Roman"/>
                <w:b/>
                <w:i w:val="0"/>
                <w:color w:val="000000"/>
                <w:sz w:val="20"/>
              </w:rPr>
              <w:t xml:space="preserve">Teknis </w:t>
            </w:r>
            <w:r>
              <w:rPr>
                <w:rFonts w:ascii="Times New Roman" w:hAnsi="Times New Roman"/>
                <w:b/>
                <w:i w:val="0"/>
                <w:color w:val="000000"/>
                <w:sz w:val="20"/>
              </w:rPr>
              <w:t xml:space="preserve">Utama </w:t>
            </w:r>
          </w:p>
        </w:tc>
        <w:tc>
          <w:tcPr>
            <w:tcW w:type="dxa" w:w="2551"/>
            <w:tcMar>
              <w:top w:w="60" w:type="dxa"/>
              <w:bottom w:w="60" w:type="dxa"/>
              <w:left w:w="100" w:type="dxa"/>
              <w:right w:w="10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Ambang </w:t>
            </w:r>
            <w:r>
              <w:rPr>
                <w:rFonts w:ascii="Times New Roman" w:hAnsi="Times New Roman"/>
                <w:b/>
                <w:i w:val="0"/>
                <w:color w:val="000000"/>
                <w:sz w:val="20"/>
              </w:rPr>
              <w:t xml:space="preserve">Batas </w:t>
            </w:r>
            <w:r>
              <w:rPr>
                <w:rFonts w:ascii="Times New Roman" w:hAnsi="Times New Roman"/>
                <w:b/>
                <w:i w:val="0"/>
                <w:color w:val="000000"/>
                <w:sz w:val="20"/>
              </w:rPr>
              <w:t xml:space="preserve">&amp; </w:t>
            </w:r>
            <w:r>
              <w:rPr>
                <w:rFonts w:ascii="Times New Roman" w:hAnsi="Times New Roman"/>
                <w:b/>
                <w:i w:val="0"/>
                <w:color w:val="000000"/>
                <w:sz w:val="20"/>
              </w:rPr>
              <w:t xml:space="preserve">Solusi </w:t>
            </w:r>
            <w:r>
              <w:rPr>
                <w:rFonts w:ascii="Times New Roman" w:hAnsi="Times New Roman"/>
                <w:b/>
                <w:i w:val="0"/>
                <w:color w:val="000000"/>
                <w:sz w:val="20"/>
              </w:rPr>
              <w:t xml:space="preserve">Teknologi </w:t>
            </w:r>
          </w:p>
        </w:tc>
      </w:tr>
      <w:tr>
        <w:tc>
          <w:tcPr>
            <w:tcW w:type="dxa" w:w="567"/>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1 </w:t>
            </w:r>
          </w:p>
        </w:tc>
        <w:tc>
          <w:tcPr>
            <w:tcW w:type="dxa" w:w="1701"/>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i w:val="0"/>
                <w:color w:val="000000"/>
                <w:sz w:val="20"/>
              </w:rPr>
              <w:t xml:space="preserve">Deduplikasi </w:t>
            </w:r>
            <w:r>
              <w:rPr>
                <w:rFonts w:ascii="Times New Roman" w:hAnsi="Times New Roman"/>
                <w:b/>
                <w:i w:val="0"/>
                <w:color w:val="000000"/>
                <w:sz w:val="20"/>
              </w:rPr>
              <w:t xml:space="preserve">Spasial </w:t>
            </w:r>
          </w:p>
        </w:tc>
        <w:tc>
          <w:tcPr>
            <w:tcW w:type="dxa" w:w="3118"/>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Pengecekan </w:t>
            </w:r>
            <w:r>
              <w:rPr>
                <w:rFonts w:ascii="Times New Roman" w:hAnsi="Times New Roman"/>
                <w:b w:val="0"/>
                <w:i w:val="0"/>
                <w:color w:val="000000"/>
                <w:sz w:val="20"/>
              </w:rPr>
              <w:t xml:space="preserve">koordinat </w:t>
            </w:r>
            <w:r>
              <w:rPr>
                <w:rFonts w:ascii="Times New Roman" w:hAnsi="Times New Roman"/>
                <w:b w:val="0"/>
                <w:i w:val="0"/>
                <w:color w:val="000000"/>
                <w:sz w:val="20"/>
              </w:rPr>
              <w:t xml:space="preserve">GPS </w:t>
            </w:r>
            <w:r>
              <w:rPr>
                <w:rFonts w:ascii="Times New Roman" w:hAnsi="Times New Roman"/>
                <w:b w:val="0"/>
                <w:i w:val="0"/>
                <w:color w:val="000000"/>
                <w:sz w:val="20"/>
              </w:rPr>
              <w:t xml:space="preserve">terhadap </w:t>
            </w:r>
            <w:r>
              <w:rPr>
                <w:rFonts w:ascii="Times New Roman" w:hAnsi="Times New Roman"/>
                <w:b w:val="0"/>
                <w:i w:val="0"/>
                <w:color w:val="000000"/>
                <w:sz w:val="20"/>
              </w:rPr>
              <w:t xml:space="preserve">laporan </w:t>
            </w:r>
            <w:r>
              <w:rPr>
                <w:rFonts w:ascii="Times New Roman" w:hAnsi="Times New Roman"/>
                <w:b w:val="0"/>
                <w:i w:val="0"/>
                <w:color w:val="000000"/>
                <w:sz w:val="20"/>
              </w:rPr>
              <w:t xml:space="preserve">aktif </w:t>
            </w:r>
            <w:r>
              <w:rPr>
                <w:rFonts w:ascii="Times New Roman" w:hAnsi="Times New Roman"/>
                <w:b w:val="0"/>
                <w:i w:val="0"/>
                <w:color w:val="000000"/>
                <w:sz w:val="20"/>
              </w:rPr>
              <w:t xml:space="preserve">menggunakan </w:t>
            </w:r>
            <w:r>
              <w:rPr>
                <w:rFonts w:ascii="Times New Roman" w:hAnsi="Times New Roman"/>
                <w:b w:val="0"/>
                <w:i w:val="0"/>
                <w:color w:val="000000"/>
                <w:sz w:val="20"/>
              </w:rPr>
              <w:t xml:space="preserve">fungsi </w:t>
            </w:r>
            <w:r>
              <w:rPr>
                <w:rFonts w:ascii="Times New Roman" w:hAnsi="Times New Roman"/>
                <w:b w:val="0"/>
                <w:i w:val="0"/>
                <w:color w:val="000000"/>
                <w:sz w:val="20"/>
              </w:rPr>
              <w:t xml:space="preserve">ST_DWithin. </w:t>
            </w:r>
          </w:p>
        </w:tc>
        <w:tc>
          <w:tcPr>
            <w:tcW w:type="dxa" w:w="2551"/>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Radius </w:t>
            </w:r>
            <w:r>
              <w:rPr>
                <w:rFonts w:ascii="Times New Roman" w:hAnsi="Times New Roman"/>
                <w:b w:val="0"/>
                <w:i w:val="0"/>
                <w:color w:val="000000"/>
                <w:sz w:val="20"/>
              </w:rPr>
              <w:t xml:space="preserve">50 </w:t>
            </w:r>
            <w:r>
              <w:rPr>
                <w:rFonts w:ascii="Times New Roman" w:hAnsi="Times New Roman"/>
                <w:b w:val="0"/>
                <w:i w:val="0"/>
                <w:color w:val="000000"/>
                <w:sz w:val="20"/>
              </w:rPr>
              <w:t xml:space="preserve">meter </w:t>
            </w:r>
            <w:r>
              <w:rPr>
                <w:rFonts w:ascii="Times New Roman" w:hAnsi="Times New Roman"/>
                <w:b w:val="0"/>
                <w:i w:val="0"/>
                <w:color w:val="000000"/>
                <w:sz w:val="20"/>
              </w:rPr>
              <w:t xml:space="preserve">&amp; </w:t>
            </w:r>
            <w:r>
              <w:rPr>
                <w:rFonts w:ascii="Times New Roman" w:hAnsi="Times New Roman"/>
                <w:b w:val="0"/>
                <w:i w:val="0"/>
                <w:color w:val="000000"/>
                <w:sz w:val="20"/>
              </w:rPr>
              <w:t xml:space="preserve">Jeda </w:t>
            </w:r>
            <w:r>
              <w:rPr>
                <w:rFonts w:ascii="Times New Roman" w:hAnsi="Times New Roman"/>
                <w:b w:val="0"/>
                <w:i w:val="0"/>
                <w:color w:val="000000"/>
                <w:sz w:val="20"/>
              </w:rPr>
              <w:t xml:space="preserve">12 </w:t>
            </w:r>
            <w:r>
              <w:rPr>
                <w:rFonts w:ascii="Times New Roman" w:hAnsi="Times New Roman"/>
                <w:b w:val="0"/>
                <w:i w:val="0"/>
                <w:color w:val="000000"/>
                <w:sz w:val="20"/>
              </w:rPr>
              <w:t xml:space="preserve">Jam </w:t>
            </w:r>
            <w:r>
              <w:rPr>
                <w:rFonts w:ascii="Times New Roman" w:hAnsi="Times New Roman"/>
                <w:b w:val="0"/>
                <w:i w:val="0"/>
                <w:color w:val="000000"/>
                <w:sz w:val="20"/>
              </w:rPr>
              <w:t xml:space="preserve">(PostGIS </w:t>
            </w:r>
            <w:r>
              <w:rPr>
                <w:rFonts w:ascii="Times New Roman" w:hAnsi="Times New Roman"/>
                <w:b w:val="0"/>
                <w:i w:val="0"/>
                <w:color w:val="000000"/>
                <w:sz w:val="20"/>
              </w:rPr>
              <w:t xml:space="preserve">Index). </w:t>
            </w:r>
          </w:p>
        </w:tc>
      </w:tr>
      <w:tr>
        <w:tc>
          <w:tcPr>
            <w:tcW w:type="dxa" w:w="567"/>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2 </w:t>
            </w:r>
          </w:p>
        </w:tc>
        <w:tc>
          <w:tcPr>
            <w:tcW w:type="dxa" w:w="1701"/>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i w:val="0"/>
                <w:color w:val="000000"/>
                <w:sz w:val="20"/>
              </w:rPr>
              <w:t xml:space="preserve">Sanitasi </w:t>
            </w:r>
            <w:r>
              <w:rPr>
                <w:rFonts w:ascii="Times New Roman" w:hAnsi="Times New Roman"/>
                <w:b/>
                <w:i w:val="0"/>
                <w:color w:val="000000"/>
                <w:sz w:val="20"/>
              </w:rPr>
              <w:t xml:space="preserve">PII </w:t>
            </w:r>
          </w:p>
        </w:tc>
        <w:tc>
          <w:tcPr>
            <w:tcW w:type="dxa" w:w="3118"/>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Mendeteksi </w:t>
            </w:r>
            <w:r>
              <w:rPr>
                <w:rFonts w:ascii="Times New Roman" w:hAnsi="Times New Roman"/>
                <w:b w:val="0"/>
                <w:i w:val="0"/>
                <w:color w:val="000000"/>
                <w:sz w:val="20"/>
              </w:rPr>
              <w:t xml:space="preserve">wajah </w:t>
            </w:r>
            <w:r>
              <w:rPr>
                <w:rFonts w:ascii="Times New Roman" w:hAnsi="Times New Roman"/>
                <w:b w:val="0"/>
                <w:i w:val="0"/>
                <w:color w:val="000000"/>
                <w:sz w:val="20"/>
              </w:rPr>
              <w:t xml:space="preserve">dan </w:t>
            </w:r>
            <w:r>
              <w:rPr>
                <w:rFonts w:ascii="Times New Roman" w:hAnsi="Times New Roman"/>
                <w:b w:val="0"/>
                <w:i w:val="0"/>
                <w:color w:val="000000"/>
                <w:sz w:val="20"/>
              </w:rPr>
              <w:t xml:space="preserve">nomor </w:t>
            </w:r>
            <w:r>
              <w:rPr>
                <w:rFonts w:ascii="Times New Roman" w:hAnsi="Times New Roman"/>
                <w:b w:val="0"/>
                <w:i w:val="0"/>
                <w:color w:val="000000"/>
                <w:sz w:val="20"/>
              </w:rPr>
              <w:t xml:space="preserve">plat </w:t>
            </w:r>
            <w:r>
              <w:rPr>
                <w:rFonts w:ascii="Times New Roman" w:hAnsi="Times New Roman"/>
                <w:b w:val="0"/>
                <w:i w:val="0"/>
                <w:color w:val="000000"/>
                <w:sz w:val="20"/>
              </w:rPr>
              <w:t xml:space="preserve">kendaraan </w:t>
            </w:r>
            <w:r>
              <w:rPr>
                <w:rFonts w:ascii="Times New Roman" w:hAnsi="Times New Roman"/>
                <w:b w:val="0"/>
                <w:i w:val="0"/>
                <w:color w:val="000000"/>
                <w:sz w:val="20"/>
              </w:rPr>
              <w:t xml:space="preserve">secara </w:t>
            </w:r>
            <w:r>
              <w:rPr>
                <w:rFonts w:ascii="Times New Roman" w:hAnsi="Times New Roman"/>
                <w:b w:val="0"/>
                <w:i/>
                <w:color w:val="000000"/>
                <w:sz w:val="20"/>
              </w:rPr>
              <w:t xml:space="preserve">in-memory </w:t>
            </w:r>
            <w:r>
              <w:rPr>
                <w:rFonts w:ascii="Times New Roman" w:hAnsi="Times New Roman"/>
                <w:b w:val="0"/>
                <w:i w:val="0"/>
                <w:color w:val="000000"/>
                <w:sz w:val="20"/>
              </w:rPr>
              <w:t xml:space="preserve">untuk </w:t>
            </w:r>
            <w:r>
              <w:rPr>
                <w:rFonts w:ascii="Times New Roman" w:hAnsi="Times New Roman"/>
                <w:b w:val="0"/>
                <w:i w:val="0"/>
                <w:color w:val="000000"/>
                <w:sz w:val="20"/>
              </w:rPr>
              <w:t xml:space="preserve">perlindungan </w:t>
            </w:r>
            <w:r>
              <w:rPr>
                <w:rFonts w:ascii="Times New Roman" w:hAnsi="Times New Roman"/>
                <w:b w:val="0"/>
                <w:i w:val="0"/>
                <w:color w:val="000000"/>
                <w:sz w:val="20"/>
              </w:rPr>
              <w:t xml:space="preserve">data </w:t>
            </w:r>
            <w:r>
              <w:rPr>
                <w:rFonts w:ascii="Times New Roman" w:hAnsi="Times New Roman"/>
                <w:b w:val="0"/>
                <w:i w:val="0"/>
                <w:color w:val="000000"/>
                <w:sz w:val="20"/>
              </w:rPr>
              <w:t xml:space="preserve">warga. </w:t>
            </w:r>
          </w:p>
        </w:tc>
        <w:tc>
          <w:tcPr>
            <w:tcW w:type="dxa" w:w="2551"/>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RAM </w:t>
            </w:r>
            <w:r>
              <w:rPr>
                <w:rFonts w:ascii="Times New Roman" w:hAnsi="Times New Roman"/>
                <w:b w:val="0"/>
                <w:i w:val="0"/>
                <w:color w:val="000000"/>
                <w:sz w:val="20"/>
              </w:rPr>
              <w:t xml:space="preserve">Buffer, </w:t>
            </w:r>
            <w:r>
              <w:rPr>
                <w:rFonts w:ascii="Times New Roman" w:hAnsi="Times New Roman"/>
                <w:b w:val="0"/>
                <w:i w:val="0"/>
                <w:color w:val="000000"/>
                <w:sz w:val="20"/>
              </w:rPr>
              <w:t xml:space="preserve">Google </w:t>
            </w:r>
            <w:r>
              <w:rPr>
                <w:rFonts w:ascii="Times New Roman" w:hAnsi="Times New Roman"/>
                <w:b w:val="0"/>
                <w:i/>
                <w:color w:val="000000"/>
                <w:sz w:val="20"/>
              </w:rPr>
              <w:t xml:space="preserve">Vision </w:t>
            </w:r>
            <w:r>
              <w:rPr>
                <w:rFonts w:ascii="Times New Roman" w:hAnsi="Times New Roman"/>
                <w:b w:val="0"/>
                <w:i w:val="0"/>
                <w:color w:val="000000"/>
                <w:sz w:val="20"/>
              </w:rPr>
              <w:t xml:space="preserve">API, </w:t>
            </w:r>
            <w:r>
              <w:rPr>
                <w:rFonts w:ascii="Times New Roman" w:hAnsi="Times New Roman"/>
                <w:b w:val="0"/>
                <w:i w:val="0"/>
                <w:color w:val="000000"/>
                <w:sz w:val="20"/>
              </w:rPr>
              <w:t xml:space="preserve">dan </w:t>
            </w:r>
            <w:r>
              <w:rPr>
                <w:rFonts w:ascii="Times New Roman" w:hAnsi="Times New Roman"/>
                <w:b w:val="0"/>
                <w:i/>
                <w:color w:val="000000"/>
                <w:sz w:val="20"/>
              </w:rPr>
              <w:t xml:space="preserve">Sharp </w:t>
            </w:r>
            <w:r>
              <w:rPr>
                <w:rFonts w:ascii="Times New Roman" w:hAnsi="Times New Roman"/>
                <w:b w:val="0"/>
                <w:i w:val="0"/>
                <w:color w:val="000000"/>
                <w:sz w:val="20"/>
              </w:rPr>
              <w:t xml:space="preserve">Library. </w:t>
            </w:r>
          </w:p>
        </w:tc>
      </w:tr>
      <w:tr>
        <w:tc>
          <w:tcPr>
            <w:tcW w:type="dxa" w:w="567"/>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3 </w:t>
            </w:r>
          </w:p>
        </w:tc>
        <w:tc>
          <w:tcPr>
            <w:tcW w:type="dxa" w:w="1701"/>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i w:val="0"/>
                <w:color w:val="000000"/>
                <w:sz w:val="20"/>
              </w:rPr>
              <w:t xml:space="preserve">Klasifikasi </w:t>
            </w:r>
            <w:r>
              <w:rPr>
                <w:rFonts w:ascii="Times New Roman" w:hAnsi="Times New Roman"/>
                <w:b/>
                <w:i w:val="0"/>
                <w:color w:val="000000"/>
                <w:sz w:val="20"/>
              </w:rPr>
              <w:t xml:space="preserve">AI </w:t>
            </w:r>
          </w:p>
        </w:tc>
        <w:tc>
          <w:tcPr>
            <w:tcW w:type="dxa" w:w="3118"/>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Mengidentifikasi </w:t>
            </w:r>
            <w:r>
              <w:rPr>
                <w:rFonts w:ascii="Times New Roman" w:hAnsi="Times New Roman"/>
                <w:b w:val="0"/>
                <w:i w:val="0"/>
                <w:color w:val="000000"/>
                <w:sz w:val="20"/>
              </w:rPr>
              <w:t xml:space="preserve">tipe </w:t>
            </w:r>
            <w:r>
              <w:rPr>
                <w:rFonts w:ascii="Times New Roman" w:hAnsi="Times New Roman"/>
                <w:b w:val="0"/>
                <w:i w:val="0"/>
                <w:color w:val="000000"/>
                <w:sz w:val="20"/>
              </w:rPr>
              <w:t xml:space="preserve">kerusakan </w:t>
            </w:r>
            <w:r>
              <w:rPr>
                <w:rFonts w:ascii="Times New Roman" w:hAnsi="Times New Roman"/>
                <w:b w:val="0"/>
                <w:i w:val="0"/>
                <w:color w:val="000000"/>
                <w:sz w:val="20"/>
              </w:rPr>
              <w:t xml:space="preserve">lingkungan, </w:t>
            </w:r>
            <w:r>
              <w:rPr>
                <w:rFonts w:ascii="Times New Roman" w:hAnsi="Times New Roman"/>
                <w:b w:val="0"/>
                <w:i w:val="0"/>
                <w:color w:val="000000"/>
                <w:sz w:val="20"/>
              </w:rPr>
              <w:t xml:space="preserve">tingkat </w:t>
            </w:r>
            <w:r>
              <w:rPr>
                <w:rFonts w:ascii="Times New Roman" w:hAnsi="Times New Roman"/>
                <w:b w:val="0"/>
                <w:i w:val="0"/>
                <w:color w:val="000000"/>
                <w:sz w:val="20"/>
              </w:rPr>
              <w:t xml:space="preserve">keparahan, </w:t>
            </w:r>
            <w:r>
              <w:rPr>
                <w:rFonts w:ascii="Times New Roman" w:hAnsi="Times New Roman"/>
                <w:b w:val="0"/>
                <w:i w:val="0"/>
                <w:color w:val="000000"/>
                <w:sz w:val="20"/>
              </w:rPr>
              <w:t xml:space="preserve">estimasi </w:t>
            </w:r>
            <w:r>
              <w:rPr>
                <w:rFonts w:ascii="Times New Roman" w:hAnsi="Times New Roman"/>
                <w:b w:val="0"/>
                <w:i w:val="0"/>
                <w:color w:val="000000"/>
                <w:sz w:val="20"/>
              </w:rPr>
              <w:t xml:space="preserve">volume, </w:t>
            </w:r>
            <w:r>
              <w:rPr>
                <w:rFonts w:ascii="Times New Roman" w:hAnsi="Times New Roman"/>
                <w:b w:val="0"/>
                <w:i w:val="0"/>
                <w:color w:val="000000"/>
                <w:sz w:val="20"/>
              </w:rPr>
              <w:t xml:space="preserve">dan </w:t>
            </w:r>
            <w:r>
              <w:rPr>
                <w:rFonts w:ascii="Times New Roman" w:hAnsi="Times New Roman"/>
                <w:b w:val="0"/>
                <w:i w:val="0"/>
                <w:color w:val="000000"/>
                <w:sz w:val="20"/>
              </w:rPr>
              <w:t xml:space="preserve">tindakan </w:t>
            </w:r>
            <w:r>
              <w:rPr>
                <w:rFonts w:ascii="Times New Roman" w:hAnsi="Times New Roman"/>
                <w:b w:val="0"/>
                <w:i w:val="0"/>
                <w:color w:val="000000"/>
                <w:sz w:val="20"/>
              </w:rPr>
              <w:t xml:space="preserve">darurat. </w:t>
            </w:r>
          </w:p>
        </w:tc>
        <w:tc>
          <w:tcPr>
            <w:tcW w:type="dxa" w:w="2551"/>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Gemini </w:t>
            </w:r>
            <w:r>
              <w:rPr>
                <w:rFonts w:ascii="Times New Roman" w:hAnsi="Times New Roman"/>
                <w:b w:val="0"/>
                <w:i w:val="0"/>
                <w:color w:val="000000"/>
                <w:sz w:val="20"/>
              </w:rPr>
              <w:t xml:space="preserve">3.5 </w:t>
            </w:r>
            <w:r>
              <w:rPr>
                <w:rFonts w:ascii="Times New Roman" w:hAnsi="Times New Roman"/>
                <w:b w:val="0"/>
                <w:i/>
                <w:color w:val="000000"/>
                <w:sz w:val="20"/>
              </w:rPr>
              <w:t xml:space="preserve">Flash </w:t>
            </w:r>
            <w:r>
              <w:rPr>
                <w:rFonts w:ascii="Times New Roman" w:hAnsi="Times New Roman"/>
                <w:b w:val="0"/>
                <w:i w:val="0"/>
                <w:color w:val="000000"/>
                <w:sz w:val="20"/>
              </w:rPr>
              <w:t xml:space="preserve">menghasilkan </w:t>
            </w:r>
            <w:r>
              <w:rPr>
                <w:rFonts w:ascii="Times New Roman" w:hAnsi="Times New Roman"/>
                <w:b w:val="0"/>
                <w:i w:val="0"/>
                <w:color w:val="000000"/>
                <w:sz w:val="20"/>
              </w:rPr>
              <w:t xml:space="preserve">metadata </w:t>
            </w:r>
            <w:r>
              <w:rPr>
                <w:rFonts w:ascii="Times New Roman" w:hAnsi="Times New Roman"/>
                <w:b w:val="0"/>
                <w:i w:val="0"/>
                <w:color w:val="000000"/>
                <w:sz w:val="20"/>
              </w:rPr>
              <w:t xml:space="preserve">JSON </w:t>
            </w:r>
            <w:r>
              <w:rPr>
                <w:rFonts w:ascii="Times New Roman" w:hAnsi="Times New Roman"/>
                <w:b w:val="0"/>
                <w:i w:val="0"/>
                <w:color w:val="000000"/>
                <w:sz w:val="20"/>
              </w:rPr>
              <w:t xml:space="preserve">terstruktur. </w:t>
            </w:r>
          </w:p>
        </w:tc>
      </w:tr>
      <w:tr>
        <w:tc>
          <w:tcPr>
            <w:tcW w:type="dxa" w:w="567"/>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4 </w:t>
            </w:r>
          </w:p>
        </w:tc>
        <w:tc>
          <w:tcPr>
            <w:tcW w:type="dxa" w:w="1701"/>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i w:val="0"/>
                <w:color w:val="000000"/>
                <w:sz w:val="20"/>
              </w:rPr>
              <w:t xml:space="preserve">Verifikasi </w:t>
            </w:r>
            <w:r>
              <w:rPr>
                <w:rFonts w:ascii="Times New Roman" w:hAnsi="Times New Roman"/>
                <w:b/>
                <w:i w:val="0"/>
                <w:color w:val="000000"/>
                <w:sz w:val="20"/>
              </w:rPr>
              <w:t xml:space="preserve">DLH </w:t>
            </w:r>
            <w:r>
              <w:rPr>
                <w:rFonts w:ascii="Times New Roman" w:hAnsi="Times New Roman"/>
                <w:b/>
                <w:i/>
                <w:color w:val="000000"/>
                <w:sz w:val="20"/>
              </w:rPr>
              <w:t xml:space="preserve">(HITL) </w:t>
            </w:r>
          </w:p>
        </w:tc>
        <w:tc>
          <w:tcPr>
            <w:tcW w:type="dxa" w:w="3118"/>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Evaluasi </w:t>
            </w:r>
            <w:r>
              <w:rPr>
                <w:rFonts w:ascii="Times New Roman" w:hAnsi="Times New Roman"/>
                <w:b w:val="0"/>
                <w:i w:val="0"/>
                <w:color w:val="000000"/>
                <w:sz w:val="20"/>
              </w:rPr>
              <w:t xml:space="preserve">manual </w:t>
            </w:r>
            <w:r>
              <w:rPr>
                <w:rFonts w:ascii="Times New Roman" w:hAnsi="Times New Roman"/>
                <w:b w:val="0"/>
                <w:i w:val="0"/>
                <w:color w:val="000000"/>
                <w:sz w:val="20"/>
              </w:rPr>
              <w:t xml:space="preserve">laporan </w:t>
            </w:r>
            <w:r>
              <w:rPr>
                <w:rFonts w:ascii="Times New Roman" w:hAnsi="Times New Roman"/>
                <w:b w:val="0"/>
                <w:i w:val="0"/>
                <w:color w:val="000000"/>
                <w:sz w:val="20"/>
              </w:rPr>
              <w:t xml:space="preserve">oleh </w:t>
            </w:r>
            <w:r>
              <w:rPr>
                <w:rFonts w:ascii="Times New Roman" w:hAnsi="Times New Roman"/>
                <w:b w:val="0"/>
                <w:i w:val="0"/>
                <w:color w:val="000000"/>
                <w:sz w:val="20"/>
              </w:rPr>
              <w:t xml:space="preserve">petugas </w:t>
            </w:r>
            <w:r>
              <w:rPr>
                <w:rFonts w:ascii="Times New Roman" w:hAnsi="Times New Roman"/>
                <w:b w:val="0"/>
                <w:i w:val="0"/>
                <w:color w:val="000000"/>
                <w:sz w:val="20"/>
              </w:rPr>
              <w:t xml:space="preserve">jika </w:t>
            </w:r>
            <w:r>
              <w:rPr>
                <w:rFonts w:ascii="Times New Roman" w:hAnsi="Times New Roman"/>
                <w:b w:val="0"/>
                <w:i w:val="0"/>
                <w:color w:val="000000"/>
                <w:sz w:val="20"/>
              </w:rPr>
              <w:t xml:space="preserve">skor </w:t>
            </w:r>
            <w:r>
              <w:rPr>
                <w:rFonts w:ascii="Times New Roman" w:hAnsi="Times New Roman"/>
                <w:b w:val="0"/>
                <w:i w:val="0"/>
                <w:color w:val="000000"/>
                <w:sz w:val="20"/>
              </w:rPr>
              <w:t xml:space="preserve">keyakinan </w:t>
            </w:r>
            <w:r>
              <w:rPr>
                <w:rFonts w:ascii="Times New Roman" w:hAnsi="Times New Roman"/>
                <w:b w:val="0"/>
                <w:i w:val="0"/>
                <w:color w:val="000000"/>
                <w:sz w:val="20"/>
              </w:rPr>
              <w:t xml:space="preserve">klasifikasi </w:t>
            </w:r>
            <w:r>
              <w:rPr>
                <w:rFonts w:ascii="Times New Roman" w:hAnsi="Times New Roman"/>
                <w:b w:val="0"/>
                <w:i w:val="0"/>
                <w:color w:val="000000"/>
                <w:sz w:val="20"/>
              </w:rPr>
              <w:t xml:space="preserve">AI </w:t>
            </w:r>
            <w:r>
              <w:rPr>
                <w:rFonts w:ascii="Times New Roman" w:hAnsi="Times New Roman"/>
                <w:b w:val="0"/>
                <w:i w:val="0"/>
                <w:color w:val="000000"/>
                <w:sz w:val="20"/>
              </w:rPr>
              <w:t xml:space="preserve">di </w:t>
            </w:r>
            <w:r>
              <w:rPr>
                <w:rFonts w:ascii="Times New Roman" w:hAnsi="Times New Roman"/>
                <w:b w:val="0"/>
                <w:i w:val="0"/>
                <w:color w:val="000000"/>
                <w:sz w:val="20"/>
              </w:rPr>
              <w:t xml:space="preserve">bawah </w:t>
            </w:r>
            <w:r>
              <w:rPr>
                <w:rFonts w:ascii="Times New Roman" w:hAnsi="Times New Roman"/>
                <w:b w:val="0"/>
                <w:i w:val="0"/>
                <w:color w:val="000000"/>
                <w:sz w:val="20"/>
              </w:rPr>
              <w:t xml:space="preserve">batas </w:t>
            </w:r>
            <w:r>
              <w:rPr>
                <w:rFonts w:ascii="Times New Roman" w:hAnsi="Times New Roman"/>
                <w:b w:val="0"/>
                <w:i w:val="0"/>
                <w:color w:val="000000"/>
                <w:sz w:val="20"/>
              </w:rPr>
              <w:t xml:space="preserve">standar. </w:t>
            </w:r>
          </w:p>
        </w:tc>
        <w:tc>
          <w:tcPr>
            <w:tcW w:type="dxa" w:w="2551"/>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Skor </w:t>
            </w:r>
            <w:r>
              <w:rPr>
                <w:rFonts w:ascii="Times New Roman" w:hAnsi="Times New Roman"/>
                <w:b w:val="0"/>
                <w:i w:val="0"/>
                <w:color w:val="000000"/>
                <w:sz w:val="20"/>
              </w:rPr>
              <w:t xml:space="preserve">keyakinan </w:t>
            </w:r>
            <w:r>
              <w:rPr>
                <w:rFonts w:ascii="Times New Roman" w:hAnsi="Times New Roman"/>
                <w:b w:val="0"/>
                <w:i w:val="0"/>
                <w:color w:val="000000"/>
                <w:sz w:val="20"/>
              </w:rPr>
              <w:t xml:space="preserve">&lt; </w:t>
            </w:r>
            <w:r>
              <w:rPr>
                <w:rFonts w:ascii="Times New Roman" w:hAnsi="Times New Roman"/>
                <w:b w:val="0"/>
                <w:i w:val="0"/>
                <w:color w:val="000000"/>
                <w:sz w:val="20"/>
              </w:rPr>
              <w:t xml:space="preserve">85% </w:t>
            </w:r>
            <w:r>
              <w:rPr>
                <w:rFonts w:ascii="Times New Roman" w:hAnsi="Times New Roman"/>
                <w:b w:val="0"/>
                <w:i w:val="0"/>
                <w:color w:val="000000"/>
                <w:sz w:val="20"/>
              </w:rPr>
              <w:t xml:space="preserve">divalidasi </w:t>
            </w:r>
            <w:r>
              <w:rPr>
                <w:rFonts w:ascii="Times New Roman" w:hAnsi="Times New Roman"/>
                <w:b w:val="0"/>
                <w:i w:val="0"/>
                <w:color w:val="000000"/>
                <w:sz w:val="20"/>
              </w:rPr>
              <w:t xml:space="preserve">oleh </w:t>
            </w:r>
            <w:r>
              <w:rPr>
                <w:rFonts w:ascii="Times New Roman" w:hAnsi="Times New Roman"/>
                <w:b w:val="0"/>
                <w:i w:val="0"/>
                <w:color w:val="000000"/>
                <w:sz w:val="20"/>
              </w:rPr>
              <w:t xml:space="preserve">petugas </w:t>
            </w:r>
            <w:r>
              <w:rPr>
                <w:rFonts w:ascii="Times New Roman" w:hAnsi="Times New Roman"/>
                <w:b w:val="0"/>
                <w:i w:val="0"/>
                <w:color w:val="000000"/>
                <w:sz w:val="20"/>
              </w:rPr>
              <w:t xml:space="preserve">dinas </w:t>
            </w:r>
            <w:r>
              <w:rPr>
                <w:rFonts w:ascii="Times New Roman" w:hAnsi="Times New Roman"/>
                <w:b w:val="0"/>
                <w:i w:val="0"/>
                <w:color w:val="000000"/>
                <w:sz w:val="20"/>
              </w:rPr>
              <w:t xml:space="preserve">secara </w:t>
            </w:r>
            <w:r>
              <w:rPr>
                <w:rFonts w:ascii="Times New Roman" w:hAnsi="Times New Roman"/>
                <w:b w:val="0"/>
                <w:i w:val="0"/>
                <w:color w:val="000000"/>
                <w:sz w:val="20"/>
              </w:rPr>
              <w:t xml:space="preserve">langsung. </w:t>
            </w:r>
          </w:p>
        </w:tc>
      </w:tr>
    </w:tbl>
    <w:p>
      <w:pPr>
        <w:spacing w:before="80" w:after="160" w:line="240" w:lineRule="auto"/>
        <w:jc w:val="center"/>
      </w:pPr>
      <w:r>
        <w:rPr>
          <w:rFonts w:ascii="Times New Roman" w:hAnsi="Times New Roman"/>
          <w:i/>
          <w:color w:val="333333"/>
          <w:sz w:val="19"/>
        </w:rPr>
        <w:t>Tabel 1. Tahapan penjaminan kualitas data laporan geospasial pada Genesis.</w:t>
      </w:r>
    </w:p>
    <w:p>
      <w:r>
        <w:br w:type="page"/>
      </w:r>
    </w:p>
    <w:p>
      <w:pPr>
        <w:keepNext/>
        <w:spacing w:before="360" w:after="80" w:line="276" w:lineRule="auto"/>
        <w:jc w:val="left"/>
      </w:pPr>
      <w:r>
        <w:rPr>
          <w:rFonts w:ascii="Times New Roman" w:hAnsi="Times New Roman"/>
          <w:b/>
          <w:color w:val="000000"/>
          <w:sz w:val="24"/>
        </w:rPr>
        <w:t>4.1 Mekanisme SSE Streaming &amp; Logical Reasoning AI</w:t>
      </w:r>
    </w:p>
    <w:p>
      <w:pPr>
        <w:spacing w:before="0" w:after="80" w:line="360" w:lineRule="auto"/>
        <w:ind w:firstLine="720"/>
        <w:jc w:val="both"/>
      </w:pPr>
      <w:r>
        <w:rPr>
          <w:rFonts w:ascii="Times New Roman" w:hAnsi="Times New Roman"/>
          <w:b w:val="0"/>
          <w:i w:val="0"/>
          <w:color w:val="000000"/>
          <w:sz w:val="24"/>
        </w:rPr>
        <w:t xml:space="preserve">Pada modul asisten regulasi lingkungan (Geni AI Chat), interaksi tidak lagi menggunakan pola respons statis sekali-selesai yang membosankan dan lambat. Genesis menerapkan protokol Server-Sent Events (SSE) untuk memancarkan jawaban secara real-time langsung ketika data sedang diproses oleh model penalaran kognitif </w:t>
      </w:r>
      <w:r>
        <w:rPr>
          <w:rFonts w:ascii="Times New Roman" w:hAnsi="Times New Roman"/>
          <w:b/>
          <w:i w:val="0"/>
          <w:color w:val="000000"/>
          <w:sz w:val="24"/>
        </w:rPr>
        <w:t>Gemini 3.1 Pro</w:t>
      </w:r>
      <w:r>
        <w:rPr>
          <w:rFonts w:ascii="Times New Roman" w:hAnsi="Times New Roman"/>
          <w:b w:val="0"/>
          <w:i w:val="0"/>
          <w:color w:val="000000"/>
          <w:sz w:val="24"/>
        </w:rPr>
        <w:t xml:space="preserve">. Melalui parameter khusus </w:t>
      </w:r>
      <w:r>
        <w:rPr>
          <w:rFonts w:ascii="Times New Roman" w:hAnsi="Times New Roman"/>
          <w:b/>
          <w:i w:val="0"/>
          <w:color w:val="000000"/>
          <w:sz w:val="24"/>
        </w:rPr>
        <w:t>thinkingConfig</w:t>
      </w:r>
      <w:r>
        <w:rPr>
          <w:rFonts w:ascii="Times New Roman" w:hAnsi="Times New Roman"/>
          <w:b w:val="0"/>
          <w:i/>
          <w:color w:val="000000"/>
          <w:sz w:val="24"/>
        </w:rPr>
        <w:t>, Gemini 3.1 Pro mampu menghasilkan blok pemikiran logis (thought blocks) sebelum merumuskan jawaban akhir.</w:t>
      </w:r>
    </w:p>
    <w:p>
      <w:pPr>
        <w:spacing w:before="0" w:after="80" w:line="360" w:lineRule="auto"/>
        <w:ind w:firstLine="720"/>
        <w:jc w:val="both"/>
      </w:pPr>
      <w:r>
        <w:rPr>
          <w:rFonts w:ascii="Times New Roman" w:hAnsi="Times New Roman"/>
          <w:b w:val="0"/>
          <w:i/>
          <w:color w:val="000000"/>
          <w:sz w:val="24"/>
        </w:rPr>
        <w:t xml:space="preserve">Backend NestJS bertindak sebagai orkestrator yang mengekstrak blok pemikiran logis (`part.thought` atau `reasoning_content`) secara programmatic dan mengirimkannya ke dalam aliran data terpisah dari pesan jawaban utama. Pada sisi klien Flutter, stream data ditangkap dan diuraikan secara dinamis. Ponsel warga akan merender blok pemikiran tersebut ke dalam widget </w:t>
      </w:r>
      <w:r>
        <w:rPr>
          <w:rFonts w:ascii="Times New Roman" w:hAnsi="Times New Roman"/>
          <w:b/>
          <w:i w:val="0"/>
          <w:color w:val="000000"/>
          <w:sz w:val="24"/>
        </w:rPr>
        <w:t>Collapsible Thinking Panel</w:t>
      </w:r>
      <w:r>
        <w:rPr>
          <w:rFonts w:ascii="Times New Roman" w:hAnsi="Times New Roman"/>
          <w:b w:val="0"/>
          <w:i w:val="0"/>
          <w:color w:val="000000"/>
          <w:sz w:val="24"/>
        </w:rPr>
        <w:t xml:space="preserve"> yang interaktif, dilengkapi indikator stopwatch mikro untuk melacak durasi berpikir model secara transparan.</w:t>
      </w:r>
    </w:p>
    <w:p>
      <w:r>
        <w:br w:type="page"/>
      </w:r>
    </w:p>
    <w:p>
      <w:pPr>
        <w:keepNext/>
        <w:spacing w:before="360" w:after="80" w:line="276" w:lineRule="auto"/>
        <w:jc w:val="left"/>
      </w:pPr>
      <w:r>
        <w:rPr>
          <w:rFonts w:ascii="Times New Roman" w:hAnsi="Times New Roman"/>
          <w:b/>
          <w:color w:val="000000"/>
          <w:sz w:val="24"/>
        </w:rPr>
        <w:t>5.1 Arsitektur Hybrid RAG &amp; Perutean Model Dinamis</w:t>
      </w:r>
    </w:p>
    <w:p>
      <w:pPr>
        <w:spacing w:before="0" w:after="80" w:line="360" w:lineRule="auto"/>
        <w:ind w:firstLine="720"/>
        <w:jc w:val="both"/>
      </w:pPr>
      <w:r>
        <w:rPr>
          <w:rFonts w:ascii="Times New Roman" w:hAnsi="Times New Roman"/>
          <w:b w:val="0"/>
          <w:i/>
          <w:color w:val="000000"/>
          <w:sz w:val="24"/>
        </w:rPr>
        <w:t>Menghadapi tingginya variasi kueri yang dikirimkan warga, sistem menerapkan pola perutean dinamis berbasis kategori konten. Kueri warga yang bersifat sapaan ringan atau instruksi UI sederhana langsung diarahkan ke model Gemini 2.5 Flash Lite demi menghemat daya komputasi dan biaya sewa server. Sebaliknya, pertanyaan warga terkait hukum lingkungan daerah, mekanisme AMDAL, atau denda pelanggaran regulasi diarahkan ke sistem asisten hukum cerdas berbasis RAG.</w:t>
      </w:r>
    </w:p>
    <w:p>
      <w:pPr>
        <w:spacing w:before="0" w:after="80" w:line="360" w:lineRule="auto"/>
        <w:ind w:firstLine="720"/>
        <w:jc w:val="both"/>
      </w:pPr>
      <w:r>
        <w:rPr>
          <w:rFonts w:ascii="Times New Roman" w:hAnsi="Times New Roman"/>
          <w:b w:val="0"/>
          <w:i w:val="0"/>
          <w:color w:val="000000"/>
          <w:sz w:val="24"/>
        </w:rPr>
        <w:t xml:space="preserve">Sistem RAG (Retrieval-Augmented Generation) pada Genesis diintegrasikan secara native menggunakan </w:t>
      </w:r>
      <w:r>
        <w:rPr>
          <w:rFonts w:ascii="Times New Roman" w:hAnsi="Times New Roman"/>
          <w:b/>
          <w:i w:val="0"/>
          <w:color w:val="000000"/>
          <w:sz w:val="24"/>
        </w:rPr>
        <w:t>Vertex AI Search</w:t>
      </w:r>
      <w:r>
        <w:rPr>
          <w:rFonts w:ascii="Times New Roman" w:hAnsi="Times New Roman"/>
          <w:b w:val="0"/>
          <w:i/>
          <w:color w:val="000000"/>
          <w:sz w:val="24"/>
        </w:rPr>
        <w:t>. Dokumen hukum resmi berupa berkas PDF dari portal regulasi pemerintah diserap, diindeks secara semantik, dan dicari kecocokannya dengan kueri warga. Konteks pasal hukum yang relevan kemudian digabungkan ke dalam prompt instruksi sistem Gemini 3.5 Flash. Pendekatan hibrida ini menjamin jawaban yang dikeluarkan AI memiliki tingkat akurasi tinggi dan menyertakan kutipan hukum valid sehingga bebas dari halusinasi informasi.</w:t>
      </w:r>
    </w:p>
    <w:p>
      <w:r>
        <w:br w:type="page"/>
      </w:r>
    </w:p>
    <w:p>
      <w:pPr>
        <w:keepNext/>
        <w:spacing w:before="360" w:after="80" w:line="276" w:lineRule="auto"/>
        <w:jc w:val="left"/>
      </w:pPr>
      <w:r>
        <w:rPr>
          <w:rFonts w:ascii="Times New Roman" w:hAnsi="Times New Roman"/>
          <w:b/>
          <w:color w:val="000000"/>
          <w:sz w:val="24"/>
        </w:rPr>
        <w:t>6.1 Mesin Gamifikasi &amp; Peringkat Kontribusi Spasial Warga</w:t>
      </w:r>
    </w:p>
    <w:p>
      <w:pPr>
        <w:spacing w:before="0" w:after="80" w:line="360" w:lineRule="auto"/>
        <w:ind w:firstLine="720"/>
        <w:jc w:val="both"/>
      </w:pPr>
      <w:r>
        <w:rPr>
          <w:rFonts w:ascii="Times New Roman" w:hAnsi="Times New Roman"/>
          <w:b w:val="0"/>
          <w:i w:val="0"/>
          <w:color w:val="000000"/>
          <w:sz w:val="24"/>
        </w:rPr>
        <w:t>Salah satu pilar utama keberlanjutan platform crowdsourcing adalah tingkat partisipasi aktif masyarakat dalam jangka panjang. Genesis merangsang keterlibatan warga menggunakan sistem gamifikasi yang terintegrasi secara aman dengan logika bisnis backend. Setiap laporan kerusakan lingkungan yang tervalidasi atau partisipasi dalam konsultasi hukum memicu webhook otomatis di backend untuk menyelesaikan tantangan harian (Daily Quests).</w:t>
      </w:r>
    </w:p>
    <w:p>
      <w:pPr>
        <w:spacing w:before="0" w:after="80" w:line="360" w:lineRule="auto"/>
        <w:ind w:firstLine="720"/>
        <w:jc w:val="both"/>
      </w:pPr>
      <w:r>
        <w:rPr>
          <w:rFonts w:ascii="Times New Roman" w:hAnsi="Times New Roman"/>
          <w:b w:val="0"/>
          <w:i/>
          <w:color w:val="000000"/>
          <w:sz w:val="24"/>
        </w:rPr>
        <w:t>Setelah fungsi `completeChallenge` selesai divalidasi, sistem memperbarui database PostgreSQL secara real-time untuk menambahkan Experience Points (XP) dan koin virtual warga. XP digunakan untuk menaikkan level kontribusi warga yang ditampilkan pada papan peringkat spasial global (Leaderboard), sementara koin virtual dapat diakumulasikan dan ditukarkan dengan insentif ekonomi nyata (seperti voucher belanja atau bahan pangan) pada bank daur ulang atau merchant rekanan lokal, menutup rantai sirkuler aksi iklim.</w:t>
      </w:r>
    </w:p>
    <w:p>
      <w:r>
        <w:br w:type="page"/>
      </w:r>
    </w:p>
    <w:p>
      <w:pPr>
        <w:keepNext/>
        <w:spacing w:before="360" w:after="80" w:line="276" w:lineRule="auto"/>
        <w:jc w:val="left"/>
      </w:pPr>
      <w:r>
        <w:rPr>
          <w:rFonts w:ascii="Times New Roman" w:hAnsi="Times New Roman"/>
          <w:b/>
          <w:color w:val="000000"/>
          <w:sz w:val="24"/>
        </w:rPr>
        <w:t>7.1 Responsible AI &amp; Safety-by-Design Guidelines</w:t>
      </w:r>
    </w:p>
    <w:p>
      <w:pPr>
        <w:spacing w:before="0" w:after="80" w:line="360" w:lineRule="auto"/>
        <w:ind w:firstLine="720"/>
        <w:jc w:val="both"/>
      </w:pPr>
      <w:r>
        <w:rPr>
          <w:rFonts w:ascii="Times New Roman" w:hAnsi="Times New Roman"/>
          <w:b w:val="0"/>
          <w:i w:val="0"/>
          <w:color w:val="000000"/>
          <w:sz w:val="24"/>
        </w:rPr>
        <w:t>Penerapan kecerdasan artifisial pada platform publik wajib mengedepankan etika, transparansi, keandalan, dan keamanan data. Genesis merancang kerangka kerja etika AI yang merujuk pada pilar Responsible AI tingkat dunia untuk memitigasi seluruh kemungkinan risiko kegagalan sistem dan bias klasifikasi.</w:t>
      </w:r>
    </w:p>
    <w:tbl>
      <w:tblPr>
        <w:tblW w:type="auto" w:w="0"/>
        <w:jc w:val="center"/>
        <w:tblLayout w:type="fixed"/>
        <w:tblLook w:firstColumn="1" w:firstRow="1" w:lastColumn="0" w:lastRow="0" w:noHBand="0" w:noVBand="1" w:val="04A0"/>
      </w:tblPr>
      <w:tblGrid>
        <w:gridCol w:w="2646"/>
        <w:gridCol w:w="2646"/>
        <w:gridCol w:w="2646"/>
      </w:tblGrid>
      <w:tr>
        <w:tc>
          <w:tcPr>
            <w:tcW w:type="dxa" w:w="567"/>
            <w:tcMar>
              <w:top w:w="60" w:type="dxa"/>
              <w:bottom w:w="60" w:type="dxa"/>
              <w:left w:w="100" w:type="dxa"/>
              <w:right w:w="10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No. </w:t>
            </w:r>
          </w:p>
        </w:tc>
        <w:tc>
          <w:tcPr>
            <w:tcW w:type="dxa" w:w="1984"/>
            <w:tcMar>
              <w:top w:w="60" w:type="dxa"/>
              <w:bottom w:w="60" w:type="dxa"/>
              <w:left w:w="100" w:type="dxa"/>
              <w:right w:w="10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Pilar </w:t>
            </w:r>
            <w:r>
              <w:rPr>
                <w:rFonts w:ascii="Times New Roman" w:hAnsi="Times New Roman"/>
                <w:b/>
                <w:i w:val="0"/>
                <w:color w:val="000000"/>
                <w:sz w:val="20"/>
              </w:rPr>
              <w:t xml:space="preserve">Responsible </w:t>
            </w:r>
            <w:r>
              <w:rPr>
                <w:rFonts w:ascii="Times New Roman" w:hAnsi="Times New Roman"/>
                <w:b/>
                <w:i w:val="0"/>
                <w:color w:val="000000"/>
                <w:sz w:val="20"/>
              </w:rPr>
              <w:t xml:space="preserve">AI </w:t>
            </w:r>
          </w:p>
        </w:tc>
        <w:tc>
          <w:tcPr>
            <w:tcW w:type="dxa" w:w="5386"/>
            <w:tcMar>
              <w:top w:w="60" w:type="dxa"/>
              <w:bottom w:w="60" w:type="dxa"/>
              <w:left w:w="100" w:type="dxa"/>
              <w:right w:w="10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Aktivitas </w:t>
            </w:r>
            <w:r>
              <w:rPr>
                <w:rFonts w:ascii="Times New Roman" w:hAnsi="Times New Roman"/>
                <w:b/>
                <w:i w:val="0"/>
                <w:color w:val="000000"/>
                <w:sz w:val="20"/>
              </w:rPr>
              <w:t xml:space="preserve">Mitigasi </w:t>
            </w:r>
            <w:r>
              <w:rPr>
                <w:rFonts w:ascii="Times New Roman" w:hAnsi="Times New Roman"/>
                <w:b/>
                <w:i w:val="0"/>
                <w:color w:val="000000"/>
                <w:sz w:val="20"/>
              </w:rPr>
              <w:t xml:space="preserve">&amp; </w:t>
            </w:r>
            <w:r>
              <w:rPr>
                <w:rFonts w:ascii="Times New Roman" w:hAnsi="Times New Roman"/>
                <w:b/>
                <w:i w:val="0"/>
                <w:color w:val="000000"/>
                <w:sz w:val="20"/>
              </w:rPr>
              <w:t xml:space="preserve">Implementasi </w:t>
            </w:r>
            <w:r>
              <w:rPr>
                <w:rFonts w:ascii="Times New Roman" w:hAnsi="Times New Roman"/>
                <w:b/>
                <w:i w:val="0"/>
                <w:color w:val="000000"/>
                <w:sz w:val="20"/>
              </w:rPr>
              <w:t xml:space="preserve">Nyata </w:t>
            </w:r>
            <w:r>
              <w:rPr>
                <w:rFonts w:ascii="Times New Roman" w:hAnsi="Times New Roman"/>
                <w:b/>
                <w:i w:val="0"/>
                <w:color w:val="000000"/>
                <w:sz w:val="20"/>
              </w:rPr>
              <w:t xml:space="preserve">pada </w:t>
            </w:r>
            <w:r>
              <w:rPr>
                <w:rFonts w:ascii="Times New Roman" w:hAnsi="Times New Roman"/>
                <w:b/>
                <w:i w:val="0"/>
                <w:color w:val="000000"/>
                <w:sz w:val="20"/>
              </w:rPr>
              <w:t xml:space="preserve">Genesis </w:t>
            </w:r>
          </w:p>
        </w:tc>
      </w:tr>
      <w:tr>
        <w:tc>
          <w:tcPr>
            <w:tcW w:type="dxa" w:w="567"/>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1 </w:t>
            </w:r>
          </w:p>
        </w:tc>
        <w:tc>
          <w:tcPr>
            <w:tcW w:type="dxa" w:w="1984"/>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i w:val="0"/>
                <w:color w:val="000000"/>
                <w:sz w:val="20"/>
              </w:rPr>
              <w:t xml:space="preserve">Privasi </w:t>
            </w:r>
            <w:r>
              <w:rPr>
                <w:rFonts w:ascii="Times New Roman" w:hAnsi="Times New Roman"/>
                <w:b/>
                <w:i w:val="0"/>
                <w:color w:val="000000"/>
                <w:sz w:val="20"/>
              </w:rPr>
              <w:t xml:space="preserve">&amp; </w:t>
            </w:r>
            <w:r>
              <w:rPr>
                <w:rFonts w:ascii="Times New Roman" w:hAnsi="Times New Roman"/>
                <w:b/>
                <w:i w:val="0"/>
                <w:color w:val="000000"/>
                <w:sz w:val="20"/>
              </w:rPr>
              <w:t xml:space="preserve">Keamanan </w:t>
            </w:r>
          </w:p>
        </w:tc>
        <w:tc>
          <w:tcPr>
            <w:tcW w:type="dxa" w:w="5386"/>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Pemburaman </w:t>
            </w:r>
            <w:r>
              <w:rPr>
                <w:rFonts w:ascii="Times New Roman" w:hAnsi="Times New Roman"/>
                <w:b w:val="0"/>
                <w:i w:val="0"/>
                <w:color w:val="000000"/>
                <w:sz w:val="20"/>
              </w:rPr>
              <w:t xml:space="preserve">wajah </w:t>
            </w:r>
            <w:r>
              <w:rPr>
                <w:rFonts w:ascii="Times New Roman" w:hAnsi="Times New Roman"/>
                <w:b w:val="0"/>
                <w:i w:val="0"/>
                <w:color w:val="000000"/>
                <w:sz w:val="20"/>
              </w:rPr>
              <w:t xml:space="preserve">dan </w:t>
            </w:r>
            <w:r>
              <w:rPr>
                <w:rFonts w:ascii="Times New Roman" w:hAnsi="Times New Roman"/>
                <w:b w:val="0"/>
                <w:i w:val="0"/>
                <w:color w:val="000000"/>
                <w:sz w:val="20"/>
              </w:rPr>
              <w:t xml:space="preserve">nomor </w:t>
            </w:r>
            <w:r>
              <w:rPr>
                <w:rFonts w:ascii="Times New Roman" w:hAnsi="Times New Roman"/>
                <w:b w:val="0"/>
                <w:i w:val="0"/>
                <w:color w:val="000000"/>
                <w:sz w:val="20"/>
              </w:rPr>
              <w:t xml:space="preserve">plat </w:t>
            </w:r>
            <w:r>
              <w:rPr>
                <w:rFonts w:ascii="Times New Roman" w:hAnsi="Times New Roman"/>
                <w:b w:val="0"/>
                <w:i w:val="0"/>
                <w:color w:val="000000"/>
                <w:sz w:val="20"/>
              </w:rPr>
              <w:t xml:space="preserve">diproses </w:t>
            </w:r>
            <w:r>
              <w:rPr>
                <w:rFonts w:ascii="Times New Roman" w:hAnsi="Times New Roman"/>
                <w:b w:val="0"/>
                <w:i w:val="0"/>
                <w:color w:val="000000"/>
                <w:sz w:val="20"/>
              </w:rPr>
              <w:t xml:space="preserve">di </w:t>
            </w:r>
            <w:r>
              <w:rPr>
                <w:rFonts w:ascii="Times New Roman" w:hAnsi="Times New Roman"/>
                <w:b w:val="0"/>
                <w:i w:val="0"/>
                <w:color w:val="000000"/>
                <w:sz w:val="20"/>
              </w:rPr>
              <w:t xml:space="preserve">memori </w:t>
            </w:r>
            <w:r>
              <w:rPr>
                <w:rFonts w:ascii="Times New Roman" w:hAnsi="Times New Roman"/>
                <w:b w:val="0"/>
                <w:i w:val="0"/>
                <w:color w:val="000000"/>
                <w:sz w:val="20"/>
              </w:rPr>
              <w:t xml:space="preserve">RAM </w:t>
            </w:r>
            <w:r>
              <w:rPr>
                <w:rFonts w:ascii="Times New Roman" w:hAnsi="Times New Roman"/>
                <w:b w:val="0"/>
                <w:i w:val="0"/>
                <w:color w:val="000000"/>
                <w:sz w:val="20"/>
              </w:rPr>
              <w:t xml:space="preserve">server </w:t>
            </w:r>
            <w:r>
              <w:rPr>
                <w:rFonts w:ascii="Times New Roman" w:hAnsi="Times New Roman"/>
                <w:b w:val="0"/>
                <w:i w:val="0"/>
                <w:color w:val="000000"/>
                <w:sz w:val="20"/>
              </w:rPr>
              <w:t xml:space="preserve">secara </w:t>
            </w:r>
            <w:r>
              <w:rPr>
                <w:rFonts w:ascii="Times New Roman" w:hAnsi="Times New Roman"/>
                <w:b w:val="0"/>
                <w:i w:val="0"/>
                <w:color w:val="000000"/>
                <w:sz w:val="20"/>
              </w:rPr>
              <w:t xml:space="preserve">volatil </w:t>
            </w:r>
            <w:r>
              <w:rPr>
                <w:rFonts w:ascii="Times New Roman" w:hAnsi="Times New Roman"/>
                <w:b w:val="0"/>
                <w:i w:val="0"/>
                <w:color w:val="000000"/>
                <w:sz w:val="20"/>
              </w:rPr>
              <w:t xml:space="preserve">sebelum </w:t>
            </w:r>
            <w:r>
              <w:rPr>
                <w:rFonts w:ascii="Times New Roman" w:hAnsi="Times New Roman"/>
                <w:b w:val="0"/>
                <w:i w:val="0"/>
                <w:color w:val="000000"/>
                <w:sz w:val="20"/>
              </w:rPr>
              <w:t xml:space="preserve">disimpan </w:t>
            </w:r>
            <w:r>
              <w:rPr>
                <w:rFonts w:ascii="Times New Roman" w:hAnsi="Times New Roman"/>
                <w:b w:val="0"/>
                <w:i w:val="0"/>
                <w:color w:val="000000"/>
                <w:sz w:val="20"/>
              </w:rPr>
              <w:t xml:space="preserve">di </w:t>
            </w:r>
            <w:r>
              <w:rPr>
                <w:rFonts w:ascii="Times New Roman" w:hAnsi="Times New Roman"/>
                <w:b w:val="0"/>
                <w:i w:val="0"/>
                <w:color w:val="000000"/>
                <w:sz w:val="20"/>
              </w:rPr>
              <w:t xml:space="preserve">cloud </w:t>
            </w:r>
            <w:r>
              <w:rPr>
                <w:rFonts w:ascii="Times New Roman" w:hAnsi="Times New Roman"/>
                <w:b w:val="0"/>
                <w:i w:val="0"/>
                <w:color w:val="000000"/>
                <w:sz w:val="20"/>
              </w:rPr>
              <w:t xml:space="preserve">GCS. </w:t>
            </w:r>
          </w:p>
        </w:tc>
      </w:tr>
      <w:tr>
        <w:tc>
          <w:tcPr>
            <w:tcW w:type="dxa" w:w="567"/>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2 </w:t>
            </w:r>
          </w:p>
        </w:tc>
        <w:tc>
          <w:tcPr>
            <w:tcW w:type="dxa" w:w="1984"/>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i w:val="0"/>
                <w:color w:val="000000"/>
                <w:sz w:val="20"/>
              </w:rPr>
              <w:t xml:space="preserve">Transparansi </w:t>
            </w:r>
            <w:r>
              <w:rPr>
                <w:rFonts w:ascii="Times New Roman" w:hAnsi="Times New Roman"/>
                <w:b/>
                <w:i w:val="0"/>
                <w:color w:val="000000"/>
                <w:sz w:val="20"/>
              </w:rPr>
              <w:t xml:space="preserve">&amp; </w:t>
            </w:r>
            <w:r>
              <w:rPr>
                <w:rFonts w:ascii="Times New Roman" w:hAnsi="Times New Roman"/>
                <w:b/>
                <w:i w:val="0"/>
                <w:color w:val="000000"/>
                <w:sz w:val="20"/>
              </w:rPr>
              <w:t xml:space="preserve">Akuntabilitas </w:t>
            </w:r>
          </w:p>
        </w:tc>
        <w:tc>
          <w:tcPr>
            <w:tcW w:type="dxa" w:w="5386"/>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Menyajikan </w:t>
            </w:r>
            <w:r>
              <w:rPr>
                <w:rFonts w:ascii="Times New Roman" w:hAnsi="Times New Roman"/>
                <w:b w:val="0"/>
                <w:i w:val="0"/>
                <w:color w:val="000000"/>
                <w:sz w:val="20"/>
              </w:rPr>
              <w:t xml:space="preserve">skor </w:t>
            </w:r>
            <w:r>
              <w:rPr>
                <w:rFonts w:ascii="Times New Roman" w:hAnsi="Times New Roman"/>
                <w:b w:val="0"/>
                <w:i w:val="0"/>
                <w:color w:val="000000"/>
                <w:sz w:val="20"/>
              </w:rPr>
              <w:t xml:space="preserve">keyakinan </w:t>
            </w:r>
            <w:r>
              <w:rPr>
                <w:rFonts w:ascii="Times New Roman" w:hAnsi="Times New Roman"/>
                <w:b w:val="0"/>
                <w:i w:val="0"/>
                <w:color w:val="000000"/>
                <w:sz w:val="20"/>
              </w:rPr>
              <w:t xml:space="preserve">klasifikasi </w:t>
            </w:r>
            <w:r>
              <w:rPr>
                <w:rFonts w:ascii="Times New Roman" w:hAnsi="Times New Roman"/>
                <w:b w:val="0"/>
                <w:i w:val="0"/>
                <w:color w:val="000000"/>
                <w:sz w:val="20"/>
              </w:rPr>
              <w:t xml:space="preserve">AI </w:t>
            </w:r>
            <w:r>
              <w:rPr>
                <w:rFonts w:ascii="Times New Roman" w:hAnsi="Times New Roman"/>
                <w:b w:val="0"/>
                <w:i w:val="0"/>
                <w:color w:val="000000"/>
                <w:sz w:val="20"/>
              </w:rPr>
              <w:t xml:space="preserve">dan </w:t>
            </w:r>
            <w:r>
              <w:rPr>
                <w:rFonts w:ascii="Times New Roman" w:hAnsi="Times New Roman"/>
                <w:b w:val="0"/>
                <w:i w:val="0"/>
                <w:color w:val="000000"/>
                <w:sz w:val="20"/>
              </w:rPr>
              <w:t xml:space="preserve">melampirkan </w:t>
            </w:r>
            <w:r>
              <w:rPr>
                <w:rFonts w:ascii="Times New Roman" w:hAnsi="Times New Roman"/>
                <w:b w:val="0"/>
                <w:i w:val="0"/>
                <w:color w:val="000000"/>
                <w:sz w:val="20"/>
              </w:rPr>
              <w:t xml:space="preserve">referensi </w:t>
            </w:r>
            <w:r>
              <w:rPr>
                <w:rFonts w:ascii="Times New Roman" w:hAnsi="Times New Roman"/>
                <w:b w:val="0"/>
                <w:i w:val="0"/>
                <w:color w:val="000000"/>
                <w:sz w:val="20"/>
              </w:rPr>
              <w:t xml:space="preserve">pasal </w:t>
            </w:r>
            <w:r>
              <w:rPr>
                <w:rFonts w:ascii="Times New Roman" w:hAnsi="Times New Roman"/>
                <w:b w:val="0"/>
                <w:i w:val="0"/>
                <w:color w:val="000000"/>
                <w:sz w:val="20"/>
              </w:rPr>
              <w:t xml:space="preserve">hukum </w:t>
            </w:r>
            <w:r>
              <w:rPr>
                <w:rFonts w:ascii="Times New Roman" w:hAnsi="Times New Roman"/>
                <w:b w:val="0"/>
                <w:i w:val="0"/>
                <w:color w:val="000000"/>
                <w:sz w:val="20"/>
              </w:rPr>
              <w:t xml:space="preserve">resmi </w:t>
            </w:r>
            <w:r>
              <w:rPr>
                <w:rFonts w:ascii="Times New Roman" w:hAnsi="Times New Roman"/>
                <w:b w:val="0"/>
                <w:i w:val="0"/>
                <w:color w:val="000000"/>
                <w:sz w:val="20"/>
              </w:rPr>
              <w:t xml:space="preserve">untuk </w:t>
            </w:r>
            <w:r>
              <w:rPr>
                <w:rFonts w:ascii="Times New Roman" w:hAnsi="Times New Roman"/>
                <w:b w:val="0"/>
                <w:i w:val="0"/>
                <w:color w:val="000000"/>
                <w:sz w:val="20"/>
              </w:rPr>
              <w:t xml:space="preserve">mencegah </w:t>
            </w:r>
            <w:r>
              <w:rPr>
                <w:rFonts w:ascii="Times New Roman" w:hAnsi="Times New Roman"/>
                <w:b w:val="0"/>
                <w:i w:val="0"/>
                <w:color w:val="000000"/>
                <w:sz w:val="20"/>
              </w:rPr>
              <w:t xml:space="preserve">informasi </w:t>
            </w:r>
            <w:r>
              <w:rPr>
                <w:rFonts w:ascii="Times New Roman" w:hAnsi="Times New Roman"/>
                <w:b w:val="0"/>
                <w:i w:val="0"/>
                <w:color w:val="000000"/>
                <w:sz w:val="20"/>
              </w:rPr>
              <w:t xml:space="preserve">palsu. </w:t>
            </w:r>
          </w:p>
        </w:tc>
      </w:tr>
      <w:tr>
        <w:tc>
          <w:tcPr>
            <w:tcW w:type="dxa" w:w="567"/>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3 </w:t>
            </w:r>
          </w:p>
        </w:tc>
        <w:tc>
          <w:tcPr>
            <w:tcW w:type="dxa" w:w="1984"/>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i w:val="0"/>
                <w:color w:val="000000"/>
                <w:sz w:val="20"/>
              </w:rPr>
              <w:t xml:space="preserve">Keandalan </w:t>
            </w:r>
            <w:r>
              <w:rPr>
                <w:rFonts w:ascii="Times New Roman" w:hAnsi="Times New Roman"/>
                <w:b/>
                <w:i w:val="0"/>
                <w:color w:val="000000"/>
                <w:sz w:val="20"/>
              </w:rPr>
              <w:t xml:space="preserve">&amp; </w:t>
            </w:r>
            <w:r>
              <w:rPr>
                <w:rFonts w:ascii="Times New Roman" w:hAnsi="Times New Roman"/>
                <w:b/>
                <w:i w:val="0"/>
                <w:color w:val="000000"/>
                <w:sz w:val="20"/>
              </w:rPr>
              <w:t xml:space="preserve">Ketahanan </w:t>
            </w:r>
          </w:p>
        </w:tc>
        <w:tc>
          <w:tcPr>
            <w:tcW w:type="dxa" w:w="5386"/>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Penerapan </w:t>
            </w:r>
            <w:r>
              <w:rPr>
                <w:rFonts w:ascii="Times New Roman" w:hAnsi="Times New Roman"/>
                <w:b w:val="0"/>
                <w:i w:val="0"/>
                <w:color w:val="000000"/>
                <w:sz w:val="20"/>
              </w:rPr>
              <w:t xml:space="preserve">modul </w:t>
            </w:r>
            <w:r>
              <w:rPr>
                <w:rFonts w:ascii="Times New Roman" w:hAnsi="Times New Roman"/>
                <w:b w:val="0"/>
                <w:i/>
                <w:color w:val="000000"/>
                <w:sz w:val="20"/>
              </w:rPr>
              <w:t xml:space="preserve">rate </w:t>
            </w:r>
            <w:r>
              <w:rPr>
                <w:rFonts w:ascii="Times New Roman" w:hAnsi="Times New Roman"/>
                <w:b w:val="0"/>
                <w:i/>
                <w:color w:val="000000"/>
                <w:sz w:val="20"/>
              </w:rPr>
              <w:t xml:space="preserve">limiting </w:t>
            </w:r>
            <w:r>
              <w:rPr>
                <w:rFonts w:ascii="Times New Roman" w:hAnsi="Times New Roman"/>
                <w:b w:val="0"/>
                <w:i w:val="0"/>
                <w:color w:val="000000"/>
                <w:sz w:val="20"/>
              </w:rPr>
              <w:t xml:space="preserve">pada </w:t>
            </w:r>
            <w:r>
              <w:rPr>
                <w:rFonts w:ascii="Times New Roman" w:hAnsi="Times New Roman"/>
                <w:b w:val="0"/>
                <w:i w:val="0"/>
                <w:color w:val="000000"/>
                <w:sz w:val="20"/>
              </w:rPr>
              <w:t xml:space="preserve">backend </w:t>
            </w:r>
            <w:r>
              <w:rPr>
                <w:rFonts w:ascii="Times New Roman" w:hAnsi="Times New Roman"/>
                <w:b w:val="0"/>
                <w:i w:val="0"/>
                <w:color w:val="000000"/>
                <w:sz w:val="20"/>
              </w:rPr>
              <w:t xml:space="preserve">untuk </w:t>
            </w:r>
            <w:r>
              <w:rPr>
                <w:rFonts w:ascii="Times New Roman" w:hAnsi="Times New Roman"/>
                <w:b w:val="0"/>
                <w:i w:val="0"/>
                <w:color w:val="000000"/>
                <w:sz w:val="20"/>
              </w:rPr>
              <w:t xml:space="preserve">mencegah </w:t>
            </w:r>
            <w:r>
              <w:rPr>
                <w:rFonts w:ascii="Times New Roman" w:hAnsi="Times New Roman"/>
                <w:b w:val="0"/>
                <w:i w:val="0"/>
                <w:color w:val="000000"/>
                <w:sz w:val="20"/>
              </w:rPr>
              <w:t xml:space="preserve">eksploitasi </w:t>
            </w:r>
            <w:r>
              <w:rPr>
                <w:rFonts w:ascii="Times New Roman" w:hAnsi="Times New Roman"/>
                <w:b w:val="0"/>
                <w:i w:val="0"/>
                <w:color w:val="000000"/>
                <w:sz w:val="20"/>
              </w:rPr>
              <w:t xml:space="preserve">API </w:t>
            </w:r>
            <w:r>
              <w:rPr>
                <w:rFonts w:ascii="Times New Roman" w:hAnsi="Times New Roman"/>
                <w:b w:val="0"/>
                <w:i w:val="0"/>
                <w:color w:val="000000"/>
                <w:sz w:val="20"/>
              </w:rPr>
              <w:t xml:space="preserve">dan </w:t>
            </w:r>
            <w:r>
              <w:rPr>
                <w:rFonts w:ascii="Times New Roman" w:hAnsi="Times New Roman"/>
                <w:b w:val="0"/>
                <w:i w:val="0"/>
                <w:color w:val="000000"/>
                <w:sz w:val="20"/>
              </w:rPr>
              <w:t xml:space="preserve">mitigasi </w:t>
            </w:r>
            <w:r>
              <w:rPr>
                <w:rFonts w:ascii="Times New Roman" w:hAnsi="Times New Roman"/>
                <w:b w:val="0"/>
                <w:i w:val="0"/>
                <w:color w:val="000000"/>
                <w:sz w:val="20"/>
              </w:rPr>
              <w:t xml:space="preserve">serangan </w:t>
            </w:r>
            <w:r>
              <w:rPr>
                <w:rFonts w:ascii="Times New Roman" w:hAnsi="Times New Roman"/>
                <w:b w:val="0"/>
                <w:i w:val="0"/>
                <w:color w:val="000000"/>
                <w:sz w:val="20"/>
              </w:rPr>
              <w:t xml:space="preserve">prompt </w:t>
            </w:r>
            <w:r>
              <w:rPr>
                <w:rFonts w:ascii="Times New Roman" w:hAnsi="Times New Roman"/>
                <w:b w:val="0"/>
                <w:i/>
                <w:color w:val="000000"/>
                <w:sz w:val="20"/>
              </w:rPr>
              <w:t xml:space="preserve">injection. </w:t>
            </w:r>
          </w:p>
        </w:tc>
      </w:tr>
      <w:tr>
        <w:tc>
          <w:tcPr>
            <w:tcW w:type="dxa" w:w="567"/>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center"/>
            </w:pPr>
            <w:r/>
            <w:r>
              <w:rPr>
                <w:rFonts w:ascii="Times New Roman" w:hAnsi="Times New Roman"/>
                <w:b/>
                <w:i w:val="0"/>
                <w:color w:val="000000"/>
                <w:sz w:val="20"/>
              </w:rPr>
              <w:t xml:space="preserve">4 </w:t>
            </w:r>
          </w:p>
        </w:tc>
        <w:tc>
          <w:tcPr>
            <w:tcW w:type="dxa" w:w="1984"/>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i w:val="0"/>
                <w:color w:val="000000"/>
                <w:sz w:val="20"/>
              </w:rPr>
              <w:t xml:space="preserve">Peran </w:t>
            </w:r>
            <w:r>
              <w:rPr>
                <w:rFonts w:ascii="Times New Roman" w:hAnsi="Times New Roman"/>
                <w:b/>
                <w:i w:val="0"/>
                <w:color w:val="000000"/>
                <w:sz w:val="20"/>
              </w:rPr>
              <w:t xml:space="preserve">Manusia </w:t>
            </w:r>
            <w:r>
              <w:rPr>
                <w:rFonts w:ascii="Times New Roman" w:hAnsi="Times New Roman"/>
                <w:b/>
                <w:i/>
                <w:color w:val="000000"/>
                <w:sz w:val="20"/>
              </w:rPr>
              <w:t xml:space="preserve">(HITL) </w:t>
            </w:r>
          </w:p>
        </w:tc>
        <w:tc>
          <w:tcPr>
            <w:tcW w:type="dxa" w:w="5386"/>
            <w:tcMar>
              <w:top w:w="60" w:type="dxa"/>
              <w:bottom w:w="60" w:type="dxa"/>
              <w:left w:w="100" w:type="dxa"/>
              <w:right w:w="100" w:type="dxa"/>
            </w:tcMar>
            <w:tcBorders>
              <w:top w:val="single" w:sz="4" w:space="0" w:color="CCCCCC"/>
              <w:bottom w:val="single" w:sz="4" w:space="0" w:color="CCCCCC"/>
              <w:left w:val="single" w:sz="4" w:space="0" w:color="CCCCCC"/>
              <w:right w:val="single" w:sz="4" w:space="0" w:color="CCCCCC"/>
            </w:tcBorders>
            <w:vAlign w:val="center"/>
          </w:tcPr>
          <w:p>
            <w:pPr>
              <w:spacing w:before="0" w:after="0" w:line="276" w:lineRule="auto"/>
              <w:jc w:val="left"/>
            </w:pPr>
            <w:r/>
            <w:r>
              <w:rPr>
                <w:rFonts w:ascii="Times New Roman" w:hAnsi="Times New Roman"/>
                <w:b w:val="0"/>
                <w:i w:val="0"/>
                <w:color w:val="000000"/>
                <w:sz w:val="20"/>
              </w:rPr>
              <w:t xml:space="preserve">Kecerdasan </w:t>
            </w:r>
            <w:r>
              <w:rPr>
                <w:rFonts w:ascii="Times New Roman" w:hAnsi="Times New Roman"/>
                <w:b w:val="0"/>
                <w:i w:val="0"/>
                <w:color w:val="000000"/>
                <w:sz w:val="20"/>
              </w:rPr>
              <w:t xml:space="preserve">artifisial </w:t>
            </w:r>
            <w:r>
              <w:rPr>
                <w:rFonts w:ascii="Times New Roman" w:hAnsi="Times New Roman"/>
                <w:b w:val="0"/>
                <w:i w:val="0"/>
                <w:color w:val="000000"/>
                <w:sz w:val="20"/>
              </w:rPr>
              <w:t xml:space="preserve">bertindak </w:t>
            </w:r>
            <w:r>
              <w:rPr>
                <w:rFonts w:ascii="Times New Roman" w:hAnsi="Times New Roman"/>
                <w:b w:val="0"/>
                <w:i w:val="0"/>
                <w:color w:val="000000"/>
                <w:sz w:val="20"/>
              </w:rPr>
              <w:t xml:space="preserve">sebagai </w:t>
            </w:r>
            <w:r>
              <w:rPr>
                <w:rFonts w:ascii="Times New Roman" w:hAnsi="Times New Roman"/>
                <w:b w:val="0"/>
                <w:i w:val="0"/>
                <w:color w:val="000000"/>
                <w:sz w:val="20"/>
              </w:rPr>
              <w:t xml:space="preserve">asisten </w:t>
            </w:r>
            <w:r>
              <w:rPr>
                <w:rFonts w:ascii="Times New Roman" w:hAnsi="Times New Roman"/>
                <w:b w:val="0"/>
                <w:i w:val="0"/>
                <w:color w:val="000000"/>
                <w:sz w:val="20"/>
              </w:rPr>
              <w:t xml:space="preserve">pendukung </w:t>
            </w:r>
            <w:r>
              <w:rPr>
                <w:rFonts w:ascii="Times New Roman" w:hAnsi="Times New Roman"/>
                <w:b w:val="0"/>
                <w:i w:val="0"/>
                <w:color w:val="000000"/>
                <w:sz w:val="20"/>
              </w:rPr>
              <w:t xml:space="preserve">keputusan, </w:t>
            </w:r>
            <w:r>
              <w:rPr>
                <w:rFonts w:ascii="Times New Roman" w:hAnsi="Times New Roman"/>
                <w:b w:val="0"/>
                <w:i w:val="0"/>
                <w:color w:val="000000"/>
                <w:sz w:val="20"/>
              </w:rPr>
              <w:t xml:space="preserve">keputusan </w:t>
            </w:r>
            <w:r>
              <w:rPr>
                <w:rFonts w:ascii="Times New Roman" w:hAnsi="Times New Roman"/>
                <w:b w:val="0"/>
                <w:i w:val="0"/>
                <w:color w:val="000000"/>
                <w:sz w:val="20"/>
              </w:rPr>
              <w:t xml:space="preserve">akhir </w:t>
            </w:r>
            <w:r>
              <w:rPr>
                <w:rFonts w:ascii="Times New Roman" w:hAnsi="Times New Roman"/>
                <w:b w:val="0"/>
                <w:i w:val="0"/>
                <w:color w:val="000000"/>
                <w:sz w:val="20"/>
              </w:rPr>
              <w:t xml:space="preserve">persetujuan </w:t>
            </w:r>
            <w:r>
              <w:rPr>
                <w:rFonts w:ascii="Times New Roman" w:hAnsi="Times New Roman"/>
                <w:b w:val="0"/>
                <w:i w:val="0"/>
                <w:color w:val="000000"/>
                <w:sz w:val="20"/>
              </w:rPr>
              <w:t xml:space="preserve">laporan </w:t>
            </w:r>
            <w:r>
              <w:rPr>
                <w:rFonts w:ascii="Times New Roman" w:hAnsi="Times New Roman"/>
                <w:b w:val="0"/>
                <w:i w:val="0"/>
                <w:color w:val="000000"/>
                <w:sz w:val="20"/>
              </w:rPr>
              <w:t xml:space="preserve">tetap </w:t>
            </w:r>
            <w:r>
              <w:rPr>
                <w:rFonts w:ascii="Times New Roman" w:hAnsi="Times New Roman"/>
                <w:b w:val="0"/>
                <w:i w:val="0"/>
                <w:color w:val="000000"/>
                <w:sz w:val="20"/>
              </w:rPr>
              <w:t xml:space="preserve">di </w:t>
            </w:r>
            <w:r>
              <w:rPr>
                <w:rFonts w:ascii="Times New Roman" w:hAnsi="Times New Roman"/>
                <w:b w:val="0"/>
                <w:i w:val="0"/>
                <w:color w:val="000000"/>
                <w:sz w:val="20"/>
              </w:rPr>
              <w:t xml:space="preserve">tangan </w:t>
            </w:r>
            <w:r>
              <w:rPr>
                <w:rFonts w:ascii="Times New Roman" w:hAnsi="Times New Roman"/>
                <w:b w:val="0"/>
                <w:i w:val="0"/>
                <w:color w:val="000000"/>
                <w:sz w:val="20"/>
              </w:rPr>
              <w:t xml:space="preserve">petugas </w:t>
            </w:r>
            <w:r>
              <w:rPr>
                <w:rFonts w:ascii="Times New Roman" w:hAnsi="Times New Roman"/>
                <w:b w:val="0"/>
                <w:i w:val="0"/>
                <w:color w:val="000000"/>
                <w:sz w:val="20"/>
              </w:rPr>
              <w:t xml:space="preserve">DLH. </w:t>
            </w:r>
          </w:p>
        </w:tc>
      </w:tr>
    </w:tbl>
    <w:p>
      <w:pPr>
        <w:spacing w:before="80" w:after="160" w:line="240" w:lineRule="auto"/>
        <w:jc w:val="center"/>
      </w:pPr>
      <w:r>
        <w:rPr>
          <w:rFonts w:ascii="Times New Roman" w:hAnsi="Times New Roman"/>
          <w:i/>
          <w:color w:val="333333"/>
          <w:sz w:val="19"/>
        </w:rPr>
        <w:t>Tabel 2. Matriks pemenuhan pilar Responsible AI pada Genesis.</w:t>
      </w:r>
    </w:p>
    <w:p>
      <w:r>
        <w:br w:type="page"/>
      </w:r>
    </w:p>
    <w:p>
      <w:pPr>
        <w:keepNext/>
        <w:spacing w:before="360" w:after="80" w:line="276" w:lineRule="auto"/>
        <w:jc w:val="left"/>
      </w:pPr>
      <w:r>
        <w:rPr>
          <w:rFonts w:ascii="Times New Roman" w:hAnsi="Times New Roman"/>
          <w:b/>
          <w:color w:val="000000"/>
          <w:sz w:val="24"/>
        </w:rPr>
        <w:t>8.1 Rencana Pengujian, Skalabilitas, &amp; Verifikasi Kode</w:t>
      </w:r>
    </w:p>
    <w:p>
      <w:pPr>
        <w:spacing w:before="0" w:after="80" w:line="360" w:lineRule="auto"/>
        <w:ind w:firstLine="720"/>
        <w:jc w:val="both"/>
      </w:pPr>
      <w:r>
        <w:rPr>
          <w:rFonts w:ascii="Times New Roman" w:hAnsi="Times New Roman"/>
          <w:b w:val="0"/>
          <w:i/>
          <w:color w:val="000000"/>
          <w:sz w:val="24"/>
        </w:rPr>
        <w:t>Untuk menjamin keandalan platform Genesis saat dioperasikan secara massal pada tingkat kota maupun nasional, tim pengembang menerapkan standar pengujian kualitas kode yang sangat ketat. Kode pemrograman diuji secara statis menggunakan perintah analisis linting bawaan dari masing-masing bahasa pemograman (seperti `flutter analyze` pada sisi mobile client, serta aturan linting ESLint pada NestJS backend) untuk memastikan tidak ada kesalahan penulisan tipe data atau potensi kebocoran memori.</w:t>
      </w:r>
    </w:p>
    <w:p>
      <w:pPr>
        <w:spacing w:before="0" w:after="80" w:line="360" w:lineRule="auto"/>
        <w:ind w:firstLine="720"/>
        <w:jc w:val="both"/>
      </w:pPr>
      <w:r>
        <w:rPr>
          <w:rFonts w:ascii="Times New Roman" w:hAnsi="Times New Roman"/>
          <w:b w:val="0"/>
          <w:i w:val="0"/>
          <w:color w:val="000000"/>
          <w:sz w:val="24"/>
        </w:rPr>
        <w:t>Verifikasi performa dilakukan secara berkala melalui simulasi uji beban (load testing) menggunakan pustaka pengujian otomatis untuk melacak waktu respons server dan latensi aliran data SSE saat melayani ribuan kueri bersamaan. Seluruh uji kompilasi APK rilis untuk masing-masing ABI target dijalankan secara otomatis lewat integrasi pipa CI/CD, menghasilkan berkas siap pasang dengan ukuran biner yang sangat efisien dan bebas dari kerentanan keamanan pihak ketiga.</w:t>
      </w:r>
    </w:p>
    <w:p>
      <w:r>
        <w:br w:type="page"/>
      </w:r>
    </w:p>
    <w:p>
      <w:pPr>
        <w:keepNext/>
        <w:spacing w:before="360" w:after="80" w:line="276" w:lineRule="auto"/>
        <w:jc w:val="left"/>
      </w:pPr>
      <w:r>
        <w:rPr>
          <w:rFonts w:ascii="Times New Roman" w:hAnsi="Times New Roman"/>
          <w:b/>
          <w:color w:val="000000"/>
          <w:sz w:val="24"/>
        </w:rPr>
        <w:t>IX. Daftar Pustaka</w:t>
      </w:r>
    </w:p>
    <w:p>
      <w:pPr>
        <w:spacing w:before="120" w:after="160" w:line="360" w:lineRule="auto"/>
        <w:jc w:val="both"/>
      </w:pPr>
    </w:p>
    <w:p>
      <w:pPr>
        <w:spacing w:before="0" w:after="120" w:line="276" w:lineRule="auto"/>
        <w:ind w:left="720" w:hanging="720"/>
        <w:jc w:val="left"/>
      </w:pPr>
      <w:r>
        <w:rPr>
          <w:rFonts w:ascii="Times New Roman" w:hAnsi="Times New Roman"/>
          <w:color w:val="000000"/>
          <w:sz w:val="24"/>
        </w:rPr>
        <w:t xml:space="preserve">Chen, M., &amp; Al-Mutairi, A. (2024). Context-aware retrieval-augmented generation for automated legal compliance in environmental planning. </w:t>
      </w:r>
      <w:r>
        <w:rPr>
          <w:rFonts w:ascii="Times New Roman" w:hAnsi="Times New Roman"/>
          <w:i/>
          <w:color w:val="000000"/>
          <w:sz w:val="24"/>
        </w:rPr>
        <w:t xml:space="preserve">Environmental Policy and Decision Support Systems, </w:t>
      </w:r>
      <w:r>
        <w:rPr>
          <w:rFonts w:ascii="Times New Roman" w:hAnsi="Times New Roman"/>
          <w:color w:val="000000"/>
          <w:sz w:val="24"/>
        </w:rPr>
        <w:t>29(4), 412–427. https://doi.org/10.1007/s10669-024-09873-1</w:t>
      </w:r>
    </w:p>
    <w:p>
      <w:pPr>
        <w:spacing w:before="0" w:after="120" w:line="276" w:lineRule="auto"/>
        <w:ind w:left="720" w:hanging="720"/>
        <w:jc w:val="left"/>
      </w:pPr>
      <w:r>
        <w:rPr>
          <w:rFonts w:ascii="Times New Roman" w:hAnsi="Times New Roman"/>
          <w:color w:val="000000"/>
          <w:sz w:val="24"/>
        </w:rPr>
        <w:t xml:space="preserve">Hamari, J., &amp; Koivisto, J. (2021). Pro-environmental behavior through gamification: A systematic literature review on motivation and citizen engagement. </w:t>
      </w:r>
      <w:r>
        <w:rPr>
          <w:rFonts w:ascii="Times New Roman" w:hAnsi="Times New Roman"/>
          <w:i/>
          <w:color w:val="000000"/>
          <w:sz w:val="24"/>
        </w:rPr>
        <w:t xml:space="preserve">Computers in Human Behavior, </w:t>
      </w:r>
      <w:r>
        <w:rPr>
          <w:rFonts w:ascii="Times New Roman" w:hAnsi="Times New Roman"/>
          <w:color w:val="000000"/>
          <w:sz w:val="24"/>
        </w:rPr>
        <w:t>114, Article 106553. https://doi.org/10.1016/j.chb.2020.106553</w:t>
      </w:r>
    </w:p>
    <w:p>
      <w:pPr>
        <w:spacing w:before="0" w:after="120" w:line="276" w:lineRule="auto"/>
        <w:ind w:left="720" w:hanging="720"/>
        <w:jc w:val="left"/>
      </w:pPr>
      <w:r>
        <w:rPr>
          <w:rFonts w:ascii="Times New Roman" w:hAnsi="Times New Roman"/>
          <w:color w:val="000000"/>
          <w:sz w:val="24"/>
        </w:rPr>
        <w:t xml:space="preserve">Harrison, R., &amp; Roberts, D. (2022). Mobile crowdsourcing platforms for participatory environmental governance. </w:t>
      </w:r>
      <w:r>
        <w:rPr>
          <w:rFonts w:ascii="Times New Roman" w:hAnsi="Times New Roman"/>
          <w:i/>
          <w:color w:val="000000"/>
          <w:sz w:val="24"/>
        </w:rPr>
        <w:t xml:space="preserve">Journal of Civic Technology, </w:t>
      </w:r>
      <w:r>
        <w:rPr>
          <w:rFonts w:ascii="Times New Roman" w:hAnsi="Times New Roman"/>
          <w:color w:val="000000"/>
          <w:sz w:val="24"/>
        </w:rPr>
        <w:t>14(3), 245–259. https://doi.org/10.1016/j.civtech.2022.100104</w:t>
      </w:r>
    </w:p>
    <w:p>
      <w:pPr>
        <w:spacing w:before="0" w:after="120" w:line="276" w:lineRule="auto"/>
        <w:ind w:left="720" w:hanging="720"/>
        <w:jc w:val="left"/>
      </w:pPr>
      <w:r>
        <w:rPr>
          <w:rFonts w:ascii="Times New Roman" w:hAnsi="Times New Roman"/>
          <w:color w:val="000000"/>
          <w:sz w:val="24"/>
        </w:rPr>
        <w:t xml:space="preserve">Peterson, K., &amp; Jenkins, T. (2023). Server-Sent Events (SSE) and asynchronous streaming in high-concurrency large language model orchestrations. </w:t>
      </w:r>
      <w:r>
        <w:rPr>
          <w:rFonts w:ascii="Times New Roman" w:hAnsi="Times New Roman"/>
          <w:i/>
          <w:color w:val="000000"/>
          <w:sz w:val="24"/>
        </w:rPr>
        <w:t xml:space="preserve">Software Practice and Experience, </w:t>
      </w:r>
      <w:r>
        <w:rPr>
          <w:rFonts w:ascii="Times New Roman" w:hAnsi="Times New Roman"/>
          <w:color w:val="000000"/>
          <w:sz w:val="24"/>
        </w:rPr>
        <w:t>53(9), 1801–1815. https://doi.org/10.1002/spe.3198</w:t>
      </w:r>
    </w:p>
    <w:p>
      <w:pPr>
        <w:spacing w:before="0" w:after="120" w:line="276" w:lineRule="auto"/>
        <w:ind w:left="720" w:hanging="720"/>
        <w:jc w:val="left"/>
      </w:pPr>
      <w:r>
        <w:rPr>
          <w:rFonts w:ascii="Times New Roman" w:hAnsi="Times New Roman"/>
          <w:color w:val="000000"/>
          <w:sz w:val="24"/>
        </w:rPr>
        <w:t xml:space="preserve">Singh, G., &amp; Mittal, S. (2024). Innovative Machine Learning Techniques for Accurate Detection of Bacterial Blight in Rice Agriculture. </w:t>
      </w:r>
      <w:r>
        <w:rPr>
          <w:rFonts w:ascii="Times New Roman" w:hAnsi="Times New Roman"/>
          <w:i/>
          <w:color w:val="000000"/>
          <w:sz w:val="24"/>
        </w:rPr>
        <w:t xml:space="preserve">IEEE Conference on Evolutionary Computation, </w:t>
      </w:r>
      <w:r>
        <w:rPr>
          <w:rFonts w:ascii="Times New Roman" w:hAnsi="Times New Roman"/>
          <w:color w:val="000000"/>
          <w:sz w:val="24"/>
        </w:rPr>
        <w:t>1221–1226. https://doi.org/10.1109/iceca63461.2024.10800860</w:t>
      </w:r>
    </w:p>
    <w:p>
      <w:pPr>
        <w:spacing w:before="0" w:after="120" w:line="276" w:lineRule="auto"/>
        <w:ind w:left="720" w:hanging="720"/>
        <w:jc w:val="left"/>
      </w:pPr>
      <w:r>
        <w:rPr>
          <w:rFonts w:ascii="Times New Roman" w:hAnsi="Times New Roman"/>
          <w:color w:val="000000"/>
          <w:sz w:val="24"/>
        </w:rPr>
        <w:t xml:space="preserve">Sutedjo, I. (2022). </w:t>
      </w:r>
      <w:r>
        <w:rPr>
          <w:rFonts w:ascii="Times New Roman" w:hAnsi="Times New Roman"/>
          <w:i/>
          <w:color w:val="000000"/>
          <w:sz w:val="24"/>
        </w:rPr>
        <w:t xml:space="preserve">Etika kecerdasan buatan dalam tata kelola administrasi publik di Indonesia. </w:t>
      </w:r>
      <w:r>
        <w:rPr>
          <w:rFonts w:ascii="Times New Roman" w:hAnsi="Times New Roman"/>
          <w:color w:val="000000"/>
          <w:sz w:val="24"/>
        </w:rPr>
        <w:t>Penerbit Universitas Indonesia.</w:t>
      </w:r>
    </w:p>
    <w:p>
      <w:pPr>
        <w:spacing w:before="0" w:after="120" w:line="276" w:lineRule="auto"/>
        <w:ind w:left="720" w:hanging="720"/>
        <w:jc w:val="left"/>
      </w:pPr>
      <w:r>
        <w:rPr>
          <w:rFonts w:ascii="Times New Roman" w:hAnsi="Times New Roman"/>
          <w:color w:val="000000"/>
          <w:sz w:val="24"/>
        </w:rPr>
        <w:t xml:space="preserve">Wibowo, A., &amp; Saputra, H. (2023). Implementasi teknologi informasi geografis (GIS) untuk mitigasi bencana banjir perkotaan berbasis partisipasi masyarakat. </w:t>
      </w:r>
      <w:r>
        <w:rPr>
          <w:rFonts w:ascii="Times New Roman" w:hAnsi="Times New Roman"/>
          <w:i/>
          <w:color w:val="000000"/>
          <w:sz w:val="24"/>
        </w:rPr>
        <w:t xml:space="preserve">Jurnal Geografi Indonesia, </w:t>
      </w:r>
      <w:r>
        <w:rPr>
          <w:rFonts w:ascii="Times New Roman" w:hAnsi="Times New Roman"/>
          <w:color w:val="000000"/>
          <w:sz w:val="24"/>
        </w:rPr>
        <w:t>12(2), 89–104. https://doi.org/10.22146/jgi.72910</w:t>
      </w:r>
    </w:p>
    <w:p>
      <w:pPr>
        <w:spacing w:before="0" w:after="120" w:line="276" w:lineRule="auto"/>
        <w:ind w:left="720" w:hanging="720"/>
        <w:jc w:val="left"/>
      </w:pPr>
      <w:r>
        <w:rPr>
          <w:rFonts w:ascii="Times New Roman" w:hAnsi="Times New Roman"/>
          <w:color w:val="000000"/>
          <w:sz w:val="24"/>
        </w:rPr>
        <w:t xml:space="preserve">Zhao, L., &amp; Wang, Y. (2025). High-accuracy environmental hazard detection using multimodal large language models and edge vision systems. </w:t>
      </w:r>
      <w:r>
        <w:rPr>
          <w:rFonts w:ascii="Times New Roman" w:hAnsi="Times New Roman"/>
          <w:i/>
          <w:color w:val="000000"/>
          <w:sz w:val="24"/>
        </w:rPr>
        <w:t xml:space="preserve">IEEE Transactions on Environmental Intelligence, </w:t>
      </w:r>
      <w:r>
        <w:rPr>
          <w:rFonts w:ascii="Times New Roman" w:hAnsi="Times New Roman"/>
          <w:color w:val="000000"/>
          <w:sz w:val="24"/>
        </w:rPr>
        <w:t>18(1), 112–126. https://doi.org/10.1109/tei.2025.10903827</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