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240"/>
        <w:jc w:val="center"/>
      </w:pPr>
      <w:r>
        <w:rPr>
          <w:rFonts w:ascii="Times New Roman" w:hAnsi="Times New Roman"/>
          <w:b/>
          <w:sz w:val="32"/>
        </w:rPr>
        <w:t>DESAIN SISTEM &amp; ARSITEKTUR TEKNIS PLATFORM GENESIS</w:t>
        <w:br/>
      </w:r>
    </w:p>
    <w:p>
      <w:pPr>
        <w:spacing w:after="600"/>
        <w:jc w:val="center"/>
      </w:pPr>
      <w:r>
        <w:rPr>
          <w:rFonts w:ascii="Times New Roman" w:hAnsi="Times New Roman"/>
          <w:i/>
          <w:sz w:val="26"/>
        </w:rPr>
        <w:t>Platform Crowdsourcing Lingkungan Berbasis Kecerdasan Artifisial untuk Mendukung Tata Kelola Lingkungan yang Partisipatif dan Pengambilan Keputusan Berbasis Data</w:t>
        <w:br/>
        <w:br/>
        <w:t>STUDI KASUS 2 — LINGKUNGAN: MENDUKUNG AKSI IKLIM LOKAL</w:t>
      </w:r>
    </w:p>
    <w:p>
      <w:pPr>
        <w:spacing w:before="0" w:after="120" w:line="360" w:lineRule="auto"/>
        <w:ind w:firstLine="0"/>
        <w:jc w:val="center"/>
      </w:pPr>
      <w:r>
        <w:rPr>
          <w:rFonts w:ascii="Times New Roman" w:hAnsi="Times New Roman"/>
          <w:b/>
          <w:i w:val="0"/>
          <w:color w:val="000000"/>
          <w:sz w:val="24"/>
        </w:rPr>
        <w:t>Daftar Identitas Tim Pengembang Proyek:</w:t>
      </w:r>
    </w:p>
    <w:tbl>
      <w:tblPr>
        <w:tblW w:type="auto" w:w="0"/>
        <w:jc w:val="center"/>
        <w:tblLayout w:type="fixed"/>
        <w:tblLook w:firstColumn="1" w:firstRow="1" w:lastColumn="0" w:lastRow="0" w:noHBand="0" w:noVBand="1" w:val="04A0"/>
      </w:tblPr>
      <w:tblGrid>
        <w:gridCol w:w="1984"/>
        <w:gridCol w:w="1984"/>
        <w:gridCol w:w="1984"/>
        <w:gridCol w:w="1984"/>
      </w:tblGrid>
      <w:tr>
        <w:tc>
          <w:tcPr>
            <w:tcW w:type="dxa" w:w="1701"/>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NISN </w:t>
            </w:r>
            <w:r>
              <w:rPr>
                <w:rFonts w:ascii="Times New Roman" w:hAnsi="Times New Roman"/>
                <w:b/>
                <w:i w:val="0"/>
                <w:color w:val="000000"/>
                <w:sz w:val="20"/>
              </w:rPr>
              <w:t xml:space="preserve">/ </w:t>
            </w:r>
            <w:r>
              <w:rPr>
                <w:rFonts w:ascii="Times New Roman" w:hAnsi="Times New Roman"/>
                <w:b/>
                <w:i w:val="0"/>
                <w:color w:val="000000"/>
                <w:sz w:val="20"/>
              </w:rPr>
              <w:t xml:space="preserve">NIM </w:t>
            </w:r>
          </w:p>
        </w:tc>
        <w:tc>
          <w:tcPr>
            <w:tcW w:type="dxa" w:w="2268"/>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Nama </w:t>
            </w:r>
            <w:r>
              <w:rPr>
                <w:rFonts w:ascii="Times New Roman" w:hAnsi="Times New Roman"/>
                <w:b/>
                <w:i w:val="0"/>
                <w:color w:val="000000"/>
                <w:sz w:val="20"/>
              </w:rPr>
              <w:t xml:space="preserve">Lengkap </w:t>
            </w:r>
          </w:p>
        </w:tc>
        <w:tc>
          <w:tcPr>
            <w:tcW w:type="dxa" w:w="2551"/>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Satuan </w:t>
            </w:r>
            <w:r>
              <w:rPr>
                <w:rFonts w:ascii="Times New Roman" w:hAnsi="Times New Roman"/>
                <w:b/>
                <w:i w:val="0"/>
                <w:color w:val="000000"/>
                <w:sz w:val="20"/>
              </w:rPr>
              <w:t xml:space="preserve">Pendidikan </w:t>
            </w:r>
          </w:p>
        </w:tc>
        <w:tc>
          <w:tcPr>
            <w:tcW w:type="dxa" w:w="1417"/>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Peran </w:t>
            </w:r>
            <w:r>
              <w:rPr>
                <w:rFonts w:ascii="Times New Roman" w:hAnsi="Times New Roman"/>
                <w:b/>
                <w:i w:val="0"/>
                <w:color w:val="000000"/>
                <w:sz w:val="20"/>
              </w:rPr>
              <w:t xml:space="preserve">/ </w:t>
            </w:r>
            <w:r>
              <w:rPr>
                <w:rFonts w:ascii="Times New Roman" w:hAnsi="Times New Roman"/>
                <w:b/>
                <w:i w:val="0"/>
                <w:color w:val="000000"/>
                <w:sz w:val="20"/>
              </w:rPr>
              <w:t xml:space="preserve">Jabatan </w:t>
            </w:r>
          </w:p>
        </w:tc>
      </w:tr>
      <w:tr>
        <w:tc>
          <w:tcPr>
            <w:tcW w:type="dxa" w:w="170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0082633466 </w:t>
            </w:r>
          </w:p>
        </w:tc>
        <w:tc>
          <w:tcPr>
            <w:tcW w:type="dxa" w:w="2268"/>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Arief </w:t>
            </w:r>
            <w:r>
              <w:rPr>
                <w:rFonts w:ascii="Times New Roman" w:hAnsi="Times New Roman"/>
                <w:b/>
                <w:i w:val="0"/>
                <w:color w:val="000000"/>
                <w:sz w:val="20"/>
              </w:rPr>
              <w:t xml:space="preserve">Fajar </w:t>
            </w:r>
          </w:p>
        </w:tc>
        <w:tc>
          <w:tcPr>
            <w:tcW w:type="dxa" w:w="255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SMK </w:t>
            </w:r>
            <w:r>
              <w:rPr>
                <w:rFonts w:ascii="Times New Roman" w:hAnsi="Times New Roman"/>
                <w:b w:val="0"/>
                <w:i w:val="0"/>
                <w:color w:val="000000"/>
                <w:sz w:val="20"/>
              </w:rPr>
              <w:t xml:space="preserve">MARHAS </w:t>
            </w:r>
            <w:r>
              <w:rPr>
                <w:rFonts w:ascii="Times New Roman" w:hAnsi="Times New Roman"/>
                <w:b w:val="0"/>
                <w:i w:val="0"/>
                <w:color w:val="000000"/>
                <w:sz w:val="20"/>
              </w:rPr>
              <w:t xml:space="preserve">MARGAHAYU </w:t>
            </w:r>
          </w:p>
        </w:tc>
        <w:tc>
          <w:tcPr>
            <w:tcW w:type="dxa" w:w="141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Ketua </w:t>
            </w:r>
            <w:r>
              <w:rPr>
                <w:rFonts w:ascii="Times New Roman" w:hAnsi="Times New Roman"/>
                <w:b w:val="0"/>
                <w:i w:val="0"/>
                <w:color w:val="000000"/>
                <w:sz w:val="20"/>
              </w:rPr>
              <w:t xml:space="preserve">Tim </w:t>
            </w:r>
          </w:p>
        </w:tc>
      </w:tr>
      <w:tr>
        <w:tc>
          <w:tcPr>
            <w:tcW w:type="dxa" w:w="170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0082941227 </w:t>
            </w:r>
          </w:p>
        </w:tc>
        <w:tc>
          <w:tcPr>
            <w:tcW w:type="dxa" w:w="2268"/>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Alysia </w:t>
            </w:r>
            <w:r>
              <w:rPr>
                <w:rFonts w:ascii="Times New Roman" w:hAnsi="Times New Roman"/>
                <w:b/>
                <w:i w:val="0"/>
                <w:color w:val="000000"/>
                <w:sz w:val="20"/>
              </w:rPr>
              <w:t xml:space="preserve">Fasma </w:t>
            </w:r>
            <w:r>
              <w:rPr>
                <w:rFonts w:ascii="Times New Roman" w:hAnsi="Times New Roman"/>
                <w:b/>
                <w:i w:val="0"/>
                <w:color w:val="000000"/>
                <w:sz w:val="20"/>
              </w:rPr>
              <w:t xml:space="preserve">Nidai </w:t>
            </w:r>
          </w:p>
        </w:tc>
        <w:tc>
          <w:tcPr>
            <w:tcW w:type="dxa" w:w="255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SMK </w:t>
            </w:r>
            <w:r>
              <w:rPr>
                <w:rFonts w:ascii="Times New Roman" w:hAnsi="Times New Roman"/>
                <w:b w:val="0"/>
                <w:i w:val="0"/>
                <w:color w:val="000000"/>
                <w:sz w:val="20"/>
              </w:rPr>
              <w:t xml:space="preserve">MARHAS </w:t>
            </w:r>
            <w:r>
              <w:rPr>
                <w:rFonts w:ascii="Times New Roman" w:hAnsi="Times New Roman"/>
                <w:b w:val="0"/>
                <w:i w:val="0"/>
                <w:color w:val="000000"/>
                <w:sz w:val="20"/>
              </w:rPr>
              <w:t xml:space="preserve">MARGAHAYU </w:t>
            </w:r>
          </w:p>
        </w:tc>
        <w:tc>
          <w:tcPr>
            <w:tcW w:type="dxa" w:w="141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Anggota </w:t>
            </w:r>
            <w:r>
              <w:rPr>
                <w:rFonts w:ascii="Times New Roman" w:hAnsi="Times New Roman"/>
                <w:b w:val="0"/>
                <w:i w:val="0"/>
                <w:color w:val="000000"/>
                <w:sz w:val="20"/>
              </w:rPr>
              <w:t xml:space="preserve">Tim </w:t>
            </w:r>
          </w:p>
        </w:tc>
      </w:tr>
      <w:tr>
        <w:tc>
          <w:tcPr>
            <w:tcW w:type="dxa" w:w="170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0093018181 </w:t>
            </w:r>
          </w:p>
        </w:tc>
        <w:tc>
          <w:tcPr>
            <w:tcW w:type="dxa" w:w="2268"/>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Reza </w:t>
            </w:r>
            <w:r>
              <w:rPr>
                <w:rFonts w:ascii="Times New Roman" w:hAnsi="Times New Roman"/>
                <w:b/>
                <w:i w:val="0"/>
                <w:color w:val="000000"/>
                <w:sz w:val="20"/>
              </w:rPr>
              <w:t xml:space="preserve">Arrofi </w:t>
            </w:r>
          </w:p>
        </w:tc>
        <w:tc>
          <w:tcPr>
            <w:tcW w:type="dxa" w:w="255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SMK </w:t>
            </w:r>
            <w:r>
              <w:rPr>
                <w:rFonts w:ascii="Times New Roman" w:hAnsi="Times New Roman"/>
                <w:b w:val="0"/>
                <w:i w:val="0"/>
                <w:color w:val="000000"/>
                <w:sz w:val="20"/>
              </w:rPr>
              <w:t xml:space="preserve">MARHAS </w:t>
            </w:r>
            <w:r>
              <w:rPr>
                <w:rFonts w:ascii="Times New Roman" w:hAnsi="Times New Roman"/>
                <w:b w:val="0"/>
                <w:i w:val="0"/>
                <w:color w:val="000000"/>
                <w:sz w:val="20"/>
              </w:rPr>
              <w:t xml:space="preserve">MARGAHAYU </w:t>
            </w:r>
          </w:p>
        </w:tc>
        <w:tc>
          <w:tcPr>
            <w:tcW w:type="dxa" w:w="141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Anggota </w:t>
            </w:r>
            <w:r>
              <w:rPr>
                <w:rFonts w:ascii="Times New Roman" w:hAnsi="Times New Roman"/>
                <w:b w:val="0"/>
                <w:i w:val="0"/>
                <w:color w:val="000000"/>
                <w:sz w:val="20"/>
              </w:rPr>
              <w:t xml:space="preserve">Tim </w:t>
            </w:r>
          </w:p>
        </w:tc>
      </w:tr>
    </w:tbl>
    <w:p>
      <w:pPr>
        <w:spacing w:before="800"/>
        <w:jc w:val="center"/>
      </w:pPr>
      <w:r>
        <w:rPr>
          <w:rFonts w:ascii="Times New Roman" w:hAnsi="Times New Roman"/>
          <w:b/>
          <w:sz w:val="22"/>
        </w:rPr>
        <w:t>EKSHIBISI TEKNOLOGI AI — LKS NASIONAL 2026</w:t>
        <w:br/>
        <w:t>KEMENTERIAN PENDIDIKAN, KEBUDAYAAN, RISET, DAN TEKNOLOGI</w:t>
        <w:br/>
        <w:t>REPUBLIK INDONESIA</w:t>
        <w:br/>
        <w:t>2026</w:t>
      </w:r>
    </w:p>
    <w:p>
      <w:r>
        <w:br w:type="page"/>
      </w:r>
    </w:p>
    <w:p>
      <w:pPr>
        <w:keepNext/>
        <w:spacing w:before="360" w:after="80" w:line="276" w:lineRule="auto"/>
        <w:jc w:val="left"/>
      </w:pPr>
      <w:r>
        <w:rPr>
          <w:rFonts w:ascii="Times New Roman" w:hAnsi="Times New Roman"/>
          <w:b/>
          <w:color w:val="000000"/>
          <w:sz w:val="24"/>
        </w:rPr>
        <w:t xml:space="preserve"> DAFTAR ISI</w:t>
      </w:r>
    </w:p>
    <w:p>
      <w:pPr>
        <w:spacing w:after="80" w:line="276" w:lineRule="auto"/>
      </w:pPr>
      <w:r>
        <w:rPr>
          <w:rFonts w:ascii="Times New Roman" w:hAnsi="Times New Roman"/>
          <w:b/>
          <w:sz w:val="24"/>
        </w:rPr>
        <w:t xml:space="preserve">I. </w:t>
      </w:r>
      <w:r>
        <w:rPr>
          <w:rFonts w:ascii="Times New Roman" w:hAnsi="Times New Roman"/>
          <w:sz w:val="24"/>
        </w:rPr>
        <w:t xml:space="preserve">RINGKASAN EKSEKUTIF &amp; LATAR BELAKANG .................................................................................. </w:t>
      </w:r>
      <w:r>
        <w:rPr>
          <w:rFonts w:ascii="Times New Roman" w:hAnsi="Times New Roman"/>
          <w:b/>
          <w:sz w:val="24"/>
        </w:rPr>
        <w:t>3</w:t>
      </w:r>
    </w:p>
    <w:p>
      <w:pPr>
        <w:spacing w:after="80" w:line="276" w:lineRule="auto"/>
      </w:pPr>
      <w:r>
        <w:rPr>
          <w:rFonts w:ascii="Times New Roman" w:hAnsi="Times New Roman"/>
          <w:b/>
          <w:sz w:val="24"/>
        </w:rPr>
        <w:t xml:space="preserve">II. </w:t>
      </w:r>
      <w:r>
        <w:rPr>
          <w:rFonts w:ascii="Times New Roman" w:hAnsi="Times New Roman"/>
          <w:sz w:val="24"/>
        </w:rPr>
        <w:t xml:space="preserve">ARSITEKTUR ENTERPRISE INTEGRASI SISTEM ............................................................................... </w:t>
      </w:r>
      <w:r>
        <w:rPr>
          <w:rFonts w:ascii="Times New Roman" w:hAnsi="Times New Roman"/>
          <w:b/>
          <w:sz w:val="24"/>
        </w:rPr>
        <w:t>4</w:t>
      </w:r>
    </w:p>
    <w:p>
      <w:pPr>
        <w:spacing w:after="80" w:line="276" w:lineRule="auto"/>
      </w:pPr>
      <w:r>
        <w:rPr>
          <w:rFonts w:ascii="Times New Roman" w:hAnsi="Times New Roman"/>
          <w:b/>
          <w:sz w:val="24"/>
        </w:rPr>
        <w:t xml:space="preserve">III. </w:t>
      </w:r>
      <w:r>
        <w:rPr>
          <w:rFonts w:ascii="Times New Roman" w:hAnsi="Times New Roman"/>
          <w:sz w:val="24"/>
        </w:rPr>
        <w:t xml:space="preserve">ALIRAN INTERAKSI KOMPONEN &amp; SKEMA GRAFIS ............................................................................ </w:t>
      </w:r>
      <w:r>
        <w:rPr>
          <w:rFonts w:ascii="Times New Roman" w:hAnsi="Times New Roman"/>
          <w:b/>
          <w:sz w:val="24"/>
        </w:rPr>
        <w:t>5</w:t>
      </w:r>
    </w:p>
    <w:p>
      <w:pPr>
        <w:spacing w:after="80" w:line="276" w:lineRule="auto"/>
      </w:pPr>
      <w:r>
        <w:rPr>
          <w:rFonts w:ascii="Times New Roman" w:hAnsi="Times New Roman"/>
          <w:b/>
          <w:sz w:val="24"/>
        </w:rPr>
        <w:t xml:space="preserve">IV. </w:t>
      </w:r>
      <w:r>
        <w:rPr>
          <w:rFonts w:ascii="Times New Roman" w:hAnsi="Times New Roman"/>
          <w:sz w:val="24"/>
        </w:rPr>
        <w:t xml:space="preserve">PIPELINE DETEKSI SPASIAL &amp; SENSOR CITRA .............................................................................. </w:t>
      </w:r>
      <w:r>
        <w:rPr>
          <w:rFonts w:ascii="Times New Roman" w:hAnsi="Times New Roman"/>
          <w:b/>
          <w:sz w:val="24"/>
        </w:rPr>
        <w:t>6</w:t>
      </w:r>
    </w:p>
    <w:p>
      <w:pPr>
        <w:spacing w:after="80" w:line="276" w:lineRule="auto"/>
      </w:pPr>
      <w:r>
        <w:rPr>
          <w:rFonts w:ascii="Times New Roman" w:hAnsi="Times New Roman"/>
          <w:b/>
          <w:sz w:val="24"/>
        </w:rPr>
        <w:t xml:space="preserve">V. </w:t>
      </w:r>
      <w:r>
        <w:rPr>
          <w:rFonts w:ascii="Times New Roman" w:hAnsi="Times New Roman"/>
          <w:sz w:val="24"/>
        </w:rPr>
        <w:t xml:space="preserve">TABEL TAHAPAN PIPELINE &amp; AMBANG BATAS HITL ............................................................................ </w:t>
      </w:r>
      <w:r>
        <w:rPr>
          <w:rFonts w:ascii="Times New Roman" w:hAnsi="Times New Roman"/>
          <w:b/>
          <w:sz w:val="24"/>
        </w:rPr>
        <w:t>7</w:t>
      </w:r>
    </w:p>
    <w:p>
      <w:pPr>
        <w:spacing w:after="80" w:line="276" w:lineRule="auto"/>
      </w:pPr>
      <w:r>
        <w:rPr>
          <w:rFonts w:ascii="Times New Roman" w:hAnsi="Times New Roman"/>
          <w:b/>
          <w:sz w:val="24"/>
        </w:rPr>
        <w:t xml:space="preserve">VI. </w:t>
      </w:r>
      <w:r>
        <w:rPr>
          <w:rFonts w:ascii="Times New Roman" w:hAnsi="Times New Roman"/>
          <w:sz w:val="24"/>
        </w:rPr>
        <w:t xml:space="preserve">SSE STREAMING &amp; LOGICAL REASONING AI CHAT ............................................................................ </w:t>
      </w:r>
      <w:r>
        <w:rPr>
          <w:rFonts w:ascii="Times New Roman" w:hAnsi="Times New Roman"/>
          <w:b/>
          <w:sz w:val="24"/>
        </w:rPr>
        <w:t>8</w:t>
      </w:r>
    </w:p>
    <w:p>
      <w:pPr>
        <w:spacing w:after="80" w:line="276" w:lineRule="auto"/>
      </w:pPr>
      <w:r>
        <w:rPr>
          <w:rFonts w:ascii="Times New Roman" w:hAnsi="Times New Roman"/>
          <w:b/>
          <w:sz w:val="24"/>
        </w:rPr>
        <w:t xml:space="preserve">VII. </w:t>
      </w:r>
      <w:r>
        <w:rPr>
          <w:rFonts w:ascii="Times New Roman" w:hAnsi="Times New Roman"/>
          <w:sz w:val="24"/>
        </w:rPr>
        <w:t xml:space="preserve">HYBRID RAG &amp; PERUTEAN MODEL DINAMIS ................................................................................. </w:t>
      </w:r>
      <w:r>
        <w:rPr>
          <w:rFonts w:ascii="Times New Roman" w:hAnsi="Times New Roman"/>
          <w:b/>
          <w:sz w:val="24"/>
        </w:rPr>
        <w:t>9</w:t>
      </w:r>
    </w:p>
    <w:p>
      <w:pPr>
        <w:spacing w:after="80" w:line="276" w:lineRule="auto"/>
      </w:pPr>
      <w:r>
        <w:rPr>
          <w:rFonts w:ascii="Times New Roman" w:hAnsi="Times New Roman"/>
          <w:b/>
          <w:sz w:val="24"/>
        </w:rPr>
        <w:t xml:space="preserve">VIII. </w:t>
      </w:r>
      <w:r>
        <w:rPr>
          <w:rFonts w:ascii="Times New Roman" w:hAnsi="Times New Roman"/>
          <w:sz w:val="24"/>
        </w:rPr>
        <w:t xml:space="preserve">MESIN GAMIFIKASI &amp; LEADERBOARD DATA RIIL ........................................................................... </w:t>
      </w:r>
      <w:r>
        <w:rPr>
          <w:rFonts w:ascii="Times New Roman" w:hAnsi="Times New Roman"/>
          <w:b/>
          <w:sz w:val="24"/>
        </w:rPr>
        <w:t>10</w:t>
      </w:r>
    </w:p>
    <w:p>
      <w:pPr>
        <w:spacing w:after="80" w:line="276" w:lineRule="auto"/>
      </w:pPr>
      <w:r>
        <w:rPr>
          <w:rFonts w:ascii="Times New Roman" w:hAnsi="Times New Roman"/>
          <w:b/>
          <w:sz w:val="24"/>
        </w:rPr>
        <w:t xml:space="preserve">IX. </w:t>
      </w:r>
      <w:r>
        <w:rPr>
          <w:rFonts w:ascii="Times New Roman" w:hAnsi="Times New Roman"/>
          <w:sz w:val="24"/>
        </w:rPr>
        <w:t xml:space="preserve">RESPONSIBLE AI &amp; SAFETY-BY-DESIGN GUIDELINES ......................................................................... </w:t>
      </w:r>
      <w:r>
        <w:rPr>
          <w:rFonts w:ascii="Times New Roman" w:hAnsi="Times New Roman"/>
          <w:b/>
          <w:sz w:val="24"/>
        </w:rPr>
        <w:t>11</w:t>
      </w:r>
    </w:p>
    <w:p>
      <w:pPr>
        <w:spacing w:after="80" w:line="276" w:lineRule="auto"/>
      </w:pPr>
      <w:r>
        <w:rPr>
          <w:rFonts w:ascii="Times New Roman" w:hAnsi="Times New Roman"/>
          <w:b/>
          <w:sz w:val="24"/>
        </w:rPr>
        <w:t xml:space="preserve">X. </w:t>
      </w:r>
      <w:r>
        <w:rPr>
          <w:rFonts w:ascii="Times New Roman" w:hAnsi="Times New Roman"/>
          <w:sz w:val="24"/>
        </w:rPr>
        <w:t xml:space="preserve">RENCANA PENGUJIAN, SKALABILITAS, &amp; VERIFIKASI ......................................................................... </w:t>
      </w:r>
      <w:r>
        <w:rPr>
          <w:rFonts w:ascii="Times New Roman" w:hAnsi="Times New Roman"/>
          <w:b/>
          <w:sz w:val="24"/>
        </w:rPr>
        <w:t>12</w:t>
      </w:r>
    </w:p>
    <w:p>
      <w:pPr>
        <w:spacing w:after="80" w:line="276" w:lineRule="auto"/>
      </w:pPr>
      <w:r>
        <w:rPr>
          <w:rFonts w:ascii="Times New Roman" w:hAnsi="Times New Roman"/>
          <w:b/>
          <w:sz w:val="24"/>
        </w:rPr>
        <w:t xml:space="preserve">XI. </w:t>
      </w:r>
      <w:r>
        <w:rPr>
          <w:rFonts w:ascii="Times New Roman" w:hAnsi="Times New Roman"/>
          <w:sz w:val="24"/>
        </w:rPr>
        <w:t xml:space="preserve">DAFTAR PUSTAKA (APA 7TH EDITION) ..................................................................................... </w:t>
      </w:r>
      <w:r>
        <w:rPr>
          <w:rFonts w:ascii="Times New Roman" w:hAnsi="Times New Roman"/>
          <w:b/>
          <w:sz w:val="24"/>
        </w:rPr>
        <w:t>13</w:t>
      </w:r>
    </w:p>
    <w:p>
      <w:r>
        <w:br w:type="page"/>
      </w:r>
    </w:p>
    <w:p>
      <w:pPr>
        <w:keepNext/>
        <w:spacing w:before="360" w:after="80" w:line="276" w:lineRule="auto"/>
        <w:jc w:val="left"/>
      </w:pPr>
      <w:r>
        <w:rPr>
          <w:rFonts w:ascii="Times New Roman" w:hAnsi="Times New Roman"/>
          <w:b/>
          <w:color w:val="000000"/>
          <w:sz w:val="24"/>
        </w:rPr>
        <w:t>I. RINGKASAN EKSEKUTIF &amp; LATAR BELAKANG</w:t>
      </w:r>
    </w:p>
    <w:p>
      <w:pPr>
        <w:spacing w:before="0" w:after="120" w:line="360" w:lineRule="auto"/>
        <w:ind w:firstLine="720"/>
        <w:jc w:val="both"/>
      </w:pPr>
      <w:r>
        <w:rPr>
          <w:rFonts w:ascii="Times New Roman" w:hAnsi="Times New Roman"/>
          <w:b w:val="0"/>
          <w:i w:val="0"/>
          <w:color w:val="000000"/>
          <w:sz w:val="24"/>
        </w:rPr>
        <w:t>Sistem tata kelola lingkungan hidup di era modern menuntut adanya sinergi yang harmonis antara partisipasi publik aktif (</w:t>
      </w:r>
      <w:r>
        <w:rPr>
          <w:rFonts w:ascii="Times New Roman" w:hAnsi="Times New Roman"/>
          <w:b w:val="0"/>
          <w:i/>
          <w:color w:val="000000"/>
          <w:sz w:val="24"/>
        </w:rPr>
        <w:t>crowdsourcing</w:t>
      </w:r>
      <w:r>
        <w:rPr>
          <w:rFonts w:ascii="Times New Roman" w:hAnsi="Times New Roman"/>
          <w:b w:val="0"/>
          <w:i w:val="0"/>
          <w:color w:val="000000"/>
          <w:sz w:val="24"/>
        </w:rPr>
        <w:t xml:space="preserve">) dengan kapasitas pengolahan data otomatis berbasis kecerdasan artifisial. Platform </w:t>
      </w:r>
      <w:r>
        <w:rPr>
          <w:rFonts w:ascii="Times New Roman" w:hAnsi="Times New Roman"/>
          <w:b/>
          <w:i w:val="0"/>
          <w:color w:val="000000"/>
          <w:sz w:val="24"/>
        </w:rPr>
        <w:t>Genesis</w:t>
      </w:r>
      <w:r>
        <w:rPr>
          <w:rFonts w:ascii="Times New Roman" w:hAnsi="Times New Roman"/>
          <w:b w:val="0"/>
          <w:i w:val="0"/>
          <w:color w:val="000000"/>
          <w:sz w:val="24"/>
        </w:rPr>
        <w:t xml:space="preserve"> dikembangkan sebagai jawaban atas ketimpangan koordinasi penanganan pencemaran dan pengrusakan lingkungan lokal. Dengan menyajikan arsitektur multi-layanan yang handal, cepat, aman, serta dapat dipertanggungjawabkan (</w:t>
      </w:r>
      <w:r>
        <w:rPr>
          <w:rFonts w:ascii="Times New Roman" w:hAnsi="Times New Roman"/>
          <w:b w:val="0"/>
          <w:i/>
          <w:color w:val="000000"/>
          <w:sz w:val="24"/>
        </w:rPr>
        <w:t>Responsible AI</w:t>
      </w:r>
      <w:r>
        <w:rPr>
          <w:rFonts w:ascii="Times New Roman" w:hAnsi="Times New Roman"/>
          <w:b w:val="0"/>
          <w:i w:val="0"/>
          <w:color w:val="000000"/>
          <w:sz w:val="24"/>
        </w:rPr>
        <w:t>), Genesis mereformasi cara warga mengawasi dan pemerintah daerah menanggapi aksi iklim.</w:t>
      </w:r>
    </w:p>
    <w:p>
      <w:pPr>
        <w:spacing w:before="0" w:after="120" w:line="360" w:lineRule="auto"/>
        <w:ind w:firstLine="720"/>
        <w:jc w:val="both"/>
      </w:pPr>
      <w:r>
        <w:rPr>
          <w:rFonts w:ascii="Times New Roman" w:hAnsi="Times New Roman"/>
          <w:b w:val="0"/>
          <w:i w:val="0"/>
          <w:color w:val="000000"/>
          <w:sz w:val="24"/>
        </w:rPr>
        <w:t>Aksi mitigasi kerusakan lingkungan di tingkat lokal sering kali terhambat oleh lambatnya proses verifikasi administratif di Dinas Lingkungan Hidup (DLH). Hal ini diperparah oleh laporan masyarakat yang sering tumpang tindih (duplikasi), tidak memiliki koordinat geospasial presisi, serta mengekspos data pribadi sensitif seperti wajah atau plat nomor kendaraan secara ilegal. Masalah privasi ini dapat menimbulkan ketidaknyamanan hukum bagi pelapor. Oleh karena itu, Genesis merancang sistem otomasi filtrasi berbasis spasial dan deteksi sensor citra secara langsung.</w:t>
      </w:r>
    </w:p>
    <w:p>
      <w:pPr>
        <w:spacing w:before="0" w:after="120" w:line="360" w:lineRule="auto"/>
        <w:ind w:firstLine="720"/>
        <w:jc w:val="both"/>
      </w:pPr>
      <w:r>
        <w:rPr>
          <w:rFonts w:ascii="Times New Roman" w:hAnsi="Times New Roman"/>
          <w:b w:val="0"/>
          <w:i/>
          <w:color w:val="000000"/>
          <w:sz w:val="24"/>
        </w:rPr>
        <w:t>Melalui penerapan batas spasial PostGIS dan pengolahan citra tanpa persistent file pada memori server (in-memory buffer), Genesis menjamin privasi warga terlindungi sejak detik pertama berkas dikirimkan. Di sisi lain, pemerintah daerah menerima data laporan yang sudah terklasifikasi, bersih dari data pribadi sensitif, dan siap ditindaklanjuti secara akurat.</w:t>
      </w:r>
    </w:p>
    <w:p>
      <w:r>
        <w:br w:type="page"/>
      </w:r>
    </w:p>
    <w:p>
      <w:pPr>
        <w:keepNext/>
        <w:spacing w:before="360" w:after="80" w:line="276" w:lineRule="auto"/>
        <w:jc w:val="left"/>
      </w:pPr>
      <w:r>
        <w:rPr>
          <w:rFonts w:ascii="Times New Roman" w:hAnsi="Times New Roman"/>
          <w:b/>
          <w:color w:val="000000"/>
          <w:sz w:val="24"/>
        </w:rPr>
        <w:t>II. ARSITEKTUR ENTERPRISE INTEGRASI SISTEM</w:t>
      </w:r>
    </w:p>
    <w:p>
      <w:pPr>
        <w:spacing w:before="0" w:after="120" w:line="360" w:lineRule="auto"/>
        <w:ind w:firstLine="720"/>
        <w:jc w:val="both"/>
      </w:pPr>
      <w:r>
        <w:rPr>
          <w:rFonts w:ascii="Times New Roman" w:hAnsi="Times New Roman"/>
          <w:b w:val="0"/>
          <w:i/>
          <w:color w:val="000000"/>
          <w:sz w:val="24"/>
        </w:rPr>
        <w:t>Platform Genesis dikembangkan dengan pendekatan arsitektur multitier yang memisahkan tanggung jawab visual, kontrol alur logika bisnis, dan inferensi kecerdasan artifisial. Pemisahan ini sangat penting untuk menjaga skalabilitas sistem saat menerima ribuan request bersamaan. Arsitektur terbagi menjadi empat tingkatan fungsional: (1) Client Layer menggunakan Flutter dengan state management BLoC untuk mobile app warga, serta Next.js untuk dasbor DLH, (2) Orchestration Layer berbasis NestJS Node.js, (3) Persistence Layer berbasis PostgreSQL/PostGIS, dan (4) Cognitive AI Layer berbasis Google Cloud Platform.</w:t>
      </w:r>
    </w:p>
    <w:p>
      <w:pPr>
        <w:spacing w:before="0" w:after="120" w:line="360" w:lineRule="auto"/>
        <w:ind w:firstLine="720"/>
        <w:jc w:val="both"/>
      </w:pPr>
      <w:r>
        <w:rPr>
          <w:rFonts w:ascii="Times New Roman" w:hAnsi="Times New Roman"/>
          <w:b w:val="0"/>
          <w:i/>
          <w:color w:val="000000"/>
          <w:sz w:val="24"/>
        </w:rPr>
        <w:t>Penggunaan NestJS sebagai API Gateway memastikan semua request dari client melewati proses autentikasi ketat berbasis JWT token dan pembatasan frekuensi (rate limiting). Modul otentikasi diletakkan di bagian terdepan gateway untuk mencegah akses ilegal ke modul kognitif AI yang memakan biaya komputasi besar. Pustaka Prisma ORM digunakan untuk melakukan query data struktural secara cepat dengan pemetaan skema database PostgreSQL yang kokoh.</w:t>
      </w:r>
    </w:p>
    <w:p>
      <w:pPr>
        <w:spacing w:before="0" w:after="120" w:line="360" w:lineRule="auto"/>
        <w:ind w:firstLine="720"/>
        <w:jc w:val="both"/>
      </w:pPr>
      <w:r>
        <w:rPr>
          <w:rFonts w:ascii="Times New Roman" w:hAnsi="Times New Roman"/>
          <w:b w:val="0"/>
          <w:i/>
          <w:color w:val="000000"/>
          <w:sz w:val="24"/>
        </w:rPr>
        <w:t>Sistem kecerdasan artifisial diletakkan secara terpisah pada lingkungan Google Cloud Platform (GCP) privat. Pemanggilan model dilakukan menggunakan Google GenAI SDK resmi untuk memastikan privasi data tetap terjaga di dalam koridor hukum. Pola perutean dinamis (dynamic routing) diterapkan secara otomatis oleh server NestJS untuk menghemat biaya operasional, di mana kueri percakapan sehari-hari diarahkan ke Gemini 2.5 Flash Lite sedangkan kueri analisis spasial hukum lingkungan diproses oleh Gemini 3.5 Flash.</w:t>
      </w:r>
    </w:p>
    <w:p>
      <w:r>
        <w:br w:type="page"/>
      </w:r>
    </w:p>
    <w:p>
      <w:pPr>
        <w:keepNext/>
        <w:spacing w:before="360" w:after="80" w:line="276" w:lineRule="auto"/>
        <w:jc w:val="left"/>
      </w:pPr>
      <w:r>
        <w:rPr>
          <w:rFonts w:ascii="Times New Roman" w:hAnsi="Times New Roman"/>
          <w:b/>
          <w:color w:val="000000"/>
          <w:sz w:val="24"/>
        </w:rPr>
        <w:t>III. ALIRAN INTERAKSI KOMPONEN &amp; SKEMA GRAFIS</w:t>
      </w:r>
    </w:p>
    <w:p>
      <w:pPr>
        <w:spacing w:before="0" w:after="120" w:line="360" w:lineRule="auto"/>
        <w:ind w:firstLine="720"/>
        <w:jc w:val="both"/>
      </w:pPr>
      <w:r>
        <w:rPr>
          <w:rFonts w:ascii="Times New Roman" w:hAnsi="Times New Roman"/>
          <w:b w:val="0"/>
          <w:i w:val="0"/>
          <w:color w:val="000000"/>
          <w:sz w:val="24"/>
        </w:rPr>
        <w:t>Komunikasi inter-layer pada platform Genesis diatur secara ketat melalui protokol RESTful API untuk manipulasi data konvensional dan Server-Sent Events (SSE) untuk transmisi data kecerdasan buatan. Gambar 2 di bawah ini menguraikan secara visual bagaimana relasi komponen terintegrasi dari hulu hingga hilir, mulai dari interaksi di ponsel warga hingga pengolahan di awan GCP.</w:t>
      </w:r>
    </w:p>
    <w:p>
      <w:r>
        <w:drawing>
          <wp:inline xmlns:a="http://schemas.openxmlformats.org/drawingml/2006/main" xmlns:pic="http://schemas.openxmlformats.org/drawingml/2006/picture">
            <wp:extent cx="5040000" cy="2740606"/>
            <wp:docPr id="1" name="Picture 1"/>
            <wp:cNvGraphicFramePr>
              <a:graphicFrameLocks noChangeAspect="1"/>
            </wp:cNvGraphicFramePr>
            <a:graphic>
              <a:graphicData uri="http://schemas.openxmlformats.org/drawingml/2006/picture">
                <pic:pic>
                  <pic:nvPicPr>
                    <pic:cNvPr id="0" name="diagram_architecture.png"/>
                    <pic:cNvPicPr/>
                  </pic:nvPicPr>
                  <pic:blipFill>
                    <a:blip r:embed="rId9"/>
                    <a:stretch>
                      <a:fillRect/>
                    </a:stretch>
                  </pic:blipFill>
                  <pic:spPr>
                    <a:xfrm>
                      <a:off x="0" y="0"/>
                      <a:ext cx="5040000" cy="2740606"/>
                    </a:xfrm>
                    <a:prstGeom prst="rect"/>
                  </pic:spPr>
                </pic:pic>
              </a:graphicData>
            </a:graphic>
          </wp:inline>
        </w:drawing>
      </w:r>
    </w:p>
    <w:p>
      <w:pPr>
        <w:spacing w:before="80" w:after="160" w:line="240" w:lineRule="auto"/>
        <w:jc w:val="center"/>
      </w:pPr>
      <w:r>
        <w:rPr>
          <w:rFonts w:ascii="Times New Roman" w:hAnsi="Times New Roman"/>
          <w:i/>
          <w:color w:val="333333"/>
          <w:sz w:val="19"/>
        </w:rPr>
        <w:t>Gambar 2. Skema grafis arsitektur terintegrasi platform Genesis.</w:t>
      </w:r>
    </w:p>
    <w:p>
      <w:pPr>
        <w:spacing w:before="0" w:after="120" w:line="360" w:lineRule="auto"/>
        <w:ind w:firstLine="720"/>
        <w:jc w:val="both"/>
      </w:pPr>
      <w:r>
        <w:rPr>
          <w:rFonts w:ascii="Times New Roman" w:hAnsi="Times New Roman"/>
          <w:b w:val="0"/>
          <w:i/>
          <w:color w:val="000000"/>
          <w:sz w:val="24"/>
        </w:rPr>
        <w:t>Melalui visualisasi di atas, terlihat jelas bahwa client tidak pernah melakukan kontak langsung dengan database PostgreSQL maupun sistem Google GenAI SDK. Konsep isolasi database ini menerapkan standar keamanan enterprise untuk meminimalisir risiko kebocoran data spasial penting masyarakat.</w:t>
      </w:r>
    </w:p>
    <w:p>
      <w:r>
        <w:br w:type="page"/>
      </w:r>
    </w:p>
    <w:p>
      <w:pPr>
        <w:keepNext/>
        <w:spacing w:before="360" w:after="80" w:line="276" w:lineRule="auto"/>
        <w:jc w:val="left"/>
      </w:pPr>
      <w:r>
        <w:rPr>
          <w:rFonts w:ascii="Times New Roman" w:hAnsi="Times New Roman"/>
          <w:b/>
          <w:color w:val="000000"/>
          <w:sz w:val="24"/>
        </w:rPr>
        <w:t>IV. PIPELINE DETEKSI SPASIAL &amp; SENSOR CITRA</w:t>
      </w:r>
    </w:p>
    <w:p>
      <w:pPr>
        <w:spacing w:before="0" w:after="120" w:line="360" w:lineRule="auto"/>
        <w:ind w:firstLine="720"/>
        <w:jc w:val="both"/>
      </w:pPr>
      <w:r>
        <w:rPr>
          <w:rFonts w:ascii="Times New Roman" w:hAnsi="Times New Roman"/>
          <w:b w:val="0"/>
          <w:i/>
          <w:color w:val="000000"/>
          <w:sz w:val="24"/>
        </w:rPr>
        <w:t>Masalah pelaporan duplikasi dan pelanggaran privasi warga diatasi melalui pipeline pemrosesan citra spasial terpadu. Ketika warga mengambil foto menggunakan kamera aplikasi Genesis, data koordinat lintang/bujur (GPS) dan berkas gambar dikirimkan ke backend NestJS. Server pertama-tama melakukan kueri spasial ke database PostGIS menggunakan fungsi `ST_DWithin` untuk mendeteksi apakah telah ada laporan kerusakan lingkungan sejenis dalam radius 50 meter dan jeda waktu kurang dari 12 jam.</w:t>
      </w:r>
    </w:p>
    <w:p>
      <w:pPr>
        <w:spacing w:before="0" w:after="120" w:line="360" w:lineRule="auto"/>
        <w:ind w:firstLine="720"/>
        <w:jc w:val="both"/>
      </w:pPr>
      <w:r>
        <w:rPr>
          <w:rFonts w:ascii="Times New Roman" w:hAnsi="Times New Roman"/>
          <w:b w:val="0"/>
          <w:i/>
          <w:color w:val="000000"/>
          <w:sz w:val="24"/>
        </w:rPr>
        <w:t>Jika terdeteksi sebagai laporan duplikat, sistem langsung mengembalikan status penolakan tanpa menyimpan berkas gambar ke server, menghemat kapasitas storage GCS hingga 40%. Jika laporan dinyatakan unik, berkas gambar yang masih berada di dalam RAM buffer dianalisis oleh Google Vision API untuk mendeteksi koordinat piksel wajah dan nomor plat kendaraan. Pustaka Sharp kemudian memotong dan memburamkan area piksel tersebut secara in-memory sebelum diunggah secara permanen ke GCS.</w:t>
      </w:r>
    </w:p>
    <w:p>
      <w:r>
        <w:drawing>
          <wp:inline xmlns:a="http://schemas.openxmlformats.org/drawingml/2006/main" xmlns:pic="http://schemas.openxmlformats.org/drawingml/2006/picture">
            <wp:extent cx="5040000" cy="2241514"/>
            <wp:docPr id="2" name="Picture 2"/>
            <wp:cNvGraphicFramePr>
              <a:graphicFrameLocks noChangeAspect="1"/>
            </wp:cNvGraphicFramePr>
            <a:graphic>
              <a:graphicData uri="http://schemas.openxmlformats.org/drawingml/2006/picture">
                <pic:pic>
                  <pic:nvPicPr>
                    <pic:cNvPr id="0" name="diagram_spatial_pipeline.png"/>
                    <pic:cNvPicPr/>
                  </pic:nvPicPr>
                  <pic:blipFill>
                    <a:blip r:embed="rId10"/>
                    <a:stretch>
                      <a:fillRect/>
                    </a:stretch>
                  </pic:blipFill>
                  <pic:spPr>
                    <a:xfrm>
                      <a:off x="0" y="0"/>
                      <a:ext cx="5040000" cy="2241514"/>
                    </a:xfrm>
                    <a:prstGeom prst="rect"/>
                  </pic:spPr>
                </pic:pic>
              </a:graphicData>
            </a:graphic>
          </wp:inline>
        </w:drawing>
      </w:r>
    </w:p>
    <w:p>
      <w:pPr>
        <w:spacing w:before="80" w:after="160" w:line="240" w:lineRule="auto"/>
        <w:jc w:val="center"/>
      </w:pPr>
      <w:r>
        <w:rPr>
          <w:rFonts w:ascii="Times New Roman" w:hAnsi="Times New Roman"/>
          <w:i/>
          <w:color w:val="333333"/>
          <w:sz w:val="19"/>
        </w:rPr>
        <w:t>Gambar 3. Pipeline pengolahan citra spasial in-memory platform Genesis.</w:t>
      </w:r>
    </w:p>
    <w:p>
      <w:r>
        <w:br w:type="page"/>
      </w:r>
    </w:p>
    <w:p>
      <w:pPr>
        <w:keepNext/>
        <w:spacing w:before="360" w:after="80" w:line="276" w:lineRule="auto"/>
        <w:jc w:val="left"/>
      </w:pPr>
      <w:r>
        <w:rPr>
          <w:rFonts w:ascii="Times New Roman" w:hAnsi="Times New Roman"/>
          <w:b/>
          <w:color w:val="000000"/>
          <w:sz w:val="24"/>
        </w:rPr>
        <w:t>V. TABEL TAHAPAN PIPELINE &amp; AMBANG BATAS HITL</w:t>
      </w:r>
    </w:p>
    <w:p>
      <w:pPr>
        <w:spacing w:before="0" w:after="120" w:line="360" w:lineRule="auto"/>
        <w:ind w:firstLine="720"/>
        <w:jc w:val="both"/>
      </w:pPr>
      <w:r>
        <w:rPr>
          <w:rFonts w:ascii="Times New Roman" w:hAnsi="Times New Roman"/>
          <w:b w:val="0"/>
          <w:i w:val="0"/>
          <w:color w:val="000000"/>
          <w:sz w:val="24"/>
        </w:rPr>
        <w:t>Keseluruhan tahapan pemrosesan gambar dan koordinat geospasial laporan diringkas secara runut pada Tabel 3. Penentuan ambang batas persetujuan otomatis (auto-approval) dan kriteria pelimpahan laporan ke antrean manual Dinas Lingkungan Hidup (DLH) dikelola secara ketat berbasis akurasi model AI.</w:t>
      </w:r>
    </w:p>
    <w:tbl>
      <w:tblPr>
        <w:tblW w:type="auto" w:w="0"/>
        <w:jc w:val="center"/>
        <w:tblLayout w:type="fixed"/>
        <w:tblLook w:firstColumn="1" w:firstRow="1" w:lastColumn="0" w:lastRow="0" w:noHBand="0" w:noVBand="1" w:val="04A0"/>
      </w:tblPr>
      <w:tblGrid>
        <w:gridCol w:w="1984"/>
        <w:gridCol w:w="1984"/>
        <w:gridCol w:w="1984"/>
        <w:gridCol w:w="1984"/>
      </w:tblGrid>
      <w:tr>
        <w:tc>
          <w:tcPr>
            <w:tcW w:type="dxa" w:w="567"/>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No. </w:t>
            </w:r>
          </w:p>
        </w:tc>
        <w:tc>
          <w:tcPr>
            <w:tcW w:type="dxa" w:w="1701"/>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Fase </w:t>
            </w:r>
            <w:r>
              <w:rPr>
                <w:rFonts w:ascii="Times New Roman" w:hAnsi="Times New Roman"/>
                <w:b/>
                <w:i w:val="0"/>
                <w:color w:val="000000"/>
                <w:sz w:val="20"/>
              </w:rPr>
              <w:t xml:space="preserve">Pipeline </w:t>
            </w:r>
          </w:p>
        </w:tc>
        <w:tc>
          <w:tcPr>
            <w:tcW w:type="dxa" w:w="2835"/>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Detail </w:t>
            </w:r>
            <w:r>
              <w:rPr>
                <w:rFonts w:ascii="Times New Roman" w:hAnsi="Times New Roman"/>
                <w:b/>
                <w:i w:val="0"/>
                <w:color w:val="000000"/>
                <w:sz w:val="20"/>
              </w:rPr>
              <w:t xml:space="preserve">Aktivitas </w:t>
            </w:r>
            <w:r>
              <w:rPr>
                <w:rFonts w:ascii="Times New Roman" w:hAnsi="Times New Roman"/>
                <w:b/>
                <w:i w:val="0"/>
                <w:color w:val="000000"/>
                <w:sz w:val="20"/>
              </w:rPr>
              <w:t xml:space="preserve">Teknis </w:t>
            </w:r>
          </w:p>
        </w:tc>
        <w:tc>
          <w:tcPr>
            <w:tcW w:type="dxa" w:w="2835"/>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Ambang </w:t>
            </w:r>
            <w:r>
              <w:rPr>
                <w:rFonts w:ascii="Times New Roman" w:hAnsi="Times New Roman"/>
                <w:b/>
                <w:i w:val="0"/>
                <w:color w:val="000000"/>
                <w:sz w:val="20"/>
              </w:rPr>
              <w:t xml:space="preserve">Batas </w:t>
            </w:r>
            <w:r>
              <w:rPr>
                <w:rFonts w:ascii="Times New Roman" w:hAnsi="Times New Roman"/>
                <w:b/>
                <w:i w:val="0"/>
                <w:color w:val="000000"/>
                <w:sz w:val="20"/>
              </w:rPr>
              <w:t xml:space="preserve">&amp; </w:t>
            </w:r>
            <w:r>
              <w:rPr>
                <w:rFonts w:ascii="Times New Roman" w:hAnsi="Times New Roman"/>
                <w:b/>
                <w:i w:val="0"/>
                <w:color w:val="000000"/>
                <w:sz w:val="20"/>
              </w:rPr>
              <w:t xml:space="preserve">Solusi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1 </w:t>
            </w:r>
          </w:p>
        </w:tc>
        <w:tc>
          <w:tcPr>
            <w:tcW w:type="dxa" w:w="170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Deduplikasi </w:t>
            </w:r>
            <w:r>
              <w:rPr>
                <w:rFonts w:ascii="Times New Roman" w:hAnsi="Times New Roman"/>
                <w:b/>
                <w:i w:val="0"/>
                <w:color w:val="000000"/>
                <w:sz w:val="20"/>
              </w:rPr>
              <w:t xml:space="preserve">GPS </w:t>
            </w:r>
          </w:p>
        </w:tc>
        <w:tc>
          <w:tcPr>
            <w:tcW w:type="dxa" w:w="2835"/>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Mencegah </w:t>
            </w:r>
            <w:r>
              <w:rPr>
                <w:rFonts w:ascii="Times New Roman" w:hAnsi="Times New Roman"/>
                <w:b w:val="0"/>
                <w:i w:val="0"/>
                <w:color w:val="000000"/>
                <w:sz w:val="20"/>
              </w:rPr>
              <w:t xml:space="preserve">duplikasi </w:t>
            </w:r>
            <w:r>
              <w:rPr>
                <w:rFonts w:ascii="Times New Roman" w:hAnsi="Times New Roman"/>
                <w:b w:val="0"/>
                <w:i w:val="0"/>
                <w:color w:val="000000"/>
                <w:sz w:val="20"/>
              </w:rPr>
              <w:t xml:space="preserve">laporan </w:t>
            </w:r>
            <w:r>
              <w:rPr>
                <w:rFonts w:ascii="Times New Roman" w:hAnsi="Times New Roman"/>
                <w:b w:val="0"/>
                <w:i w:val="0"/>
                <w:color w:val="000000"/>
                <w:sz w:val="20"/>
              </w:rPr>
              <w:t xml:space="preserve">dalam </w:t>
            </w:r>
            <w:r>
              <w:rPr>
                <w:rFonts w:ascii="Times New Roman" w:hAnsi="Times New Roman"/>
                <w:b w:val="0"/>
                <w:i w:val="0"/>
                <w:color w:val="000000"/>
                <w:sz w:val="20"/>
              </w:rPr>
              <w:t xml:space="preserve">radius </w:t>
            </w:r>
            <w:r>
              <w:rPr>
                <w:rFonts w:ascii="Times New Roman" w:hAnsi="Times New Roman"/>
                <w:b w:val="0"/>
                <w:i w:val="0"/>
                <w:color w:val="000000"/>
                <w:sz w:val="20"/>
              </w:rPr>
              <w:t xml:space="preserve">sempit. </w:t>
            </w:r>
          </w:p>
        </w:tc>
        <w:tc>
          <w:tcPr>
            <w:tcW w:type="dxa" w:w="2835"/>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Radius </w:t>
            </w:r>
            <w:r>
              <w:rPr>
                <w:rFonts w:ascii="Times New Roman" w:hAnsi="Times New Roman"/>
                <w:b w:val="0"/>
                <w:i w:val="0"/>
                <w:color w:val="000000"/>
                <w:sz w:val="20"/>
              </w:rPr>
              <w:t xml:space="preserve">50m </w:t>
            </w:r>
            <w:r>
              <w:rPr>
                <w:rFonts w:ascii="Times New Roman" w:hAnsi="Times New Roman"/>
                <w:b w:val="0"/>
                <w:i w:val="0"/>
                <w:color w:val="000000"/>
                <w:sz w:val="20"/>
              </w:rPr>
              <w:t xml:space="preserve">&amp; </w:t>
            </w:r>
            <w:r>
              <w:rPr>
                <w:rFonts w:ascii="Times New Roman" w:hAnsi="Times New Roman"/>
                <w:b w:val="0"/>
                <w:i w:val="0"/>
                <w:color w:val="000000"/>
                <w:sz w:val="20"/>
              </w:rPr>
              <w:t xml:space="preserve">Waktu </w:t>
            </w:r>
            <w:r>
              <w:rPr>
                <w:rFonts w:ascii="Times New Roman" w:hAnsi="Times New Roman"/>
                <w:b w:val="0"/>
                <w:i w:val="0"/>
                <w:color w:val="000000"/>
                <w:sz w:val="20"/>
              </w:rPr>
              <w:t xml:space="preserve">&lt; </w:t>
            </w:r>
            <w:r>
              <w:rPr>
                <w:rFonts w:ascii="Times New Roman" w:hAnsi="Times New Roman"/>
                <w:b w:val="0"/>
                <w:i w:val="0"/>
                <w:color w:val="000000"/>
                <w:sz w:val="20"/>
              </w:rPr>
              <w:t xml:space="preserve">12j </w:t>
            </w:r>
            <w:r>
              <w:rPr>
                <w:rFonts w:ascii="Times New Roman" w:hAnsi="Times New Roman"/>
                <w:b w:val="0"/>
                <w:i w:val="0"/>
                <w:color w:val="000000"/>
                <w:sz w:val="20"/>
              </w:rPr>
              <w:t xml:space="preserve">(PostGIS </w:t>
            </w:r>
            <w:r>
              <w:rPr>
                <w:rFonts w:ascii="Times New Roman" w:hAnsi="Times New Roman"/>
                <w:b w:val="0"/>
                <w:i w:val="0"/>
                <w:color w:val="000000"/>
                <w:sz w:val="20"/>
              </w:rPr>
              <w:t xml:space="preserve">Index)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2 </w:t>
            </w:r>
          </w:p>
        </w:tc>
        <w:tc>
          <w:tcPr>
            <w:tcW w:type="dxa" w:w="170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PII </w:t>
            </w:r>
            <w:r>
              <w:rPr>
                <w:rFonts w:ascii="Times New Roman" w:hAnsi="Times New Roman"/>
                <w:b/>
                <w:i w:val="0"/>
                <w:color w:val="000000"/>
                <w:sz w:val="20"/>
              </w:rPr>
              <w:t xml:space="preserve">Anonymization </w:t>
            </w:r>
          </w:p>
        </w:tc>
        <w:tc>
          <w:tcPr>
            <w:tcW w:type="dxa" w:w="2835"/>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Pemburaman </w:t>
            </w:r>
            <w:r>
              <w:rPr>
                <w:rFonts w:ascii="Times New Roman" w:hAnsi="Times New Roman"/>
                <w:b w:val="0"/>
                <w:i w:val="0"/>
                <w:color w:val="000000"/>
                <w:sz w:val="20"/>
              </w:rPr>
              <w:t xml:space="preserve">wajah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plat </w:t>
            </w:r>
            <w:r>
              <w:rPr>
                <w:rFonts w:ascii="Times New Roman" w:hAnsi="Times New Roman"/>
                <w:b w:val="0"/>
                <w:i w:val="0"/>
                <w:color w:val="000000"/>
                <w:sz w:val="20"/>
              </w:rPr>
              <w:t xml:space="preserve">nomor </w:t>
            </w:r>
            <w:r>
              <w:rPr>
                <w:rFonts w:ascii="Times New Roman" w:hAnsi="Times New Roman"/>
                <w:b w:val="0"/>
                <w:i w:val="0"/>
                <w:color w:val="000000"/>
                <w:sz w:val="20"/>
              </w:rPr>
              <w:t xml:space="preserve">kendaraan. </w:t>
            </w:r>
          </w:p>
        </w:tc>
        <w:tc>
          <w:tcPr>
            <w:tcW w:type="dxa" w:w="2835"/>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color w:val="000000"/>
                <w:sz w:val="20"/>
              </w:rPr>
              <w:t xml:space="preserve">Sharp </w:t>
            </w:r>
            <w:r>
              <w:rPr>
                <w:rFonts w:ascii="Times New Roman" w:hAnsi="Times New Roman"/>
                <w:b w:val="0"/>
                <w:i w:val="0"/>
                <w:color w:val="000000"/>
                <w:sz w:val="20"/>
              </w:rPr>
              <w:t xml:space="preserve">Library </w:t>
            </w:r>
            <w:r>
              <w:rPr>
                <w:rFonts w:ascii="Times New Roman" w:hAnsi="Times New Roman"/>
                <w:b w:val="0"/>
                <w:i w:val="0"/>
                <w:color w:val="000000"/>
                <w:sz w:val="20"/>
              </w:rPr>
              <w:t xml:space="preserve">&amp; </w:t>
            </w:r>
            <w:r>
              <w:rPr>
                <w:rFonts w:ascii="Times New Roman" w:hAnsi="Times New Roman"/>
                <w:b w:val="0"/>
                <w:i w:val="0"/>
                <w:color w:val="000000"/>
                <w:sz w:val="20"/>
              </w:rPr>
              <w:t xml:space="preserve">Google </w:t>
            </w:r>
            <w:r>
              <w:rPr>
                <w:rFonts w:ascii="Times New Roman" w:hAnsi="Times New Roman"/>
                <w:b w:val="0"/>
                <w:i/>
                <w:color w:val="000000"/>
                <w:sz w:val="20"/>
              </w:rPr>
              <w:t xml:space="preserve">Vision </w:t>
            </w:r>
            <w:r>
              <w:rPr>
                <w:rFonts w:ascii="Times New Roman" w:hAnsi="Times New Roman"/>
                <w:b w:val="0"/>
                <w:i/>
                <w:color w:val="000000"/>
                <w:sz w:val="20"/>
              </w:rPr>
              <w:t xml:space="preserve">(In-Memory)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3 </w:t>
            </w:r>
          </w:p>
        </w:tc>
        <w:tc>
          <w:tcPr>
            <w:tcW w:type="dxa" w:w="170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Klasifikasi </w:t>
            </w:r>
            <w:r>
              <w:rPr>
                <w:rFonts w:ascii="Times New Roman" w:hAnsi="Times New Roman"/>
                <w:b/>
                <w:i w:val="0"/>
                <w:color w:val="000000"/>
                <w:sz w:val="20"/>
              </w:rPr>
              <w:t xml:space="preserve">Gemini </w:t>
            </w:r>
          </w:p>
        </w:tc>
        <w:tc>
          <w:tcPr>
            <w:tcW w:type="dxa" w:w="2835"/>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Identifikasi </w:t>
            </w:r>
            <w:r>
              <w:rPr>
                <w:rFonts w:ascii="Times New Roman" w:hAnsi="Times New Roman"/>
                <w:b w:val="0"/>
                <w:i w:val="0"/>
                <w:color w:val="000000"/>
                <w:sz w:val="20"/>
              </w:rPr>
              <w:t xml:space="preserve">tingkat </w:t>
            </w:r>
            <w:r>
              <w:rPr>
                <w:rFonts w:ascii="Times New Roman" w:hAnsi="Times New Roman"/>
                <w:b w:val="0"/>
                <w:i w:val="0"/>
                <w:color w:val="000000"/>
                <w:sz w:val="20"/>
              </w:rPr>
              <w:t xml:space="preserve">keparahan, </w:t>
            </w:r>
            <w:r>
              <w:rPr>
                <w:rFonts w:ascii="Times New Roman" w:hAnsi="Times New Roman"/>
                <w:b w:val="0"/>
                <w:i w:val="0"/>
                <w:color w:val="000000"/>
                <w:sz w:val="20"/>
              </w:rPr>
              <w:t xml:space="preserve">jenis </w:t>
            </w:r>
            <w:r>
              <w:rPr>
                <w:rFonts w:ascii="Times New Roman" w:hAnsi="Times New Roman"/>
                <w:b w:val="0"/>
                <w:i w:val="0"/>
                <w:color w:val="000000"/>
                <w:sz w:val="20"/>
              </w:rPr>
              <w:t xml:space="preserve">limbah, </w:t>
            </w:r>
            <w:r>
              <w:rPr>
                <w:rFonts w:ascii="Times New Roman" w:hAnsi="Times New Roman"/>
                <w:b w:val="0"/>
                <w:i w:val="0"/>
                <w:color w:val="000000"/>
                <w:sz w:val="20"/>
              </w:rPr>
              <w:t xml:space="preserve">tindakan. </w:t>
            </w:r>
          </w:p>
        </w:tc>
        <w:tc>
          <w:tcPr>
            <w:tcW w:type="dxa" w:w="2835"/>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JSON </w:t>
            </w:r>
            <w:r>
              <w:rPr>
                <w:rFonts w:ascii="Times New Roman" w:hAnsi="Times New Roman"/>
                <w:b w:val="0"/>
                <w:i w:val="0"/>
                <w:color w:val="000000"/>
                <w:sz w:val="20"/>
              </w:rPr>
              <w:t xml:space="preserve">Output </w:t>
            </w:r>
            <w:r>
              <w:rPr>
                <w:rFonts w:ascii="Times New Roman" w:hAnsi="Times New Roman"/>
                <w:b w:val="0"/>
                <w:i w:val="0"/>
                <w:color w:val="000000"/>
                <w:sz w:val="20"/>
              </w:rPr>
              <w:t xml:space="preserve">terstruktur </w:t>
            </w:r>
            <w:r>
              <w:rPr>
                <w:rFonts w:ascii="Times New Roman" w:hAnsi="Times New Roman"/>
                <w:b w:val="0"/>
                <w:i w:val="0"/>
                <w:color w:val="000000"/>
                <w:sz w:val="20"/>
              </w:rPr>
              <w:t xml:space="preserve">via </w:t>
            </w:r>
            <w:r>
              <w:rPr>
                <w:rFonts w:ascii="Times New Roman" w:hAnsi="Times New Roman"/>
                <w:b w:val="0"/>
                <w:i w:val="0"/>
                <w:color w:val="000000"/>
                <w:sz w:val="20"/>
              </w:rPr>
              <w:t xml:space="preserve">Gemini </w:t>
            </w:r>
            <w:r>
              <w:rPr>
                <w:rFonts w:ascii="Times New Roman" w:hAnsi="Times New Roman"/>
                <w:b w:val="0"/>
                <w:i w:val="0"/>
                <w:color w:val="000000"/>
                <w:sz w:val="20"/>
              </w:rPr>
              <w:t xml:space="preserve">3.5 </w:t>
            </w:r>
            <w:r>
              <w:rPr>
                <w:rFonts w:ascii="Times New Roman" w:hAnsi="Times New Roman"/>
                <w:b w:val="0"/>
                <w:i/>
                <w:color w:val="000000"/>
                <w:sz w:val="20"/>
              </w:rPr>
              <w:t xml:space="preserve">Flash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4 </w:t>
            </w:r>
          </w:p>
        </w:tc>
        <w:tc>
          <w:tcPr>
            <w:tcW w:type="dxa" w:w="1701"/>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Antrean </w:t>
            </w:r>
            <w:r>
              <w:rPr>
                <w:rFonts w:ascii="Times New Roman" w:hAnsi="Times New Roman"/>
                <w:b/>
                <w:i/>
                <w:color w:val="000000"/>
                <w:sz w:val="20"/>
              </w:rPr>
              <w:t xml:space="preserve">HITL </w:t>
            </w:r>
            <w:r>
              <w:rPr>
                <w:rFonts w:ascii="Times New Roman" w:hAnsi="Times New Roman"/>
                <w:b/>
                <w:i w:val="0"/>
                <w:color w:val="000000"/>
                <w:sz w:val="20"/>
              </w:rPr>
              <w:t xml:space="preserve">DLH </w:t>
            </w:r>
          </w:p>
        </w:tc>
        <w:tc>
          <w:tcPr>
            <w:tcW w:type="dxa" w:w="2835"/>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Verifikasi </w:t>
            </w:r>
            <w:r>
              <w:rPr>
                <w:rFonts w:ascii="Times New Roman" w:hAnsi="Times New Roman"/>
                <w:b w:val="0"/>
                <w:i w:val="0"/>
                <w:color w:val="000000"/>
                <w:sz w:val="20"/>
              </w:rPr>
              <w:t xml:space="preserve">laporan </w:t>
            </w:r>
            <w:r>
              <w:rPr>
                <w:rFonts w:ascii="Times New Roman" w:hAnsi="Times New Roman"/>
                <w:b w:val="0"/>
                <w:i w:val="0"/>
                <w:color w:val="000000"/>
                <w:sz w:val="20"/>
              </w:rPr>
              <w:t xml:space="preserve">oleh </w:t>
            </w:r>
            <w:r>
              <w:rPr>
                <w:rFonts w:ascii="Times New Roman" w:hAnsi="Times New Roman"/>
                <w:b w:val="0"/>
                <w:i w:val="0"/>
                <w:color w:val="000000"/>
                <w:sz w:val="20"/>
              </w:rPr>
              <w:t xml:space="preserve">petugas </w:t>
            </w:r>
            <w:r>
              <w:rPr>
                <w:rFonts w:ascii="Times New Roman" w:hAnsi="Times New Roman"/>
                <w:b w:val="0"/>
                <w:i w:val="0"/>
                <w:color w:val="000000"/>
                <w:sz w:val="20"/>
              </w:rPr>
              <w:t xml:space="preserve">jika </w:t>
            </w:r>
            <w:r>
              <w:rPr>
                <w:rFonts w:ascii="Times New Roman" w:hAnsi="Times New Roman"/>
                <w:b w:val="0"/>
                <w:i w:val="0"/>
                <w:color w:val="000000"/>
                <w:sz w:val="20"/>
              </w:rPr>
              <w:t xml:space="preserve">keyakinan </w:t>
            </w:r>
            <w:r>
              <w:rPr>
                <w:rFonts w:ascii="Times New Roman" w:hAnsi="Times New Roman"/>
                <w:b w:val="0"/>
                <w:i w:val="0"/>
                <w:color w:val="000000"/>
                <w:sz w:val="20"/>
              </w:rPr>
              <w:t xml:space="preserve">AI </w:t>
            </w:r>
            <w:r>
              <w:rPr>
                <w:rFonts w:ascii="Times New Roman" w:hAnsi="Times New Roman"/>
                <w:b w:val="0"/>
                <w:i w:val="0"/>
                <w:color w:val="000000"/>
                <w:sz w:val="20"/>
              </w:rPr>
              <w:t xml:space="preserve">rendah. </w:t>
            </w:r>
          </w:p>
        </w:tc>
        <w:tc>
          <w:tcPr>
            <w:tcW w:type="dxa" w:w="2835"/>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Skor </w:t>
            </w:r>
            <w:r>
              <w:rPr>
                <w:rFonts w:ascii="Times New Roman" w:hAnsi="Times New Roman"/>
                <w:b w:val="0"/>
                <w:i w:val="0"/>
                <w:color w:val="000000"/>
                <w:sz w:val="20"/>
              </w:rPr>
              <w:t xml:space="preserve">keyakinan </w:t>
            </w:r>
            <w:r>
              <w:rPr>
                <w:rFonts w:ascii="Times New Roman" w:hAnsi="Times New Roman"/>
                <w:b w:val="0"/>
                <w:i w:val="0"/>
                <w:color w:val="000000"/>
                <w:sz w:val="20"/>
              </w:rPr>
              <w:t xml:space="preserve">&lt; </w:t>
            </w:r>
            <w:r>
              <w:rPr>
                <w:rFonts w:ascii="Times New Roman" w:hAnsi="Times New Roman"/>
                <w:b w:val="0"/>
                <w:i w:val="0"/>
                <w:color w:val="000000"/>
                <w:sz w:val="20"/>
              </w:rPr>
              <w:t xml:space="preserve">85% </w:t>
            </w:r>
            <w:r>
              <w:rPr>
                <w:rFonts w:ascii="Times New Roman" w:hAnsi="Times New Roman"/>
                <w:b w:val="0"/>
                <w:i w:val="0"/>
                <w:color w:val="000000"/>
                <w:sz w:val="20"/>
              </w:rPr>
              <w:t xml:space="preserve">diteruskan </w:t>
            </w:r>
            <w:r>
              <w:rPr>
                <w:rFonts w:ascii="Times New Roman" w:hAnsi="Times New Roman"/>
                <w:b w:val="0"/>
                <w:i w:val="0"/>
                <w:color w:val="000000"/>
                <w:sz w:val="20"/>
              </w:rPr>
              <w:t xml:space="preserve">ke </w:t>
            </w:r>
            <w:r>
              <w:rPr>
                <w:rFonts w:ascii="Times New Roman" w:hAnsi="Times New Roman"/>
                <w:b w:val="0"/>
                <w:i w:val="0"/>
                <w:color w:val="000000"/>
                <w:sz w:val="20"/>
              </w:rPr>
              <w:t xml:space="preserve">admin </w:t>
            </w:r>
            <w:r>
              <w:rPr>
                <w:rFonts w:ascii="Times New Roman" w:hAnsi="Times New Roman"/>
                <w:b w:val="0"/>
                <w:i w:val="0"/>
                <w:color w:val="000000"/>
                <w:sz w:val="20"/>
              </w:rPr>
              <w:t xml:space="preserve">DLH </w:t>
            </w:r>
          </w:p>
        </w:tc>
      </w:tr>
    </w:tbl>
    <w:p>
      <w:pPr>
        <w:spacing w:before="80" w:after="160" w:line="240" w:lineRule="auto"/>
        <w:jc w:val="center"/>
      </w:pPr>
      <w:r>
        <w:rPr>
          <w:rFonts w:ascii="Times New Roman" w:hAnsi="Times New Roman"/>
          <w:i/>
          <w:color w:val="333333"/>
          <w:sz w:val="19"/>
        </w:rPr>
        <w:t>Tabel 3. Matriks tahapan pipeline citra dan ambang batas verifikasi manual.</w:t>
      </w:r>
    </w:p>
    <w:p>
      <w:pPr>
        <w:spacing w:before="0" w:after="120" w:line="360" w:lineRule="auto"/>
        <w:ind w:firstLine="720"/>
        <w:jc w:val="both"/>
      </w:pPr>
      <w:r>
        <w:rPr>
          <w:rFonts w:ascii="Times New Roman" w:hAnsi="Times New Roman"/>
          <w:b w:val="0"/>
          <w:i/>
          <w:color w:val="000000"/>
          <w:sz w:val="24"/>
        </w:rPr>
        <w:t>Melalui penerapan pola verifikasi manual (Human-in-the-Loop) ini, platform Genesis menjamin tidak ada keputusan sanksi lingkungan atau tindakan lapangan yang diambil secara sepihak oleh model kecerdasan buatan, melainkan tetap dalam kendali otoritas dinas terkait demi asas keadilan publik.</w:t>
      </w:r>
    </w:p>
    <w:p>
      <w:r>
        <w:br w:type="page"/>
      </w:r>
    </w:p>
    <w:p>
      <w:pPr>
        <w:keepNext/>
        <w:spacing w:before="360" w:after="80" w:line="276" w:lineRule="auto"/>
        <w:jc w:val="left"/>
      </w:pPr>
      <w:r>
        <w:rPr>
          <w:rFonts w:ascii="Times New Roman" w:hAnsi="Times New Roman"/>
          <w:b/>
          <w:color w:val="000000"/>
          <w:sz w:val="24"/>
        </w:rPr>
        <w:t>VI. SSE STREAMING &amp; LOGICAL REASONING AI CHAT</w:t>
      </w:r>
    </w:p>
    <w:p>
      <w:pPr>
        <w:spacing w:before="0" w:after="120" w:line="360" w:lineRule="auto"/>
        <w:ind w:firstLine="720"/>
        <w:jc w:val="both"/>
      </w:pPr>
      <w:r>
        <w:rPr>
          <w:rFonts w:ascii="Times New Roman" w:hAnsi="Times New Roman"/>
          <w:b w:val="0"/>
          <w:i/>
          <w:color w:val="000000"/>
          <w:sz w:val="24"/>
        </w:rPr>
        <w:t>Pada fitur asisten regulasi lingkungan (Geni AI Chat), aplikasi memisahkan proses berpikir logis agen AI dari teks jawaban utama. Penggunaan model Gemini 3.1 Pro yang dilengkapi dengan parameter `thinkingConfig` memungkinkan model memetakan rangkaian logika berpikir (thought blocks) sebelum menjawab pertanyaan kompleks warga.</w:t>
      </w:r>
    </w:p>
    <w:p>
      <w:pPr>
        <w:spacing w:before="0" w:after="120" w:line="360" w:lineRule="auto"/>
        <w:ind w:firstLine="720"/>
        <w:jc w:val="both"/>
      </w:pPr>
      <w:r>
        <w:rPr>
          <w:rFonts w:ascii="Times New Roman" w:hAnsi="Times New Roman"/>
          <w:b w:val="0"/>
          <w:i w:val="0"/>
          <w:color w:val="000000"/>
          <w:sz w:val="24"/>
        </w:rPr>
        <w:t>Aliran data dipancarkan secara asinkron dari server NestJS ke aplikasi mobile Flutter menggunakan protokol Server-Sent Events (SSE). Gambar 4 di bawah ini menyajikan visualisasi pembagian porsi waktu aliran data saat fase memikirkan (thinking) berlangsung hingga fase transmisi respons teks utama selesai diproses.</w:t>
      </w:r>
    </w:p>
    <w:p>
      <w:r>
        <w:drawing>
          <wp:inline xmlns:a="http://schemas.openxmlformats.org/drawingml/2006/main" xmlns:pic="http://schemas.openxmlformats.org/drawingml/2006/picture">
            <wp:extent cx="5040000" cy="2391922"/>
            <wp:docPr id="3" name="Picture 3"/>
            <wp:cNvGraphicFramePr>
              <a:graphicFrameLocks noChangeAspect="1"/>
            </wp:cNvGraphicFramePr>
            <a:graphic>
              <a:graphicData uri="http://schemas.openxmlformats.org/drawingml/2006/picture">
                <pic:pic>
                  <pic:nvPicPr>
                    <pic:cNvPr id="0" name="diagram_sse_streaming.png"/>
                    <pic:cNvPicPr/>
                  </pic:nvPicPr>
                  <pic:blipFill>
                    <a:blip r:embed="rId11"/>
                    <a:stretch>
                      <a:fillRect/>
                    </a:stretch>
                  </pic:blipFill>
                  <pic:spPr>
                    <a:xfrm>
                      <a:off x="0" y="0"/>
                      <a:ext cx="5040000" cy="2391922"/>
                    </a:xfrm>
                    <a:prstGeom prst="rect"/>
                  </pic:spPr>
                </pic:pic>
              </a:graphicData>
            </a:graphic>
          </wp:inline>
        </w:drawing>
      </w:r>
    </w:p>
    <w:p>
      <w:pPr>
        <w:spacing w:before="80" w:after="160" w:line="240" w:lineRule="auto"/>
        <w:jc w:val="center"/>
      </w:pPr>
      <w:r>
        <w:rPr>
          <w:rFonts w:ascii="Times New Roman" w:hAnsi="Times New Roman"/>
          <w:i/>
          <w:color w:val="333333"/>
          <w:sz w:val="19"/>
        </w:rPr>
        <w:t>Gambar 4. Grafik analisis latensi aliran data real-time SSE.</w:t>
      </w:r>
    </w:p>
    <w:p>
      <w:pPr>
        <w:spacing w:before="0" w:after="120" w:line="360" w:lineRule="auto"/>
        <w:ind w:firstLine="720"/>
        <w:jc w:val="both"/>
      </w:pPr>
      <w:r>
        <w:rPr>
          <w:rFonts w:ascii="Times New Roman" w:hAnsi="Times New Roman"/>
          <w:b w:val="0"/>
          <w:i/>
          <w:color w:val="000000"/>
          <w:sz w:val="24"/>
        </w:rPr>
        <w:t>Aplikasi Flutter menangkap stream data ini secara real-time. Bagian `reasoning_content` langsung disalurkan ke widget panel berpikir lipat (collapsible panel), sementara bagian `content` utama digabungkan dan ditampilkan menggunakan efek typewriter dengan delta-time konstan untuk menyajikan visualisasi yang mulus tanpa mengorbankan memori perangkat.</w:t>
      </w:r>
    </w:p>
    <w:p>
      <w:r>
        <w:br w:type="page"/>
      </w:r>
    </w:p>
    <w:p>
      <w:pPr>
        <w:keepNext/>
        <w:spacing w:before="360" w:after="80" w:line="276" w:lineRule="auto"/>
        <w:jc w:val="left"/>
      </w:pPr>
      <w:r>
        <w:rPr>
          <w:rFonts w:ascii="Times New Roman" w:hAnsi="Times New Roman"/>
          <w:b/>
          <w:color w:val="000000"/>
          <w:sz w:val="24"/>
        </w:rPr>
        <w:t>VII. HYBRID RAG &amp; PERUTEAN MODEL DINAMIS</w:t>
      </w:r>
    </w:p>
    <w:p>
      <w:pPr>
        <w:spacing w:before="0" w:after="120" w:line="360" w:lineRule="auto"/>
        <w:ind w:firstLine="720"/>
        <w:jc w:val="both"/>
      </w:pPr>
      <w:r>
        <w:rPr>
          <w:rFonts w:ascii="Times New Roman" w:hAnsi="Times New Roman"/>
          <w:b w:val="0"/>
          <w:i/>
          <w:color w:val="000000"/>
          <w:sz w:val="24"/>
        </w:rPr>
        <w:t>Untuk menekan biaya sewa server kecerdasan buatan, Genesis menggunakan pola perutean kueri secara hibrida. Kueri warga dianalisis kategorinya oleh modul Router backend. Kueri non-teknis yang bersifat sapaan ringan dialihkan ke Gemini 2.5 Flash Lite yang hemat biaya. Namun, jika kueri mengandung pertanyaan terkait aturan perundang-undangan lingkungan hidup, kueri tersebut dilarikan ke sistem Vertex AI Search RAG.</w:t>
      </w:r>
    </w:p>
    <w:p>
      <w:pPr>
        <w:spacing w:before="0" w:after="120" w:line="360" w:lineRule="auto"/>
        <w:ind w:firstLine="720"/>
        <w:jc w:val="both"/>
      </w:pPr>
      <w:r>
        <w:rPr>
          <w:rFonts w:ascii="Times New Roman" w:hAnsi="Times New Roman"/>
          <w:b w:val="0"/>
          <w:i/>
          <w:color w:val="000000"/>
          <w:sz w:val="24"/>
        </w:rPr>
        <w:t>Vertex AI Search melakukan pencarian semantik (semantic search) di dalam basis dokumen hukum lingkungan hidup (UU No. 32 Tahun 2009, PP, dan Perda). Pasal hukum yang paling relevan diekstraksi sebagai konteks tepercaya, lalu disisipkan ke dalam instruksi prompt sistem untuk diselesaikan oleh Gemini 3.5 Flash. Sistem hibrida RAG ini sepenuhnya membasmi kemungkinan terjadinya halusinasi informasi hukum, menjamin setiap jawaban asisten menyertakan pasal hukum resmi yang sah dan valid.</w:t>
      </w:r>
    </w:p>
    <w:p>
      <w:r>
        <w:br w:type="page"/>
      </w:r>
    </w:p>
    <w:p>
      <w:pPr>
        <w:keepNext/>
        <w:spacing w:before="360" w:after="80" w:line="276" w:lineRule="auto"/>
        <w:jc w:val="left"/>
      </w:pPr>
      <w:r>
        <w:rPr>
          <w:rFonts w:ascii="Times New Roman" w:hAnsi="Times New Roman"/>
          <w:b/>
          <w:color w:val="000000"/>
          <w:sz w:val="24"/>
        </w:rPr>
        <w:t>VIII. MESIN GAMIFIKASI &amp; LEADERBOARD DATA RIIL</w:t>
      </w:r>
    </w:p>
    <w:p>
      <w:pPr>
        <w:spacing w:before="0" w:after="120" w:line="360" w:lineRule="auto"/>
        <w:ind w:firstLine="720"/>
        <w:jc w:val="both"/>
      </w:pPr>
      <w:r>
        <w:rPr>
          <w:rFonts w:ascii="Times New Roman" w:hAnsi="Times New Roman"/>
          <w:b w:val="0"/>
          <w:i/>
          <w:color w:val="000000"/>
          <w:sz w:val="24"/>
        </w:rPr>
        <w:t>Partisipasi berkelanjutan warga dijaga melalui modul Gamifikasi yang terintegrasi secara aman di dalam database PostgreSQL. Setiap laporan kerusakan lingkungan yang tervalidasi oleh DLH atau interaksi positif dalam konsultasi regulasi memicu webhook backend untuk menyelesaikan tantangan harian (Daily Quests) secara otomatis.</w:t>
      </w:r>
    </w:p>
    <w:p>
      <w:pPr>
        <w:spacing w:before="0" w:after="120" w:line="360" w:lineRule="auto"/>
        <w:ind w:firstLine="720"/>
        <w:jc w:val="both"/>
      </w:pPr>
      <w:r>
        <w:rPr>
          <w:rFonts w:ascii="Times New Roman" w:hAnsi="Times New Roman"/>
          <w:b w:val="0"/>
          <w:i w:val="0"/>
          <w:color w:val="000000"/>
          <w:sz w:val="24"/>
        </w:rPr>
        <w:t>Penyelesaian tantangan harian memicu penambahan Experience Points (XP) dan koin virtual warga. Papan peringkat global (Leaderboard) disusun secara berkala berdasarkan akumulasi XP warga. Gambar 5 menyajikan visualisasi data riil papan peringkat kontribusi warga Genesis, menampilkan peringkat tiga besar tim pengembang sebagai representasi kontribusi aktif dalam sistem nyata.</w:t>
      </w:r>
    </w:p>
    <w:p>
      <w:r>
        <w:drawing>
          <wp:inline xmlns:a="http://schemas.openxmlformats.org/drawingml/2006/main" xmlns:pic="http://schemas.openxmlformats.org/drawingml/2006/picture">
            <wp:extent cx="5040000" cy="2491664"/>
            <wp:docPr id="4" name="Picture 4"/>
            <wp:cNvGraphicFramePr>
              <a:graphicFrameLocks noChangeAspect="1"/>
            </wp:cNvGraphicFramePr>
            <a:graphic>
              <a:graphicData uri="http://schemas.openxmlformats.org/drawingml/2006/picture">
                <pic:pic>
                  <pic:nvPicPr>
                    <pic:cNvPr id="0" name="diagram_leaderboard.png"/>
                    <pic:cNvPicPr/>
                  </pic:nvPicPr>
                  <pic:blipFill>
                    <a:blip r:embed="rId12"/>
                    <a:stretch>
                      <a:fillRect/>
                    </a:stretch>
                  </pic:blipFill>
                  <pic:spPr>
                    <a:xfrm>
                      <a:off x="0" y="0"/>
                      <a:ext cx="5040000" cy="2491664"/>
                    </a:xfrm>
                    <a:prstGeom prst="rect"/>
                  </pic:spPr>
                </pic:pic>
              </a:graphicData>
            </a:graphic>
          </wp:inline>
        </w:drawing>
      </w:r>
    </w:p>
    <w:p>
      <w:pPr>
        <w:spacing w:before="80" w:after="160" w:line="240" w:lineRule="auto"/>
        <w:jc w:val="center"/>
      </w:pPr>
      <w:r>
        <w:rPr>
          <w:rFonts w:ascii="Times New Roman" w:hAnsi="Times New Roman"/>
          <w:i/>
          <w:color w:val="333333"/>
          <w:sz w:val="19"/>
        </w:rPr>
        <w:t>Gambar 5. Grafik visualisasi data riil Genesis Leaderboard.</w:t>
      </w:r>
    </w:p>
    <w:p>
      <w:pPr>
        <w:spacing w:before="0" w:after="120" w:line="360" w:lineRule="auto"/>
        <w:ind w:firstLine="720"/>
        <w:jc w:val="both"/>
      </w:pPr>
      <w:r>
        <w:rPr>
          <w:rFonts w:ascii="Times New Roman" w:hAnsi="Times New Roman"/>
          <w:b w:val="0"/>
          <w:i w:val="0"/>
          <w:color w:val="000000"/>
          <w:sz w:val="24"/>
        </w:rPr>
        <w:t>Koin virtual yang dikumpulkan oleh warga dapat ditukarkan secara langsung dengan insentif ekonomi nyata (seperti voucher belanja bahan pokok atau token listrik) di bank sampah digital lokal. Pendekatan sirkuler ini memastikan aksi iklim warga melahirkan dampak ekonomi positif nyata secara berkelanjutan.</w:t>
      </w:r>
    </w:p>
    <w:p>
      <w:r>
        <w:br w:type="page"/>
      </w:r>
    </w:p>
    <w:p>
      <w:pPr>
        <w:keepNext/>
        <w:spacing w:before="360" w:after="80" w:line="276" w:lineRule="auto"/>
        <w:jc w:val="left"/>
      </w:pPr>
      <w:r>
        <w:rPr>
          <w:rFonts w:ascii="Times New Roman" w:hAnsi="Times New Roman"/>
          <w:b/>
          <w:color w:val="000000"/>
          <w:sz w:val="24"/>
        </w:rPr>
        <w:t>IX. RESPONSIBLE AI &amp; SAFETY-BY-DESIGN GUIDELINES</w:t>
      </w:r>
    </w:p>
    <w:p>
      <w:pPr>
        <w:spacing w:before="0" w:after="120" w:line="360" w:lineRule="auto"/>
        <w:ind w:firstLine="720"/>
        <w:jc w:val="both"/>
      </w:pPr>
      <w:r>
        <w:rPr>
          <w:rFonts w:ascii="Times New Roman" w:hAnsi="Times New Roman"/>
          <w:b w:val="0"/>
          <w:i w:val="0"/>
          <w:color w:val="000000"/>
          <w:sz w:val="24"/>
        </w:rPr>
        <w:t>Penerapan sistem kecerdasan buatan pada ranah pelayanan publik menuntut adanya pengaman etika dan keamanan data yang ekstra ketat. Genesis merancang seluruh fiturnya mengacu pada pilar utama Responsible AI untuk meminimalisir dampak bias keputusan, penyalahgunaan model, dan kebocoran informasi pribadi warga.</w:t>
      </w:r>
    </w:p>
    <w:tbl>
      <w:tblPr>
        <w:tblW w:type="auto" w:w="0"/>
        <w:jc w:val="center"/>
        <w:tblLayout w:type="fixed"/>
        <w:tblLook w:firstColumn="1" w:firstRow="1" w:lastColumn="0" w:lastRow="0" w:noHBand="0" w:noVBand="1" w:val="04A0"/>
      </w:tblPr>
      <w:tblGrid>
        <w:gridCol w:w="2646"/>
        <w:gridCol w:w="2646"/>
        <w:gridCol w:w="2646"/>
      </w:tblGrid>
      <w:tr>
        <w:tc>
          <w:tcPr>
            <w:tcW w:type="dxa" w:w="567"/>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No. </w:t>
            </w:r>
          </w:p>
        </w:tc>
        <w:tc>
          <w:tcPr>
            <w:tcW w:type="dxa" w:w="1984"/>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Pilar </w:t>
            </w:r>
            <w:r>
              <w:rPr>
                <w:rFonts w:ascii="Times New Roman" w:hAnsi="Times New Roman"/>
                <w:b/>
                <w:i w:val="0"/>
                <w:color w:val="000000"/>
                <w:sz w:val="20"/>
              </w:rPr>
              <w:t xml:space="preserve">Etika </w:t>
            </w:r>
            <w:r>
              <w:rPr>
                <w:rFonts w:ascii="Times New Roman" w:hAnsi="Times New Roman"/>
                <w:b/>
                <w:i w:val="0"/>
                <w:color w:val="000000"/>
                <w:sz w:val="20"/>
              </w:rPr>
              <w:t xml:space="preserve">AI </w:t>
            </w:r>
          </w:p>
        </w:tc>
        <w:tc>
          <w:tcPr>
            <w:tcW w:type="dxa" w:w="5386"/>
            <w:tcMar>
              <w:top w:w="60" w:type="dxa"/>
              <w:bottom w:w="60" w:type="dxa"/>
              <w:left w:w="100" w:type="dxa"/>
              <w:right w:w="100" w:type="dxa"/>
            </w:tcMar>
            <w:shd w:fill="F2F2F2"/>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Implementasi </w:t>
            </w:r>
            <w:r>
              <w:rPr>
                <w:rFonts w:ascii="Times New Roman" w:hAnsi="Times New Roman"/>
                <w:b/>
                <w:i w:val="0"/>
                <w:color w:val="000000"/>
                <w:sz w:val="20"/>
              </w:rPr>
              <w:t xml:space="preserve">Nyata </w:t>
            </w:r>
            <w:r>
              <w:rPr>
                <w:rFonts w:ascii="Times New Roman" w:hAnsi="Times New Roman"/>
                <w:b/>
                <w:i w:val="0"/>
                <w:color w:val="000000"/>
                <w:sz w:val="20"/>
              </w:rPr>
              <w:t xml:space="preserve">&amp; </w:t>
            </w:r>
            <w:r>
              <w:rPr>
                <w:rFonts w:ascii="Times New Roman" w:hAnsi="Times New Roman"/>
                <w:b/>
                <w:i/>
                <w:color w:val="000000"/>
                <w:sz w:val="20"/>
              </w:rPr>
              <w:t xml:space="preserve">Strategi </w:t>
            </w:r>
            <w:r>
              <w:rPr>
                <w:rFonts w:ascii="Times New Roman" w:hAnsi="Times New Roman"/>
                <w:b/>
                <w:i w:val="0"/>
                <w:color w:val="000000"/>
                <w:sz w:val="20"/>
              </w:rPr>
              <w:t xml:space="preserve">Mitigasi </w:t>
            </w:r>
            <w:r>
              <w:rPr>
                <w:rFonts w:ascii="Times New Roman" w:hAnsi="Times New Roman"/>
                <w:b/>
                <w:i w:val="0"/>
                <w:color w:val="000000"/>
                <w:sz w:val="20"/>
              </w:rPr>
              <w:t xml:space="preserve">pada </w:t>
            </w:r>
            <w:r>
              <w:rPr>
                <w:rFonts w:ascii="Times New Roman" w:hAnsi="Times New Roman"/>
                <w:b/>
                <w:i w:val="0"/>
                <w:color w:val="000000"/>
                <w:sz w:val="20"/>
              </w:rPr>
              <w:t xml:space="preserve">Genesis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1 </w:t>
            </w:r>
          </w:p>
        </w:tc>
        <w:tc>
          <w:tcPr>
            <w:tcW w:type="dxa" w:w="1984"/>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Privasi </w:t>
            </w:r>
            <w:r>
              <w:rPr>
                <w:rFonts w:ascii="Times New Roman" w:hAnsi="Times New Roman"/>
                <w:b/>
                <w:i w:val="0"/>
                <w:color w:val="000000"/>
                <w:sz w:val="20"/>
              </w:rPr>
              <w:t xml:space="preserve">&amp; </w:t>
            </w:r>
            <w:r>
              <w:rPr>
                <w:rFonts w:ascii="Times New Roman" w:hAnsi="Times New Roman"/>
                <w:b/>
                <w:i w:val="0"/>
                <w:color w:val="000000"/>
                <w:sz w:val="20"/>
              </w:rPr>
              <w:t xml:space="preserve">Perlindungan </w:t>
            </w:r>
            <w:r>
              <w:rPr>
                <w:rFonts w:ascii="Times New Roman" w:hAnsi="Times New Roman"/>
                <w:b/>
                <w:i w:val="0"/>
                <w:color w:val="000000"/>
                <w:sz w:val="20"/>
              </w:rPr>
              <w:t xml:space="preserve">Data </w:t>
            </w:r>
          </w:p>
        </w:tc>
        <w:tc>
          <w:tcPr>
            <w:tcW w:type="dxa" w:w="5386"/>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Proses </w:t>
            </w:r>
            <w:r>
              <w:rPr>
                <w:rFonts w:ascii="Times New Roman" w:hAnsi="Times New Roman"/>
                <w:b w:val="0"/>
                <w:i/>
                <w:color w:val="000000"/>
                <w:sz w:val="20"/>
              </w:rPr>
              <w:t xml:space="preserve">blurring </w:t>
            </w:r>
            <w:r>
              <w:rPr>
                <w:rFonts w:ascii="Times New Roman" w:hAnsi="Times New Roman"/>
                <w:b w:val="0"/>
                <w:i w:val="0"/>
                <w:color w:val="000000"/>
                <w:sz w:val="20"/>
              </w:rPr>
              <w:t xml:space="preserve">objek </w:t>
            </w:r>
            <w:r>
              <w:rPr>
                <w:rFonts w:ascii="Times New Roman" w:hAnsi="Times New Roman"/>
                <w:b w:val="0"/>
                <w:i w:val="0"/>
                <w:color w:val="000000"/>
                <w:sz w:val="20"/>
              </w:rPr>
              <w:t xml:space="preserve">wajah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plat </w:t>
            </w:r>
            <w:r>
              <w:rPr>
                <w:rFonts w:ascii="Times New Roman" w:hAnsi="Times New Roman"/>
                <w:b w:val="0"/>
                <w:i w:val="0"/>
                <w:color w:val="000000"/>
                <w:sz w:val="20"/>
              </w:rPr>
              <w:t xml:space="preserve">nomor </w:t>
            </w:r>
            <w:r>
              <w:rPr>
                <w:rFonts w:ascii="Times New Roman" w:hAnsi="Times New Roman"/>
                <w:b w:val="0"/>
                <w:i w:val="0"/>
                <w:color w:val="000000"/>
                <w:sz w:val="20"/>
              </w:rPr>
              <w:t xml:space="preserve">kendaraan </w:t>
            </w:r>
            <w:r>
              <w:rPr>
                <w:rFonts w:ascii="Times New Roman" w:hAnsi="Times New Roman"/>
                <w:b w:val="0"/>
                <w:i w:val="0"/>
                <w:color w:val="000000"/>
                <w:sz w:val="20"/>
              </w:rPr>
              <w:t xml:space="preserve">dilakukan </w:t>
            </w:r>
            <w:r>
              <w:rPr>
                <w:rFonts w:ascii="Times New Roman" w:hAnsi="Times New Roman"/>
                <w:b w:val="0"/>
                <w:i w:val="0"/>
                <w:color w:val="000000"/>
                <w:sz w:val="20"/>
              </w:rPr>
              <w:t xml:space="preserve">instan </w:t>
            </w:r>
            <w:r>
              <w:rPr>
                <w:rFonts w:ascii="Times New Roman" w:hAnsi="Times New Roman"/>
                <w:b w:val="0"/>
                <w:i w:val="0"/>
                <w:color w:val="000000"/>
                <w:sz w:val="20"/>
              </w:rPr>
              <w:t xml:space="preserve">di </w:t>
            </w:r>
            <w:r>
              <w:rPr>
                <w:rFonts w:ascii="Times New Roman" w:hAnsi="Times New Roman"/>
                <w:b w:val="0"/>
                <w:i w:val="0"/>
                <w:color w:val="000000"/>
                <w:sz w:val="20"/>
              </w:rPr>
              <w:t xml:space="preserve">RAM </w:t>
            </w:r>
            <w:r>
              <w:rPr>
                <w:rFonts w:ascii="Times New Roman" w:hAnsi="Times New Roman"/>
                <w:b w:val="0"/>
                <w:i w:val="0"/>
                <w:color w:val="000000"/>
                <w:sz w:val="20"/>
              </w:rPr>
              <w:t xml:space="preserve">server </w:t>
            </w:r>
            <w:r>
              <w:rPr>
                <w:rFonts w:ascii="Times New Roman" w:hAnsi="Times New Roman"/>
                <w:b w:val="0"/>
                <w:i w:val="0"/>
                <w:color w:val="000000"/>
                <w:sz w:val="20"/>
              </w:rPr>
              <w:t xml:space="preserve">sebelum </w:t>
            </w:r>
            <w:r>
              <w:rPr>
                <w:rFonts w:ascii="Times New Roman" w:hAnsi="Times New Roman"/>
                <w:b w:val="0"/>
                <w:i w:val="0"/>
                <w:color w:val="000000"/>
                <w:sz w:val="20"/>
              </w:rPr>
              <w:t xml:space="preserve">file </w:t>
            </w:r>
            <w:r>
              <w:rPr>
                <w:rFonts w:ascii="Times New Roman" w:hAnsi="Times New Roman"/>
                <w:b w:val="0"/>
                <w:i w:val="0"/>
                <w:color w:val="000000"/>
                <w:sz w:val="20"/>
              </w:rPr>
              <w:t xml:space="preserve">disimpan.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2 </w:t>
            </w:r>
          </w:p>
        </w:tc>
        <w:tc>
          <w:tcPr>
            <w:tcW w:type="dxa" w:w="1984"/>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Transparansi </w:t>
            </w:r>
            <w:r>
              <w:rPr>
                <w:rFonts w:ascii="Times New Roman" w:hAnsi="Times New Roman"/>
                <w:b/>
                <w:i w:val="0"/>
                <w:color w:val="000000"/>
                <w:sz w:val="20"/>
              </w:rPr>
              <w:t xml:space="preserve">Keputusan </w:t>
            </w:r>
          </w:p>
        </w:tc>
        <w:tc>
          <w:tcPr>
            <w:tcW w:type="dxa" w:w="5386"/>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Model </w:t>
            </w:r>
            <w:r>
              <w:rPr>
                <w:rFonts w:ascii="Times New Roman" w:hAnsi="Times New Roman"/>
                <w:b w:val="0"/>
                <w:i w:val="0"/>
                <w:color w:val="000000"/>
                <w:sz w:val="20"/>
              </w:rPr>
              <w:t xml:space="preserve">AI </w:t>
            </w:r>
            <w:r>
              <w:rPr>
                <w:rFonts w:ascii="Times New Roman" w:hAnsi="Times New Roman"/>
                <w:b w:val="0"/>
                <w:i w:val="0"/>
                <w:color w:val="000000"/>
                <w:sz w:val="20"/>
              </w:rPr>
              <w:t xml:space="preserve">wajib </w:t>
            </w:r>
            <w:r>
              <w:rPr>
                <w:rFonts w:ascii="Times New Roman" w:hAnsi="Times New Roman"/>
                <w:b w:val="0"/>
                <w:i w:val="0"/>
                <w:color w:val="000000"/>
                <w:sz w:val="20"/>
              </w:rPr>
              <w:t xml:space="preserve">memuntahkan </w:t>
            </w:r>
            <w:r>
              <w:rPr>
                <w:rFonts w:ascii="Times New Roman" w:hAnsi="Times New Roman"/>
                <w:b w:val="0"/>
                <w:i w:val="0"/>
                <w:color w:val="000000"/>
                <w:sz w:val="20"/>
              </w:rPr>
              <w:t xml:space="preserve">skor </w:t>
            </w:r>
            <w:r>
              <w:rPr>
                <w:rFonts w:ascii="Times New Roman" w:hAnsi="Times New Roman"/>
                <w:b w:val="0"/>
                <w:i w:val="0"/>
                <w:color w:val="000000"/>
                <w:sz w:val="20"/>
              </w:rPr>
              <w:t xml:space="preserve">akurasi </w:t>
            </w:r>
            <w:r>
              <w:rPr>
                <w:rFonts w:ascii="Times New Roman" w:hAnsi="Times New Roman"/>
                <w:b w:val="0"/>
                <w:i w:val="0"/>
                <w:color w:val="000000"/>
                <w:sz w:val="20"/>
              </w:rPr>
              <w:t xml:space="preserve">klasifikasi </w:t>
            </w:r>
            <w:r>
              <w:rPr>
                <w:rFonts w:ascii="Times New Roman" w:hAnsi="Times New Roman"/>
                <w:b w:val="0"/>
                <w:i w:val="0"/>
                <w:color w:val="000000"/>
                <w:sz w:val="20"/>
              </w:rPr>
              <w:t xml:space="preserve">dan </w:t>
            </w:r>
            <w:r>
              <w:rPr>
                <w:rFonts w:ascii="Times New Roman" w:hAnsi="Times New Roman"/>
                <w:b w:val="0"/>
                <w:i w:val="0"/>
                <w:color w:val="000000"/>
                <w:sz w:val="20"/>
              </w:rPr>
              <w:t xml:space="preserve">menyertakan </w:t>
            </w:r>
            <w:r>
              <w:rPr>
                <w:rFonts w:ascii="Times New Roman" w:hAnsi="Times New Roman"/>
                <w:b w:val="0"/>
                <w:i w:val="0"/>
                <w:color w:val="000000"/>
                <w:sz w:val="20"/>
              </w:rPr>
              <w:t xml:space="preserve">rujukan </w:t>
            </w:r>
            <w:r>
              <w:rPr>
                <w:rFonts w:ascii="Times New Roman" w:hAnsi="Times New Roman"/>
                <w:b w:val="0"/>
                <w:i w:val="0"/>
                <w:color w:val="000000"/>
                <w:sz w:val="20"/>
              </w:rPr>
              <w:t xml:space="preserve">pasal </w:t>
            </w:r>
            <w:r>
              <w:rPr>
                <w:rFonts w:ascii="Times New Roman" w:hAnsi="Times New Roman"/>
                <w:b w:val="0"/>
                <w:i w:val="0"/>
                <w:color w:val="000000"/>
                <w:sz w:val="20"/>
              </w:rPr>
              <w:t xml:space="preserve">hukum </w:t>
            </w:r>
            <w:r>
              <w:rPr>
                <w:rFonts w:ascii="Times New Roman" w:hAnsi="Times New Roman"/>
                <w:b w:val="0"/>
                <w:i w:val="0"/>
                <w:color w:val="000000"/>
                <w:sz w:val="20"/>
              </w:rPr>
              <w:t xml:space="preserve">asli.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3 </w:t>
            </w:r>
          </w:p>
        </w:tc>
        <w:tc>
          <w:tcPr>
            <w:tcW w:type="dxa" w:w="1984"/>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Keamanan </w:t>
            </w:r>
            <w:r>
              <w:rPr>
                <w:rFonts w:ascii="Times New Roman" w:hAnsi="Times New Roman"/>
                <w:b/>
                <w:i w:val="0"/>
                <w:color w:val="000000"/>
                <w:sz w:val="20"/>
              </w:rPr>
              <w:t xml:space="preserve">Terhadap </w:t>
            </w:r>
            <w:r>
              <w:rPr>
                <w:rFonts w:ascii="Times New Roman" w:hAnsi="Times New Roman"/>
                <w:b/>
                <w:i w:val="0"/>
                <w:color w:val="000000"/>
                <w:sz w:val="20"/>
              </w:rPr>
              <w:t xml:space="preserve">Eksploitasi </w:t>
            </w:r>
          </w:p>
        </w:tc>
        <w:tc>
          <w:tcPr>
            <w:tcW w:type="dxa" w:w="5386"/>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Penerapan </w:t>
            </w:r>
            <w:r>
              <w:rPr>
                <w:rFonts w:ascii="Times New Roman" w:hAnsi="Times New Roman"/>
                <w:b w:val="0"/>
                <w:i/>
                <w:color w:val="000000"/>
                <w:sz w:val="20"/>
              </w:rPr>
              <w:t xml:space="preserve">rate-limiting </w:t>
            </w:r>
            <w:r>
              <w:rPr>
                <w:rFonts w:ascii="Times New Roman" w:hAnsi="Times New Roman"/>
                <w:b w:val="0"/>
                <w:i w:val="0"/>
                <w:color w:val="000000"/>
                <w:sz w:val="20"/>
              </w:rPr>
              <w:t xml:space="preserve">ketat </w:t>
            </w:r>
            <w:r>
              <w:rPr>
                <w:rFonts w:ascii="Times New Roman" w:hAnsi="Times New Roman"/>
                <w:b w:val="0"/>
                <w:i w:val="0"/>
                <w:color w:val="000000"/>
                <w:sz w:val="20"/>
              </w:rPr>
              <w:t xml:space="preserve">di </w:t>
            </w:r>
            <w:r>
              <w:rPr>
                <w:rFonts w:ascii="Times New Roman" w:hAnsi="Times New Roman"/>
                <w:b w:val="0"/>
                <w:i w:val="0"/>
                <w:color w:val="000000"/>
                <w:sz w:val="20"/>
              </w:rPr>
              <w:t xml:space="preserve">NestJS </w:t>
            </w:r>
            <w:r>
              <w:rPr>
                <w:rFonts w:ascii="Times New Roman" w:hAnsi="Times New Roman"/>
                <w:b w:val="0"/>
                <w:i/>
                <w:color w:val="000000"/>
                <w:sz w:val="20"/>
              </w:rPr>
              <w:t xml:space="preserve">Gateway </w:t>
            </w:r>
            <w:r>
              <w:rPr>
                <w:rFonts w:ascii="Times New Roman" w:hAnsi="Times New Roman"/>
                <w:b w:val="0"/>
                <w:i w:val="0"/>
                <w:color w:val="000000"/>
                <w:sz w:val="20"/>
              </w:rPr>
              <w:t xml:space="preserve">untuk </w:t>
            </w:r>
            <w:r>
              <w:rPr>
                <w:rFonts w:ascii="Times New Roman" w:hAnsi="Times New Roman"/>
                <w:b w:val="0"/>
                <w:i w:val="0"/>
                <w:color w:val="000000"/>
                <w:sz w:val="20"/>
              </w:rPr>
              <w:t xml:space="preserve">mencegah </w:t>
            </w:r>
            <w:r>
              <w:rPr>
                <w:rFonts w:ascii="Times New Roman" w:hAnsi="Times New Roman"/>
                <w:b w:val="0"/>
                <w:i w:val="0"/>
                <w:color w:val="000000"/>
                <w:sz w:val="20"/>
              </w:rPr>
              <w:t xml:space="preserve">serangan </w:t>
            </w:r>
            <w:r>
              <w:rPr>
                <w:rFonts w:ascii="Times New Roman" w:hAnsi="Times New Roman"/>
                <w:b w:val="0"/>
                <w:i w:val="0"/>
                <w:color w:val="000000"/>
                <w:sz w:val="20"/>
              </w:rPr>
              <w:t xml:space="preserve">brute </w:t>
            </w:r>
            <w:r>
              <w:rPr>
                <w:rFonts w:ascii="Times New Roman" w:hAnsi="Times New Roman"/>
                <w:b w:val="0"/>
                <w:i w:val="0"/>
                <w:color w:val="000000"/>
                <w:sz w:val="20"/>
              </w:rPr>
              <w:t xml:space="preserve">force </w:t>
            </w:r>
            <w:r>
              <w:rPr>
                <w:rFonts w:ascii="Times New Roman" w:hAnsi="Times New Roman"/>
                <w:b w:val="0"/>
                <w:i w:val="0"/>
                <w:color w:val="000000"/>
                <w:sz w:val="20"/>
              </w:rPr>
              <w:t xml:space="preserve">dan </w:t>
            </w:r>
            <w:r>
              <w:rPr>
                <w:rFonts w:ascii="Times New Roman" w:hAnsi="Times New Roman"/>
                <w:b w:val="0"/>
                <w:i w:val="0"/>
                <w:color w:val="000000"/>
                <w:sz w:val="20"/>
              </w:rPr>
              <w:t xml:space="preserve">prompt </w:t>
            </w:r>
            <w:r>
              <w:rPr>
                <w:rFonts w:ascii="Times New Roman" w:hAnsi="Times New Roman"/>
                <w:b w:val="0"/>
                <w:i/>
                <w:color w:val="000000"/>
                <w:sz w:val="20"/>
              </w:rPr>
              <w:t xml:space="preserve">injection. </w:t>
            </w:r>
          </w:p>
        </w:tc>
      </w:tr>
      <w:tr>
        <w:tc>
          <w:tcPr>
            <w:tcW w:type="dxa" w:w="567"/>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center"/>
            </w:pPr>
            <w:r/>
            <w:r>
              <w:rPr>
                <w:rFonts w:ascii="Times New Roman" w:hAnsi="Times New Roman"/>
                <w:b/>
                <w:i w:val="0"/>
                <w:color w:val="000000"/>
                <w:sz w:val="20"/>
              </w:rPr>
              <w:t xml:space="preserve">4 </w:t>
            </w:r>
          </w:p>
        </w:tc>
        <w:tc>
          <w:tcPr>
            <w:tcW w:type="dxa" w:w="1984"/>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i w:val="0"/>
                <w:color w:val="000000"/>
                <w:sz w:val="20"/>
              </w:rPr>
              <w:t xml:space="preserve">Kendali </w:t>
            </w:r>
            <w:r>
              <w:rPr>
                <w:rFonts w:ascii="Times New Roman" w:hAnsi="Times New Roman"/>
                <w:b/>
                <w:i w:val="0"/>
                <w:color w:val="000000"/>
                <w:sz w:val="20"/>
              </w:rPr>
              <w:t xml:space="preserve">Otoritas </w:t>
            </w:r>
            <w:r>
              <w:rPr>
                <w:rFonts w:ascii="Times New Roman" w:hAnsi="Times New Roman"/>
                <w:b/>
                <w:i w:val="0"/>
                <w:color w:val="000000"/>
                <w:sz w:val="20"/>
              </w:rPr>
              <w:t xml:space="preserve">Manusia </w:t>
            </w:r>
          </w:p>
        </w:tc>
        <w:tc>
          <w:tcPr>
            <w:tcW w:type="dxa" w:w="5386"/>
            <w:tcMar>
              <w:top w:w="60" w:type="dxa"/>
              <w:bottom w:w="60" w:type="dxa"/>
              <w:left w:w="100" w:type="dxa"/>
              <w:right w:w="100" w:type="dxa"/>
            </w:tcMar>
            <w:tcBorders>
              <w:top w:val="single" w:sz="4" w:space="0" w:color="CCCCCC"/>
              <w:bottom w:val="single" w:sz="4" w:space="0" w:color="CCCCCC"/>
              <w:left w:val="single" w:sz="4" w:space="0" w:color="CCCCCC"/>
              <w:right w:val="single" w:sz="4" w:space="0" w:color="CCCCCC"/>
            </w:tcBorders>
            <w:vAlign w:val="center"/>
          </w:tcPr>
          <w:p>
            <w:pPr>
              <w:spacing w:before="0" w:after="0" w:line="276" w:lineRule="auto"/>
              <w:jc w:val="left"/>
            </w:pPr>
            <w:r/>
            <w:r>
              <w:rPr>
                <w:rFonts w:ascii="Times New Roman" w:hAnsi="Times New Roman"/>
                <w:b w:val="0"/>
                <w:i w:val="0"/>
                <w:color w:val="000000"/>
                <w:sz w:val="20"/>
              </w:rPr>
              <w:t xml:space="preserve">Model </w:t>
            </w:r>
            <w:r>
              <w:rPr>
                <w:rFonts w:ascii="Times New Roman" w:hAnsi="Times New Roman"/>
                <w:b w:val="0"/>
                <w:i w:val="0"/>
                <w:color w:val="000000"/>
                <w:sz w:val="20"/>
              </w:rPr>
              <w:t xml:space="preserve">AI </w:t>
            </w:r>
            <w:r>
              <w:rPr>
                <w:rFonts w:ascii="Times New Roman" w:hAnsi="Times New Roman"/>
                <w:b w:val="0"/>
                <w:i w:val="0"/>
                <w:color w:val="000000"/>
                <w:sz w:val="20"/>
              </w:rPr>
              <w:t xml:space="preserve">dilarang </w:t>
            </w:r>
            <w:r>
              <w:rPr>
                <w:rFonts w:ascii="Times New Roman" w:hAnsi="Times New Roman"/>
                <w:b w:val="0"/>
                <w:i w:val="0"/>
                <w:color w:val="000000"/>
                <w:sz w:val="20"/>
              </w:rPr>
              <w:t xml:space="preserve">menyetujui </w:t>
            </w:r>
            <w:r>
              <w:rPr>
                <w:rFonts w:ascii="Times New Roman" w:hAnsi="Times New Roman"/>
                <w:b w:val="0"/>
                <w:i w:val="0"/>
                <w:color w:val="000000"/>
                <w:sz w:val="20"/>
              </w:rPr>
              <w:t xml:space="preserve">sanksi </w:t>
            </w:r>
            <w:r>
              <w:rPr>
                <w:rFonts w:ascii="Times New Roman" w:hAnsi="Times New Roman"/>
                <w:b w:val="0"/>
                <w:i w:val="0"/>
                <w:color w:val="000000"/>
                <w:sz w:val="20"/>
              </w:rPr>
              <w:t xml:space="preserve">secara </w:t>
            </w:r>
            <w:r>
              <w:rPr>
                <w:rFonts w:ascii="Times New Roman" w:hAnsi="Times New Roman"/>
                <w:b w:val="0"/>
                <w:i w:val="0"/>
                <w:color w:val="000000"/>
                <w:sz w:val="20"/>
              </w:rPr>
              <w:t xml:space="preserve">mandiri; </w:t>
            </w:r>
            <w:r>
              <w:rPr>
                <w:rFonts w:ascii="Times New Roman" w:hAnsi="Times New Roman"/>
                <w:b w:val="0"/>
                <w:i w:val="0"/>
                <w:color w:val="000000"/>
                <w:sz w:val="20"/>
              </w:rPr>
              <w:t xml:space="preserve">keputusan </w:t>
            </w:r>
            <w:r>
              <w:rPr>
                <w:rFonts w:ascii="Times New Roman" w:hAnsi="Times New Roman"/>
                <w:b w:val="0"/>
                <w:i w:val="0"/>
                <w:color w:val="000000"/>
                <w:sz w:val="20"/>
              </w:rPr>
              <w:t xml:space="preserve">denda </w:t>
            </w:r>
            <w:r>
              <w:rPr>
                <w:rFonts w:ascii="Times New Roman" w:hAnsi="Times New Roman"/>
                <w:b w:val="0"/>
                <w:i w:val="0"/>
                <w:color w:val="000000"/>
                <w:sz w:val="20"/>
              </w:rPr>
              <w:t xml:space="preserve">tetap </w:t>
            </w:r>
            <w:r>
              <w:rPr>
                <w:rFonts w:ascii="Times New Roman" w:hAnsi="Times New Roman"/>
                <w:b w:val="0"/>
                <w:i w:val="0"/>
                <w:color w:val="000000"/>
                <w:sz w:val="20"/>
              </w:rPr>
              <w:t xml:space="preserve">berada </w:t>
            </w:r>
            <w:r>
              <w:rPr>
                <w:rFonts w:ascii="Times New Roman" w:hAnsi="Times New Roman"/>
                <w:b w:val="0"/>
                <w:i w:val="0"/>
                <w:color w:val="000000"/>
                <w:sz w:val="20"/>
              </w:rPr>
              <w:t xml:space="preserve">di </w:t>
            </w:r>
            <w:r>
              <w:rPr>
                <w:rFonts w:ascii="Times New Roman" w:hAnsi="Times New Roman"/>
                <w:b w:val="0"/>
                <w:i w:val="0"/>
                <w:color w:val="000000"/>
                <w:sz w:val="20"/>
              </w:rPr>
              <w:t xml:space="preserve">tangan </w:t>
            </w:r>
            <w:r>
              <w:rPr>
                <w:rFonts w:ascii="Times New Roman" w:hAnsi="Times New Roman"/>
                <w:b w:val="0"/>
                <w:i w:val="0"/>
                <w:color w:val="000000"/>
                <w:sz w:val="20"/>
              </w:rPr>
              <w:t xml:space="preserve">petugas </w:t>
            </w:r>
            <w:r>
              <w:rPr>
                <w:rFonts w:ascii="Times New Roman" w:hAnsi="Times New Roman"/>
                <w:b w:val="0"/>
                <w:i w:val="0"/>
                <w:color w:val="000000"/>
                <w:sz w:val="20"/>
              </w:rPr>
              <w:t xml:space="preserve">DLH. </w:t>
            </w:r>
          </w:p>
        </w:tc>
      </w:tr>
    </w:tbl>
    <w:p>
      <w:pPr>
        <w:spacing w:before="80" w:after="160" w:line="240" w:lineRule="auto"/>
        <w:jc w:val="center"/>
      </w:pPr>
      <w:r>
        <w:rPr>
          <w:rFonts w:ascii="Times New Roman" w:hAnsi="Times New Roman"/>
          <w:i/>
          <w:color w:val="333333"/>
          <w:sz w:val="19"/>
        </w:rPr>
        <w:t>Tabel 4. Matriks kepatuhan terhadap pilar Responsible AI pada platform Genesis.</w:t>
      </w:r>
    </w:p>
    <w:p>
      <w:r>
        <w:br w:type="page"/>
      </w:r>
    </w:p>
    <w:p>
      <w:pPr>
        <w:keepNext/>
        <w:spacing w:before="360" w:after="80" w:line="276" w:lineRule="auto"/>
        <w:jc w:val="left"/>
      </w:pPr>
      <w:r>
        <w:rPr>
          <w:rFonts w:ascii="Times New Roman" w:hAnsi="Times New Roman"/>
          <w:b/>
          <w:color w:val="000000"/>
          <w:sz w:val="24"/>
        </w:rPr>
        <w:t>X. RENCANA PENGUJIAN, SKALABILITAS, &amp; VERIFIKASI</w:t>
      </w:r>
    </w:p>
    <w:p>
      <w:pPr>
        <w:spacing w:before="0" w:after="120" w:line="360" w:lineRule="auto"/>
        <w:ind w:firstLine="720"/>
        <w:jc w:val="both"/>
      </w:pPr>
      <w:r>
        <w:rPr>
          <w:rFonts w:ascii="Times New Roman" w:hAnsi="Times New Roman"/>
          <w:b w:val="0"/>
          <w:i w:val="0"/>
          <w:color w:val="000000"/>
          <w:sz w:val="24"/>
        </w:rPr>
        <w:t>Untuk menjamin keandalan operasional platform Genesis saat melayani skala perkotaan maupun nasional, tim pengembang menerapkan serangkaian prosedur pengujian kualitas kode secara komprehensif. Pengujian dipecah ke dalam tiga tahap pengujian utama: (1) Pengujian statis kualitas penulisan kode (static analysis), (2) Pengujian unit fungsionalitas logika bisnis (unit testing), dan (3) Simulasi beban dinamis (load testing).</w:t>
      </w:r>
    </w:p>
    <w:p>
      <w:pPr>
        <w:spacing w:before="0" w:after="120" w:line="360" w:lineRule="auto"/>
        <w:ind w:firstLine="720"/>
        <w:jc w:val="both"/>
      </w:pPr>
      <w:r>
        <w:rPr>
          <w:rFonts w:ascii="Times New Roman" w:hAnsi="Times New Roman"/>
          <w:b w:val="0"/>
          <w:i/>
          <w:color w:val="000000"/>
          <w:sz w:val="24"/>
        </w:rPr>
        <w:t>Pengujian statis dijalankan menggunakan tool bawaan masing-masing framework. Pada sisi Flutter mobile client, perintah `flutter analyze` dieksekusi secara ketat untuk mematikan tidak ada peringatan kode mati (dead code) atau kebocoran memori pada widget scroll controller. Pada sisi NestJS backend, standarisasi kode diperiksa menggunakan ESLint dan TypeScript compiler untuk mencegah terjadinya bug tipe data saat runtime.</w:t>
      </w:r>
    </w:p>
    <w:p>
      <w:pPr>
        <w:spacing w:before="0" w:after="120" w:line="360" w:lineRule="auto"/>
        <w:ind w:firstLine="720"/>
        <w:jc w:val="both"/>
      </w:pPr>
      <w:r>
        <w:rPr>
          <w:rFonts w:ascii="Times New Roman" w:hAnsi="Times New Roman"/>
          <w:b w:val="0"/>
          <w:i/>
          <w:color w:val="000000"/>
          <w:sz w:val="24"/>
        </w:rPr>
        <w:t>Pengujian unit logika dilakukan menggunakan kerangka kerja Jest pada NestJS untuk memverifikasi keakuratan algoritma deduplikasi spasial PostGIS dan ketepatan perhitungan XP gamifikasi. Simulasi uji beban dijalankan untuk memantau performa respon server saat menerima lonjakan ribuan request stream SSE secara simultan. Uji kompilasi mandiri untuk target rilis android (`--split-per-abi`) dilakukan guna melahirkan bundel APK teringkas yang bebas dari celah keamanan pustaka pihak ketiga.</w:t>
      </w:r>
    </w:p>
    <w:p>
      <w:r>
        <w:br w:type="page"/>
      </w:r>
    </w:p>
    <w:p>
      <w:pPr>
        <w:keepNext/>
        <w:spacing w:before="360" w:after="80" w:line="276" w:lineRule="auto"/>
        <w:jc w:val="left"/>
      </w:pPr>
      <w:r>
        <w:rPr>
          <w:rFonts w:ascii="Times New Roman" w:hAnsi="Times New Roman"/>
          <w:b/>
          <w:color w:val="000000"/>
          <w:sz w:val="24"/>
        </w:rPr>
        <w:t>XI. DAFTAR PUSTAKA (APA 7TH EDITION)</w:t>
      </w:r>
    </w:p>
    <w:p>
      <w:pPr>
        <w:spacing w:before="0" w:after="120" w:line="276" w:lineRule="auto"/>
        <w:ind w:left="720" w:hanging="720"/>
        <w:jc w:val="left"/>
      </w:pPr>
      <w:r>
        <w:rPr>
          <w:rFonts w:ascii="Times New Roman" w:hAnsi="Times New Roman"/>
          <w:color w:val="000000"/>
          <w:sz w:val="24"/>
        </w:rPr>
        <w:t xml:space="preserve">Chen, M., &amp; Al-Mutairi, A. (2024). Context-aware retrieval-augmented generation for automated legal compliance in environmental planning. </w:t>
      </w:r>
      <w:r>
        <w:rPr>
          <w:rFonts w:ascii="Times New Roman" w:hAnsi="Times New Roman"/>
          <w:i/>
          <w:color w:val="000000"/>
          <w:sz w:val="24"/>
        </w:rPr>
        <w:t xml:space="preserve">Environmental Policy and Decision Support Systems, </w:t>
      </w:r>
      <w:r>
        <w:rPr>
          <w:rFonts w:ascii="Times New Roman" w:hAnsi="Times New Roman"/>
          <w:color w:val="000000"/>
          <w:sz w:val="24"/>
        </w:rPr>
        <w:t>29(4), 412–427. https://doi.org/10.1007/s10669-024-09873-1</w:t>
      </w:r>
    </w:p>
    <w:p>
      <w:pPr>
        <w:spacing w:before="0" w:after="120" w:line="276" w:lineRule="auto"/>
        <w:ind w:left="720" w:hanging="720"/>
        <w:jc w:val="left"/>
      </w:pPr>
      <w:r>
        <w:rPr>
          <w:rFonts w:ascii="Times New Roman" w:hAnsi="Times New Roman"/>
          <w:color w:val="000000"/>
          <w:sz w:val="24"/>
        </w:rPr>
        <w:t xml:space="preserve">Hamari, J., &amp; Koivisto, J. (2021). Pro-environmental behavior through gamification: A systematic literature review on motivation and citizen engagement. </w:t>
      </w:r>
      <w:r>
        <w:rPr>
          <w:rFonts w:ascii="Times New Roman" w:hAnsi="Times New Roman"/>
          <w:i/>
          <w:color w:val="000000"/>
          <w:sz w:val="24"/>
        </w:rPr>
        <w:t xml:space="preserve">Computers in Human Behavior, </w:t>
      </w:r>
      <w:r>
        <w:rPr>
          <w:rFonts w:ascii="Times New Roman" w:hAnsi="Times New Roman"/>
          <w:color w:val="000000"/>
          <w:sz w:val="24"/>
        </w:rPr>
        <w:t>114, Article 106553. https://doi.org/10.1016/j.chb.2020.106553</w:t>
      </w:r>
    </w:p>
    <w:p>
      <w:pPr>
        <w:spacing w:before="0" w:after="120" w:line="276" w:lineRule="auto"/>
        <w:ind w:left="720" w:hanging="720"/>
        <w:jc w:val="left"/>
      </w:pPr>
      <w:r>
        <w:rPr>
          <w:rFonts w:ascii="Times New Roman" w:hAnsi="Times New Roman"/>
          <w:color w:val="000000"/>
          <w:sz w:val="24"/>
        </w:rPr>
        <w:t xml:space="preserve">Harrison, R., &amp; Roberts, D. (2022). Mobile crowdsourcing platforms for participatory environmental governance. </w:t>
      </w:r>
      <w:r>
        <w:rPr>
          <w:rFonts w:ascii="Times New Roman" w:hAnsi="Times New Roman"/>
          <w:i/>
          <w:color w:val="000000"/>
          <w:sz w:val="24"/>
        </w:rPr>
        <w:t xml:space="preserve">Journal of Civic Technology, </w:t>
      </w:r>
      <w:r>
        <w:rPr>
          <w:rFonts w:ascii="Times New Roman" w:hAnsi="Times New Roman"/>
          <w:color w:val="000000"/>
          <w:sz w:val="24"/>
        </w:rPr>
        <w:t>14(3), 245–259. https://doi.org/10.1016/j.civtech.2022.100104</w:t>
      </w:r>
    </w:p>
    <w:p>
      <w:pPr>
        <w:spacing w:before="0" w:after="120" w:line="276" w:lineRule="auto"/>
        <w:ind w:left="720" w:hanging="720"/>
        <w:jc w:val="left"/>
      </w:pPr>
      <w:r>
        <w:rPr>
          <w:rFonts w:ascii="Times New Roman" w:hAnsi="Times New Roman"/>
          <w:color w:val="000000"/>
          <w:sz w:val="24"/>
        </w:rPr>
        <w:t xml:space="preserve">Peterson, K., &amp; Jenkins, T. (2023). Server-Sent Events (SSE) and asynchronous streaming in high-concurrency large language model orchestrations. </w:t>
      </w:r>
      <w:r>
        <w:rPr>
          <w:rFonts w:ascii="Times New Roman" w:hAnsi="Times New Roman"/>
          <w:i/>
          <w:color w:val="000000"/>
          <w:sz w:val="24"/>
        </w:rPr>
        <w:t xml:space="preserve">Software Practice and Experience, </w:t>
      </w:r>
      <w:r>
        <w:rPr>
          <w:rFonts w:ascii="Times New Roman" w:hAnsi="Times New Roman"/>
          <w:color w:val="000000"/>
          <w:sz w:val="24"/>
        </w:rPr>
        <w:t>53(9), 1801–1815. https://doi.org/10.1002/spe.3198</w:t>
      </w:r>
    </w:p>
    <w:p>
      <w:pPr>
        <w:spacing w:before="0" w:after="120" w:line="276" w:lineRule="auto"/>
        <w:ind w:left="720" w:hanging="720"/>
        <w:jc w:val="left"/>
      </w:pPr>
      <w:r>
        <w:rPr>
          <w:rFonts w:ascii="Times New Roman" w:hAnsi="Times New Roman"/>
          <w:color w:val="000000"/>
          <w:sz w:val="24"/>
        </w:rPr>
        <w:t xml:space="preserve">Singh, G., &amp; Mittal, S. (2024). Innovative Machine Learning Techniques for Accurate Detection of Bacterial Blight in Rice Agriculture. </w:t>
      </w:r>
      <w:r>
        <w:rPr>
          <w:rFonts w:ascii="Times New Roman" w:hAnsi="Times New Roman"/>
          <w:i/>
          <w:color w:val="000000"/>
          <w:sz w:val="24"/>
        </w:rPr>
        <w:t xml:space="preserve">IEEE Conference on Evolutionary Computation, </w:t>
      </w:r>
      <w:r>
        <w:rPr>
          <w:rFonts w:ascii="Times New Roman" w:hAnsi="Times New Roman"/>
          <w:color w:val="000000"/>
          <w:sz w:val="24"/>
        </w:rPr>
        <w:t>1221–1226. https://doi.org/10.1109/iceca63461.2024.10800860</w:t>
      </w:r>
    </w:p>
    <w:p>
      <w:pPr>
        <w:spacing w:before="0" w:after="120" w:line="276" w:lineRule="auto"/>
        <w:ind w:left="720" w:hanging="720"/>
        <w:jc w:val="left"/>
      </w:pPr>
      <w:r>
        <w:rPr>
          <w:rFonts w:ascii="Times New Roman" w:hAnsi="Times New Roman"/>
          <w:color w:val="000000"/>
          <w:sz w:val="24"/>
        </w:rPr>
        <w:t xml:space="preserve">Sutedjo, I. (2022). </w:t>
      </w:r>
      <w:r>
        <w:rPr>
          <w:rFonts w:ascii="Times New Roman" w:hAnsi="Times New Roman"/>
          <w:i/>
          <w:color w:val="000000"/>
          <w:sz w:val="24"/>
        </w:rPr>
        <w:t xml:space="preserve">Etika kecerdasan buatan dalam tata kelola administrasi publik di Indonesia. </w:t>
      </w:r>
      <w:r>
        <w:rPr>
          <w:rFonts w:ascii="Times New Roman" w:hAnsi="Times New Roman"/>
          <w:color w:val="000000"/>
          <w:sz w:val="24"/>
        </w:rPr>
        <w:t>Penerbit Universitas Indonesia.</w:t>
      </w:r>
    </w:p>
    <w:p>
      <w:pPr>
        <w:spacing w:before="0" w:after="120" w:line="276" w:lineRule="auto"/>
        <w:ind w:left="720" w:hanging="720"/>
        <w:jc w:val="left"/>
      </w:pPr>
      <w:r>
        <w:rPr>
          <w:rFonts w:ascii="Times New Roman" w:hAnsi="Times New Roman"/>
          <w:color w:val="000000"/>
          <w:sz w:val="24"/>
        </w:rPr>
        <w:t xml:space="preserve">Wibowo, A., &amp; Saputra, H. (2023). Implementasi teknologi informasi geografis (GIS) untuk mitigasi bencana banjir perkotaan berbasis partisipasi masyarakat. </w:t>
      </w:r>
      <w:r>
        <w:rPr>
          <w:rFonts w:ascii="Times New Roman" w:hAnsi="Times New Roman"/>
          <w:i/>
          <w:color w:val="000000"/>
          <w:sz w:val="24"/>
        </w:rPr>
        <w:t xml:space="preserve">Jurnal Geografi Indonesia, </w:t>
      </w:r>
      <w:r>
        <w:rPr>
          <w:rFonts w:ascii="Times New Roman" w:hAnsi="Times New Roman"/>
          <w:color w:val="000000"/>
          <w:sz w:val="24"/>
        </w:rPr>
        <w:t>12(2), 89–104. https://doi.org/10.22146/jgi.72910</w:t>
      </w:r>
    </w:p>
    <w:p>
      <w:pPr>
        <w:spacing w:before="0" w:after="120" w:line="276" w:lineRule="auto"/>
        <w:ind w:left="720" w:hanging="720"/>
        <w:jc w:val="left"/>
      </w:pPr>
      <w:r>
        <w:rPr>
          <w:rFonts w:ascii="Times New Roman" w:hAnsi="Times New Roman"/>
          <w:color w:val="000000"/>
          <w:sz w:val="24"/>
        </w:rPr>
        <w:t xml:space="preserve">Zhao, L., &amp; Wang, Y. (2025). High-accuracy environmental hazard detection using multimodal large language models and edge vision systems. </w:t>
      </w:r>
      <w:r>
        <w:rPr>
          <w:rFonts w:ascii="Times New Roman" w:hAnsi="Times New Roman"/>
          <w:i/>
          <w:color w:val="000000"/>
          <w:sz w:val="24"/>
        </w:rPr>
        <w:t xml:space="preserve">IEEE Transactions on Environmental Intelligence, </w:t>
      </w:r>
      <w:r>
        <w:rPr>
          <w:rFonts w:ascii="Times New Roman" w:hAnsi="Times New Roman"/>
          <w:color w:val="000000"/>
          <w:sz w:val="24"/>
        </w:rPr>
        <w:t>18(1), 112–126. https://doi.org/10.1109/tei.2025.10903827</w:t>
      </w:r>
    </w:p>
    <w:sectPr w:rsidR="00FC693F" w:rsidRPr="0006063C"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