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28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lst-leser-in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Leser inn heights datasettet fra pakken modelr og gir datasettet navnet hoyde.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modelr::heights</w:t>
            </w:r>
          </w:p>
          <w:bookmarkEnd w:id="22"/>
        </w:tc>
      </w:tr>
    </w:tbl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lst-sjekker-data-vha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Sjekker innleste data vha. st().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|&gt;  st()</w:t>
            </w:r>
          </w:p>
          <w:bookmarkEnd w:id="23"/>
        </w:tc>
      </w:tr>
    </w:tbl>
    <w:p>
      <w:pPr>
        <w:pStyle w:val="FirstParagraph"/>
      </w:pPr>
      <w:r>
        <w:t xml:space="preserve"> 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732"/>
        <w:gridCol w:w="618"/>
        <w:gridCol w:w="742"/>
        <w:gridCol w:w="1237"/>
        <w:gridCol w:w="495"/>
        <w:gridCol w:w="1113"/>
        <w:gridCol w:w="1113"/>
        <w:gridCol w:w="8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hoyde %&gt;% </w:t>
            </w:r>
            <w:r>
              <w:br/>
            </w:r>
            <w:r>
              <w:rPr>
                <w:rStyle w:val="VerbatimChar"/>
              </w:rPr>
              <w:t xml:space="preserve">  mutate(</w:t>
            </w:r>
            <w:r>
              <w:br/>
            </w:r>
            <w:r>
              <w:rPr>
                <w:rStyle w:val="VerbatimChar"/>
              </w:rPr>
              <w:t xml:space="preserve">    bmi = weight * 0.4536/(height * 2.54/100)^2,</w:t>
            </w:r>
            <w:r>
              <w:br/>
            </w:r>
            <w:r>
              <w:rPr>
                <w:rStyle w:val="VerbatimChar"/>
              </w:rPr>
              <w:t xml:space="preserve">    married = fct_collapse(</w:t>
            </w:r>
            <w:r>
              <w:br/>
            </w:r>
            <w:r>
              <w:rPr>
                <w:rStyle w:val="VerbatimChar"/>
              </w:rPr>
              <w:t xml:space="preserve">      .f = marital,</w:t>
            </w:r>
            <w:r>
              <w:br/>
            </w:r>
            <w:r>
              <w:rPr>
                <w:rStyle w:val="VerbatimChar"/>
              </w:rPr>
              <w:t xml:space="preserve">      married = "married",</w:t>
            </w:r>
            <w:r>
              <w:br/>
            </w:r>
            <w:r>
              <w:rPr>
                <w:rStyle w:val="VerbatimChar"/>
              </w:rPr>
              <w:t xml:space="preserve">      other_level = "not married"</w:t>
            </w:r>
            <w:r>
              <w:br/>
            </w:r>
            <w:r>
              <w:rPr>
                <w:rStyle w:val="VerbatimChar"/>
              </w:rPr>
              <w:t xml:space="preserve">    ),</w:t>
            </w:r>
          </w:p>
          <w:bookmarkEnd w:id="24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25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select(income:age, education:bmi, everything())</w:t>
            </w:r>
          </w:p>
          <w:bookmarkEnd w:id="26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select(-education, -marital)</w:t>
            </w:r>
          </w:p>
          <w:bookmarkEnd w:id="27"/>
        </w:tc>
      </w:tr>
    </w:tbl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8"/>
    <w:bookmarkStart w:id="30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hoydeZeroInc &lt;- hoyde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hoydeNormInc &lt;- hoyde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hoydeHighInc &lt;- hoyde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29"/>
        </w:tc>
      </w:tr>
    </w:tbl>
    <w:bookmarkEnd w:id="30"/>
    <w:bookmarkStart w:id="34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1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1"/>
    <w:bookmarkStart w:id="32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920"/>
        <w:gridCol w:w="600"/>
        <w:gridCol w:w="720"/>
        <w:gridCol w:w="1200"/>
        <w:gridCol w:w="480"/>
        <w:gridCol w:w="1080"/>
        <w:gridCol w:w="1080"/>
        <w:gridCol w:w="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2"/>
    <w:bookmarkStart w:id="33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836"/>
        <w:gridCol w:w="459"/>
        <w:gridCol w:w="803"/>
        <w:gridCol w:w="1147"/>
        <w:gridCol w:w="803"/>
        <w:gridCol w:w="1033"/>
        <w:gridCol w:w="1033"/>
        <w:gridCol w:w="8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3"/>
    <w:bookmarkEnd w:id="34"/>
    <w:bookmarkStart w:id="41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Vi ser ut til å få høyere inntekt dess høyere vi er." title="" id="36" name="Picture"/>
            <a:graphic>
              <a:graphicData uri="http://schemas.openxmlformats.org/drawingml/2006/picture">
                <pic:pic>
                  <pic:nvPicPr>
                    <pic:cNvPr descr="ass2-h23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ser ut til å få høyere inntekt dess høyere vi er.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ammenhengen synes å være den samme når vi studerer normale inntekter." title="" id="39" name="Picture"/>
            <a:graphic>
              <a:graphicData uri="http://schemas.openxmlformats.org/drawingml/2006/picture">
                <pic:pic>
                  <pic:nvPicPr>
                    <pic:cNvPr descr="ass2-h23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Sammenhengen synes å være den samme når vi studerer normale inntekter.</w:t>
      </w:r>
    </w:p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1"/>
    <w:bookmarkStart w:id="48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hoyde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hoyde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42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hi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      </w:r>
            <w:r>
              <w:t xml:space="preserve"> </w:t>
            </w:r>
            <w:r>
              <w:rPr>
                <w:rStyle w:val="VerbatimChar"/>
              </w:rPr>
              <w:t xml:space="preserve">heights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%&gt;%</w:t>
            </w:r>
            <w:r>
              <w:br/>
            </w:r>
            <w:r>
              <w:rPr>
                <w:rStyle w:val="VerbatimChar"/>
              </w:rPr>
              <w:t xml:space="preserve">  ggplot() +</w:t>
            </w:r>
            <w:r>
              <w:br/>
            </w:r>
            <w:r>
              <w:rPr>
                <w:rStyle w:val="VerbatimChar"/>
              </w:rPr>
              <w:t xml:space="preserve">  ### male ###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0.3, colour = 'grey40', fill = 'grey40'</w:t>
            </w:r>
            <w:r>
              <w:br/>
            </w:r>
            <w:r>
              <w:rPr>
                <w:rStyle w:val="VerbatimChar"/>
              </w:rPr>
              <w:t xml:space="preserve">    ) + 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meanHeightMale,</w:t>
            </w:r>
            <w:r>
              <w:br/>
            </w:r>
            <w:r>
              <w:rPr>
                <w:rStyle w:val="VerbatimChar"/>
              </w:rPr>
              <w:t xml:space="preserve">   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</w:t>
            </w:r>
            <w:r>
              <w:br/>
            </w:r>
            <w:r>
              <w:rPr>
                <w:rStyle w:val="VerbatimChar"/>
              </w:rPr>
              <w:t xml:space="preserve">    args = list(mean = meanHeightMale, sd = sdHeightMale),</w:t>
            </w:r>
            <w:r>
              <w:br/>
            </w:r>
            <w:r>
              <w:rPr>
                <w:rStyle w:val="VerbatimChar"/>
              </w:rPr>
              <w:t xml:space="preserve">    colour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# female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"female"),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0.7, colour = 'black', fill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 args = list(mean = meanHeightFemale, sd = sdHeightFemale),</w:t>
            </w:r>
            <w:r>
              <w:br/>
            </w:r>
            <w:r>
              <w:rPr>
                <w:rStyle w:val="VerbatimChar"/>
              </w:rPr>
              <w:t xml:space="preserve">    colour = 'black'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meanHeightFemale,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</w:t>
            </w:r>
          </w:p>
          <w:bookmarkEnd w:id="4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47"/>
        </w:tc>
      </w:tr>
    </w:tbl>
    <w:bookmarkEnd w:id="48"/>
    <w:bookmarkStart w:id="52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49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49"/>
    <w:bookmarkStart w:id="50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0"/>
    <w:bookmarkStart w:id="51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1"/>
    <w:bookmarkEnd w:id="52"/>
    <w:bookmarkStart w:id="58" w:name="problemstilling-for-hver-gruppe"/>
    <w:p>
      <w:pPr>
        <w:pStyle w:val="Heading2"/>
      </w:pPr>
      <w:r>
        <w:t xml:space="preserve">9 Problemstilling for hver gruppe</w:t>
      </w:r>
    </w:p>
    <w:bookmarkStart w:id="53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53"/>
    <w:bookmarkStart w:id="54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4"/>
    <w:bookmarkStart w:id="55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5"/>
    <w:bookmarkStart w:id="56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56"/>
    <w:bookmarkStart w:id="57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57"/>
    <w:bookmarkEnd w:id="58"/>
    <w:bookmarkStart w:id="104" w:name="referanser"/>
    <w:p>
      <w:pPr>
        <w:pStyle w:val="Heading2"/>
      </w:pPr>
      <w:r>
        <w:t xml:space="preserve">10 Referanser</w:t>
      </w:r>
    </w:p>
    <w:bookmarkStart w:id="103" w:name="refs"/>
    <w:bookmarkStart w:id="59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59"/>
    <w:bookmarkStart w:id="60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0"/>
    <w:bookmarkStart w:id="62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61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62"/>
    <w:bookmarkStart w:id="63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3"/>
    <w:bookmarkStart w:id="64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64"/>
    <w:bookmarkStart w:id="65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65"/>
    <w:bookmarkStart w:id="66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66"/>
    <w:bookmarkStart w:id="67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67"/>
    <w:bookmarkStart w:id="68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68"/>
    <w:bookmarkStart w:id="69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69"/>
    <w:bookmarkStart w:id="70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0"/>
    <w:bookmarkStart w:id="71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1"/>
    <w:bookmarkStart w:id="73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3"/>
    <w:bookmarkStart w:id="74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74"/>
    <w:bookmarkStart w:id="75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75"/>
    <w:bookmarkStart w:id="76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76"/>
    <w:bookmarkStart w:id="77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77"/>
    <w:bookmarkStart w:id="78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78"/>
    <w:bookmarkStart w:id="79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79"/>
    <w:bookmarkStart w:id="80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0"/>
    <w:bookmarkStart w:id="81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81"/>
    <w:bookmarkStart w:id="82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2"/>
    <w:bookmarkStart w:id="83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83"/>
    <w:bookmarkStart w:id="84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84"/>
    <w:bookmarkStart w:id="85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85"/>
    <w:bookmarkStart w:id="86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86"/>
    <w:bookmarkStart w:id="87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87"/>
    <w:bookmarkStart w:id="88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88"/>
    <w:bookmarkStart w:id="89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89"/>
    <w:bookmarkStart w:id="90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0"/>
    <w:bookmarkStart w:id="9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1"/>
    <w:bookmarkStart w:id="9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3"/>
    <w:bookmarkStart w:id="94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94"/>
    <w:bookmarkStart w:id="95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95"/>
    <w:bookmarkStart w:id="96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96"/>
    <w:bookmarkStart w:id="97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97"/>
    <w:bookmarkStart w:id="98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98"/>
    <w:bookmarkStart w:id="100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0"/>
    <w:bookmarkStart w:id="101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1"/>
    <w:bookmarkStart w:id="102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2024-12-03T14:22:20Z</dcterms:created>
  <dcterms:modified xsi:type="dcterms:W3CDTF">2024-12-03T14:22:20Z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