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Start w:id="67" w:name="beskrivelse-av-data"/>
    <w:p>
      <w:pPr>
        <w:pStyle w:val="Heading1"/>
      </w:pPr>
      <w:r>
        <w:t xml:space="preserve">1. Beskrivelse av data</w:t>
      </w:r>
    </w:p>
    <w:p>
      <w:pPr>
        <w:pStyle w:val="FirstParagraph"/>
      </w:pPr>
      <w:r>
        <w:t xml:space="preserve">Datasettet er kalt</w:t>
      </w:r>
      <w:r>
        <w:t xml:space="preserve"> </w:t>
      </w:r>
      <w:r>
        <w:rPr>
          <w:iCs/>
          <w:i/>
        </w:rPr>
        <w:t xml:space="preserve">heights</w:t>
      </w:r>
      <w:r>
        <w:t xml:space="preserve"> </w:t>
      </w:r>
      <w:r>
        <w:t xml:space="preserve">og er en del av pakken modelr,</w:t>
      </w:r>
      <w:r>
        <w:t xml:space="preserve"> </w:t>
      </w:r>
      <w:r>
        <w:t xml:space="preserve">Wickham (2020)</w:t>
      </w:r>
      <w:r>
        <w:t xml:space="preserve">, som er en utvidelspakke for statistikksystemet R,</w:t>
      </w:r>
      <w:r>
        <w:t xml:space="preserve"> </w:t>
      </w:r>
      <w:r>
        <w:t xml:space="preserve">R Core Team (2021)</w:t>
      </w:r>
      <w:r>
        <w:t xml:space="preserve">.</w:t>
      </w:r>
    </w:p>
    <w:bookmarkStart w:id="20" w:name="kode"/>
    <w:p>
      <w:pPr>
        <w:pStyle w:val="Heading2"/>
      </w:pPr>
      <w:r>
        <w:t xml:space="preserve">1.1 Kode</w:t>
      </w:r>
    </w:p>
    <w:p>
      <w:pPr>
        <w:pStyle w:val="FirstParagraph"/>
      </w:pPr>
      <w:r>
        <w:t xml:space="preserve">Følgende «chunk» er kode som samtlige grupper bør kjøre rett etter setup chunk-en slik at vi jobber med samme data og har samme variabelnavn.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  <w:r>
        <w:br/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edu_fac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reorganiserer data s.a. de fire faktor-variablerne kommer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lengst til høyre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Dropper marital og education siden disse ikke skal brukes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  <w:r>
        <w:br/>
      </w:r>
      <w:r>
        <w:br/>
      </w: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20"/>
    <w:bookmarkStart w:id="33" w:name="gjennomgang-av-koden"/>
    <w:p>
      <w:pPr>
        <w:pStyle w:val="Heading2"/>
      </w:pPr>
      <w:r>
        <w:t xml:space="preserve">1.2 Gjennomgang av koden</w:t>
      </w:r>
    </w:p>
    <w:p>
      <w:pPr>
        <w:pStyle w:val="FirstParagraph"/>
      </w:pPr>
      <w:r>
        <w:t xml:space="preserve">Her følger en gjennomgang av koden ovenfor steg for steg.</w:t>
      </w:r>
      <w:r>
        <w:t xml:space="preserve"> </w:t>
      </w:r>
      <w:r>
        <w:t xml:space="preserve">I tillegg gis noen eksempler på bruk av</w:t>
      </w:r>
      <w:r>
        <w:t xml:space="preserve"> </w:t>
      </w:r>
      <w:r>
        <w:rPr>
          <w:rStyle w:val="VerbatimChar"/>
        </w:rPr>
        <w:t xml:space="preserve">vt()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 pakken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.</w:t>
      </w:r>
    </w:p>
    <w:p>
      <w:pPr>
        <w:pStyle w:val="BodyText"/>
      </w:pPr>
      <w:r>
        <w:t xml:space="preserve">Vi starter med å lese inn datasettet.</w:t>
      </w:r>
    </w:p>
    <w:bookmarkStart w:id="22" w:name="lst-leser-inn-data"/>
    <w:p>
      <w:pPr>
        <w:pStyle w:val="BodyText"/>
      </w:pPr>
      <w:r>
        <w:t xml:space="preserve">Liste 1: Leser inn heights datasettet fra pakken modelr og gir datasettet navnet hoyde.</w:t>
      </w:r>
    </w:p>
    <w:bookmarkStart w:id="21" w:name="lst-leser-inn-data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heights</w:t>
      </w:r>
    </w:p>
    <w:bookmarkEnd w:id="21"/>
    <w:bookmarkEnd w:id="22"/>
    <w:p>
      <w:pPr>
        <w:pStyle w:val="FirstParagraph"/>
      </w:pPr>
      <w:r>
        <w:t xml:space="preserve">Vi kan så bruke</w:t>
      </w:r>
      <w:r>
        <w:t xml:space="preserve"> </w:t>
      </w:r>
      <w:r>
        <w:rPr>
          <w:rStyle w:val="VerbatimChar"/>
        </w:rPr>
        <w:t xml:space="preserve">st()</w:t>
      </w:r>
      <w:r>
        <w:t xml:space="preserve"> </w:t>
      </w:r>
      <w:r>
        <w:t xml:space="preserve">fra</w:t>
      </w:r>
      <w:r>
        <w:t xml:space="preserve"> </w:t>
      </w:r>
      <w:r>
        <w:rPr>
          <w:rStyle w:val="VerbatimChar"/>
        </w:rPr>
        <w:t xml:space="preserve">vtable</w:t>
      </w:r>
      <w:r>
        <w:t xml:space="preserve"> </w:t>
      </w:r>
      <w:r>
        <w:t xml:space="preserve">for å sjekke datasettet (merk at dere vil se en annen tabell hvis dere har kjørt hele kode-blokken ovenfor).</w:t>
      </w:r>
    </w:p>
    <w:bookmarkStart w:id="24" w:name="lst-sjekker-data-vha-vt"/>
    <w:p>
      <w:pPr>
        <w:pStyle w:val="BodyText"/>
      </w:pPr>
      <w:r>
        <w:t xml:space="preserve">Liste 2: Sjekker innleste data vha. st().</w:t>
      </w:r>
    </w:p>
    <w:bookmarkStart w:id="23" w:name="lst-sjekker-data-vha-v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bookmarkEnd w:id="23"/>
    <w:bookmarkEnd w:id="24"/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separated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divorced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widowed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</w:tbl>
    <w:p>
      <w:pPr>
        <w:pStyle w:val="BodyText"/>
      </w:pPr>
      <w:r>
        <w:t xml:space="preserve">Vi har altså 7006 observasjoner og 8 variabler.</w:t>
      </w:r>
      <w:r>
        <w:t xml:space="preserve"> </w:t>
      </w:r>
      <w:r>
        <w:t xml:space="preserve">For variablene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afqt</w:t>
      </w:r>
      <w:r>
        <w:t xml:space="preserve"> </w:t>
      </w:r>
      <w:r>
        <w:t xml:space="preserve">har vi NA-er.</w:t>
      </w:r>
    </w:p>
    <w:p>
      <w:pPr>
        <w:pStyle w:val="BodyText"/>
      </w:pPr>
      <w:r>
        <w:t xml:space="preserve">Det har vært spekulert om observert lønnsmessig «høyde premium» egentlig er en skjult «vekt straff».</w:t>
      </w:r>
      <w:r>
        <w:t xml:space="preserve"> </w:t>
      </w:r>
      <w:r>
        <w:t xml:space="preserve">Tanken er at det er en negativ sammenheng mellom høyde og overvekt og at arbeidsgivere er redd for at personer som strever med overvekt har større sjanse for å ha eller få alvorlig helseproblemer og at arbeidsgivere derfor anser disse arbeidstakerne som mindre produktive og derfor tilbyr lavere lønn.</w:t>
      </w:r>
      <w:r>
        <w:t xml:space="preserve"> </w:t>
      </w:r>
      <w:r>
        <w:t xml:space="preserve">For å se om dette er tilfelle lager vi en ny variabel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(«body mass index»).</w:t>
      </w:r>
      <w:r>
        <w:t xml:space="preserve"> </w:t>
      </w:r>
      <w:r>
        <w:t xml:space="preserve">I tillegg lager vi en forenklet versjon av variabelen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der vi bare skiller mellom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 </w:t>
      </w:r>
      <w:r>
        <w:t xml:space="preserve">(TRUE) og</w:t>
      </w:r>
      <w:r>
        <w:t xml:space="preserve"> </w:t>
      </w:r>
      <w:r>
        <w:rPr>
          <w:rStyle w:val="VerbatimChar"/>
        </w:rPr>
        <w:t xml:space="preserve">not_married</w:t>
      </w:r>
      <w:r>
        <w:t xml:space="preserve"> </w:t>
      </w:r>
      <w:r>
        <w:t xml:space="preserve">(FALSE).</w:t>
      </w:r>
    </w:p>
    <w:bookmarkStart w:id="26" w:name="lst-bmi-married"/>
    <w:p>
      <w:pPr>
        <w:pStyle w:val="BodyText"/>
      </w:pPr>
      <w:r>
        <w:t xml:space="preserve">Liste 3: Bruker mutate til å lage variabelen</w:t>
      </w:r>
      <w:r>
        <w:t xml:space="preserve"> </w:t>
      </w:r>
      <w:r>
        <w:rPr>
          <w:rStyle w:val="VerbatimChar"/>
        </w:rPr>
        <w:t xml:space="preserve">bmi</w:t>
      </w:r>
      <w:r>
        <w:t xml:space="preserve">. I tillegg bruker vi funksjonen</w:t>
      </w:r>
      <w:r>
        <w:t xml:space="preserve"> </w:t>
      </w:r>
      <w:r>
        <w:rPr>
          <w:rStyle w:val="VerbatimChar"/>
        </w:rPr>
        <w:t xml:space="preserve">fct_collapse</w:t>
      </w:r>
      <w:r>
        <w:t xml:space="preserve"> </w:t>
      </w:r>
      <w:r>
        <w:t xml:space="preserve">til å «klappe sammen» de fem kategorien i marital til bare to kategorier i variabelen</w:t>
      </w:r>
      <w:r>
        <w:t xml:space="preserve"> </w:t>
      </w:r>
      <w:r>
        <w:rPr>
          <w:rStyle w:val="VerbatimChar"/>
        </w:rPr>
        <w:t xml:space="preserve">married</w:t>
      </w:r>
      <w:r>
        <w:t xml:space="preserve">.</w:t>
      </w:r>
    </w:p>
    <w:bookmarkStart w:id="25" w:name="lst-bmi-married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marital,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married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other_level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married"</w:t>
      </w:r>
      <w:r>
        <w:br/>
      </w:r>
      <w:r>
        <w:rPr>
          <w:rStyle w:val="NormalTok"/>
        </w:rPr>
        <w:t xml:space="preserve">    ),</w:t>
      </w:r>
    </w:p>
    <w:bookmarkEnd w:id="25"/>
    <w:bookmarkEnd w:id="26"/>
    <w:p>
      <w:pPr>
        <w:pStyle w:val="FirstParagraph"/>
      </w:pPr>
      <w:r>
        <w:t xml:space="preserve">Vi forenkler også variabelen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s.a.</w:t>
      </w:r>
      <w:r>
        <w:t xml:space="preserve"> </w:t>
      </w:r>
      <w:r>
        <w:t xml:space="preserve">vi bare skiller mellom kategorien</w:t>
      </w:r>
      <w:r>
        <w:t xml:space="preserve"> </w:t>
      </w:r>
      <w:r>
        <w:rPr>
          <w:rStyle w:val="VerbatimChar"/>
        </w:rPr>
        <w:t xml:space="preserve">not_hs</w:t>
      </w:r>
      <w:r>
        <w:t xml:space="preserve"> </w:t>
      </w:r>
      <w:r>
        <w:t xml:space="preserve">(«Not High School Exam»; 0 ≤ education &lt;12),</w:t>
      </w:r>
      <w:r>
        <w:t xml:space="preserve"> </w:t>
      </w:r>
      <w:r>
        <w:rPr>
          <w:rStyle w:val="VerbatimChar"/>
        </w:rPr>
        <w:t xml:space="preserve">not_cc</w:t>
      </w:r>
      <w:r>
        <w:t xml:space="preserve"> </w:t>
      </w:r>
      <w:r>
        <w:t xml:space="preserve">(«Not Community College»; 12 ≤ education &lt;14)</w:t>
      </w:r>
      <w:r>
        <w:t xml:space="preserve"> </w:t>
      </w:r>
      <w:r>
        <w:rPr>
          <w:rStyle w:val="VerbatimChar"/>
        </w:rPr>
        <w:t xml:space="preserve">not_col</w:t>
      </w:r>
      <w:r>
        <w:t xml:space="preserve"> </w:t>
      </w:r>
      <w:r>
        <w:t xml:space="preserve">(«Not College»; 14 ≤ education &lt; 16) og</w:t>
      </w:r>
      <w:r>
        <w:t xml:space="preserve"> </w:t>
      </w:r>
      <w:r>
        <w:rPr>
          <w:rStyle w:val="VerbatimChar"/>
        </w:rPr>
        <w:t xml:space="preserve">col_plus</w:t>
      </w:r>
      <w:r>
        <w:t xml:space="preserve"> </w:t>
      </w:r>
      <w:r>
        <w:t xml:space="preserve">(«4 years College or more»; education ≥ 16)</w:t>
      </w:r>
    </w:p>
    <w:bookmarkStart w:id="28" w:name="lst-edu_fac"/>
    <w:p>
      <w:pPr>
        <w:pStyle w:val="BodyText"/>
      </w:pPr>
      <w:r>
        <w:t xml:space="preserve">Liste 4: I samme mutate lager vi også variablen</w:t>
      </w:r>
      <w:r>
        <w:t xml:space="preserve"> </w:t>
      </w:r>
      <w:r>
        <w:rPr>
          <w:rStyle w:val="VerbatimChar"/>
        </w:rPr>
        <w:t xml:space="preserve">edu_fac</w:t>
      </w:r>
      <w:r>
        <w:t xml:space="preserve"> </w:t>
      </w:r>
      <w:r>
        <w:t xml:space="preserve">ved å kutte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opp i fire intervaller</w:t>
      </w:r>
    </w:p>
    <w:bookmarkStart w:id="27" w:name="lst-edu_fac"/>
    <w:p>
      <w:pPr>
        <w:pStyle w:val="SourceCode"/>
      </w:pPr>
      <w:r>
        <w:rPr>
          <w:rStyle w:val="NormalTok"/>
        </w:rPr>
        <w:t xml:space="preserve">edu_fac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"not_hs"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"not_cc"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"not_col"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"col_plus"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)</w:t>
      </w:r>
    </w:p>
    <w:bookmarkEnd w:id="27"/>
    <w:bookmarkEnd w:id="28"/>
    <w:p>
      <w:pPr>
        <w:pStyle w:val="FirstParagraph"/>
      </w:pPr>
      <w:r>
        <w:t xml:space="preserve">Det kan være hensiktmessig å samle kategorivariablene lengst til høyre i datasettet (f.eks blir resultatet av</w:t>
      </w:r>
      <w:r>
        <w:t xml:space="preserve"> </w:t>
      </w:r>
      <w:r>
        <w:rPr>
          <w:rStyle w:val="VerbatimChar"/>
        </w:rPr>
        <w:t xml:space="preserve">st()</w:t>
      </w:r>
      <w:r>
        <w:t xml:space="preserve">en noe ryddigere tabell).</w:t>
      </w:r>
    </w:p>
    <w:bookmarkStart w:id="30" w:name="lst-move-vars"/>
    <w:p>
      <w:pPr>
        <w:pStyle w:val="BodyText"/>
      </w:pPr>
      <w:r>
        <w:t xml:space="preserve">Liste 5: Endrer rekkefølgen på variablene s.a. kategorivariablene samles lengst til høyre i datasettet.</w:t>
      </w:r>
    </w:p>
    <w:bookmarkStart w:id="29" w:name="lst-move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education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bmi,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9"/>
    <w:bookmarkEnd w:id="30"/>
    <w:p>
      <w:pPr>
        <w:pStyle w:val="FirstParagraph"/>
      </w:pPr>
      <w:r>
        <w:t xml:space="preserve">Vi kommer ikke til å bruke variablene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så disse dropper vi.</w:t>
      </w:r>
    </w:p>
    <w:bookmarkStart w:id="32" w:name="lst-drop-vars"/>
    <w:p>
      <w:pPr>
        <w:pStyle w:val="BodyText"/>
      </w:pPr>
      <w:r>
        <w:t xml:space="preserve">Liste 6: Vi skal ikke benytte variablene</w:t>
      </w:r>
      <w:r>
        <w:t xml:space="preserve"> </w:t>
      </w:r>
      <w:r>
        <w:rPr>
          <w:rStyle w:val="VerbatimChar"/>
        </w:rPr>
        <w:t xml:space="preserve">marital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så disse droppes fra datasettet.</w:t>
      </w:r>
    </w:p>
    <w:bookmarkStart w:id="31" w:name="lst-drop-vars"/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education,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marital)</w:t>
      </w:r>
    </w:p>
    <w:bookmarkEnd w:id="31"/>
    <w:bookmarkEnd w:id="32"/>
    <w:p>
      <w:pPr>
        <w:pStyle w:val="FirstParagraph"/>
      </w:pPr>
      <w:r>
        <w:t xml:space="preserve">Hoyde med nye variabler:</w:t>
      </w:r>
    </w:p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hoyde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33"/>
    <w:bookmarkStart w:id="36" w:name="splitter-i-tre-datasett"/>
    <w:p>
      <w:pPr>
        <w:pStyle w:val="Heading2"/>
      </w:pPr>
      <w:r>
        <w:t xml:space="preserve">1.3 Splitter i tre datasett</w:t>
      </w:r>
    </w:p>
    <w:p>
      <w:pPr>
        <w:pStyle w:val="FirstParagraph"/>
      </w:pPr>
      <w:r>
        <w:t xml:space="preserve">Til slutt deler vi hoyde inn i tre datasett, hhv.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,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  <w:r>
        <w:t xml:space="preserve"> </w:t>
      </w:r>
      <w:r>
        <w:t xml:space="preserve">Vi vil analysere</w:t>
      </w:r>
      <w:r>
        <w:t xml:space="preserve"> </w:t>
      </w:r>
      <w:r>
        <w:rPr>
          <w:rStyle w:val="VerbatimChar"/>
        </w:rPr>
        <w:t xml:space="preserve">hoyde_inc_norm</w:t>
      </w:r>
      <w:r>
        <w:t xml:space="preserve"> </w:t>
      </w:r>
      <w:r>
        <w:t xml:space="preserve">grundigst og så sjekke eventuelle funn opp mot</w:t>
      </w:r>
      <w:r>
        <w:t xml:space="preserve"> </w:t>
      </w:r>
      <w:r>
        <w:rPr>
          <w:rStyle w:val="VerbatimChar"/>
        </w:rPr>
        <w:t xml:space="preserve">hoyde_inc_zero</w:t>
      </w:r>
      <w:r>
        <w:t xml:space="preserve"> </w:t>
      </w:r>
      <w:r>
        <w:t xml:space="preserve">og</w:t>
      </w:r>
      <w:r>
        <w:t xml:space="preserve"> </w:t>
      </w:r>
      <w:r>
        <w:rPr>
          <w:rStyle w:val="VerbatimChar"/>
        </w:rPr>
        <w:t xml:space="preserve">hoyde_inc_high</w:t>
      </w:r>
      <w:r>
        <w:t xml:space="preserve">.</w:t>
      </w:r>
    </w:p>
    <w:bookmarkStart w:id="35" w:name="lst-3-subsets"/>
    <w:p>
      <w:pPr>
        <w:pStyle w:val="BodyText"/>
      </w:pPr>
      <w:r>
        <w:t xml:space="preserve">Liste 7: Vi deler</w:t>
      </w:r>
      <w:r>
        <w:t xml:space="preserve"> </w:t>
      </w:r>
      <w:r>
        <w:rPr>
          <w:rStyle w:val="VerbatimChar"/>
        </w:rPr>
        <w:t xml:space="preserve">hoyde</w:t>
      </w:r>
      <w:r>
        <w:t xml:space="preserve"> </w:t>
      </w:r>
      <w:r>
        <w:t xml:space="preserve">inn i tre «subsets». 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er det vi vil konsentrere oss om.</w:t>
      </w:r>
    </w:p>
    <w:bookmarkStart w:id="34" w:name="lst-3-subsets"/>
    <w:p>
      <w:pPr>
        <w:pStyle w:val="SourceCode"/>
      </w:pPr>
      <w:r>
        <w:rPr>
          <w:rStyle w:val="CommentTok"/>
        </w:rPr>
        <w:t xml:space="preserve"># Inntekt lik 0</w:t>
      </w:r>
      <w:r>
        <w:br/>
      </w:r>
      <w:r>
        <w:rPr>
          <w:rStyle w:val="NormalTok"/>
        </w:rPr>
        <w:t xml:space="preserve">hoydeZeroInc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«Normal» inntekt</w:t>
      </w:r>
      <w:r>
        <w:br/>
      </w:r>
      <w:r>
        <w:rPr>
          <w:rStyle w:val="NormalTok"/>
        </w:rPr>
        <w:t xml:space="preserve">hoydeNormInc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Høy inntekt</w:t>
      </w:r>
      <w:r>
        <w:br/>
      </w:r>
      <w:r>
        <w:rPr>
          <w:rStyle w:val="NormalTok"/>
        </w:rPr>
        <w:t xml:space="preserve">hoydeHighInc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343830</w:t>
      </w:r>
      <w:r>
        <w:rPr>
          <w:rStyle w:val="NormalTok"/>
        </w:rPr>
        <w:t xml:space="preserve">)</w:t>
      </w:r>
    </w:p>
    <w:bookmarkEnd w:id="34"/>
    <w:bookmarkEnd w:id="35"/>
    <w:bookmarkEnd w:id="36"/>
    <w:bookmarkStart w:id="40" w:name="Xcfa156673c88dbdce92a533f812d1533fd3cbcc"/>
    <w:p>
      <w:pPr>
        <w:pStyle w:val="Heading2"/>
      </w:pPr>
      <w:r>
        <w:t xml:space="preserve">1.4 Beskrivende statistikk for de tre datasettene</w:t>
      </w:r>
    </w:p>
    <w:bookmarkStart w:id="37" w:name="hoydezeroinc"/>
    <w:p>
      <w:pPr>
        <w:pStyle w:val="Heading3"/>
      </w:pPr>
      <w:r>
        <w:t xml:space="preserve">1.4.1 hoydeZeroInc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hoydeZeroInc</w:t>
      </w:r>
      <w:r>
        <w:t xml:space="preserve"> </w:t>
      </w:r>
      <w:r>
        <w:t xml:space="preserve">inneholder 1740 observasjoner.</w:t>
      </w:r>
      <w:r>
        <w:t xml:space="preserve"> </w:t>
      </w:r>
      <w:r>
        <w:t xml:space="preserve">Vi har 0, 0, 26, 0, 78, 26, 0, 0, 8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hoydeZeroInc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hoydeZeroInc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Zero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55 to 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76 to 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14.293 to 74.99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7"/>
    <w:bookmarkStart w:id="38" w:name="hoydenorminc"/>
    <w:p>
      <w:pPr>
        <w:pStyle w:val="Heading3"/>
      </w:pPr>
      <w:r>
        <w:t xml:space="preserve">1.4.2 hoydeNormInc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hoydeNormInc</w:t>
      </w:r>
      <w:r>
        <w:t xml:space="preserve"> </w:t>
      </w:r>
      <w:r>
        <w:t xml:space="preserve">inneholder 5123 observasjoner.</w:t>
      </w:r>
      <w:r>
        <w:t xml:space="preserve"> </w:t>
      </w:r>
      <w:r>
        <w:t xml:space="preserve">Vi har 0, 0, 69, 0, 184, 69, 0, 0, 2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hoydeNormInc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Norm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45 to 178000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52 to 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78 to 480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47 to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0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12.874 to 66.947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8"/>
    <w:bookmarkStart w:id="39" w:name="hoydehighinc"/>
    <w:p>
      <w:pPr>
        <w:pStyle w:val="Heading3"/>
      </w:pPr>
      <w:r>
        <w:t xml:space="preserve">1.4.3 hoydeHighInc</w:t>
      </w:r>
    </w:p>
    <w:p>
      <w:pPr>
        <w:pStyle w:val="FirstParagraph"/>
      </w:pPr>
      <w:r>
        <w:t xml:space="preserve">Datasettet</w:t>
      </w:r>
      <w:r>
        <w:t xml:space="preserve"> </w:t>
      </w:r>
      <w:r>
        <w:rPr>
          <w:rStyle w:val="VerbatimChar"/>
        </w:rPr>
        <w:t xml:space="preserve">hoydeHighInc</w:t>
      </w:r>
      <w:r>
        <w:t xml:space="preserve"> </w:t>
      </w:r>
      <w:r>
        <w:t xml:space="preserve">inneholder 143 observasjoner.</w:t>
      </w:r>
      <w:r>
        <w:t xml:space="preserve"> </w:t>
      </w:r>
      <w:r>
        <w:t xml:space="preserve">Vi har 0, 0, 0, 0, 0, 0, 0, 0, 0 manglende verdier (NA) for variablene income, height, weight, age, afqt, bmi, sex, married, edu_fac.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Summary Statistics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Summary Statistics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Pctl. 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 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not_col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 col_plus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hoydeHighInc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vt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hoydeHighInc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hoydeHighInc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343830 to 343830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61 to 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123 to 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48 to 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afqt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3.283 to 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Num: 15.416 to 45.434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'male' 'female'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'married' 'not married'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edu_fac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'not_hs' 'not_cc' 'not_col' 'col_plus'</w:t>
            </w:r>
          </w:p>
        </w:tc>
      </w:tr>
    </w:tbl>
    <w:bookmarkEnd w:id="39"/>
    <w:bookmarkEnd w:id="40"/>
    <w:bookmarkStart w:id="47" w:name="scatterplot-for-høyde-og-inntekt"/>
    <w:p>
      <w:pPr>
        <w:pStyle w:val="Heading2"/>
      </w:pPr>
      <w:r>
        <w:t xml:space="preserve">1.5 Scatterplot for høyde og inntekt</w:t>
      </w:r>
    </w:p>
    <w:p>
      <w:pPr>
        <w:pStyle w:val="FirstParagraph"/>
      </w:pPr>
      <w:r>
        <w:t xml:space="preserve">Plot av høyde mot inntekt for normal-inntekter (større enn $0, mindre enn $343830).</w:t>
      </w:r>
      <w:r>
        <w:t xml:space="preserve"> </w:t>
      </w:r>
      <w:r>
        <w:t xml:space="preserve">Vi har benyttet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 </w:t>
      </w:r>
      <w:r>
        <w:t xml:space="preserve">som er en variant av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hoyde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4-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Vi ser ut til å få høyere inntekt dess høyere vi er.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hoydeNormInc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income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unnamed-chunk-15-1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Sammenhengen synes å være den samme når vi studerer normale inntekter.</w:t>
            </w:r>
          </w:p>
        </w:tc>
      </w:tr>
    </w:tbl>
    <w:p>
      <w:pPr>
        <w:pStyle w:val="BodyText"/>
      </w:pPr>
      <w:r>
        <w:t xml:space="preserve">Er dette hele historien eller kan det være andre bakenforliggende variabler som styrer dette.</w:t>
      </w:r>
      <w:r>
        <w:t xml:space="preserve"> </w:t>
      </w:r>
      <w:r>
        <w:t xml:space="preserve">Det skal vi forsøke å få et innblikk i vha.</w:t>
      </w:r>
      <w:r>
        <w:t xml:space="preserve"> </w:t>
      </w:r>
      <w:r>
        <w:t xml:space="preserve">EDA</w:t>
      </w:r>
    </w:p>
    <w:bookmarkEnd w:id="47"/>
    <w:bookmarkStart w:id="56" w:name="lage-histogram-for-to-subsets"/>
    <w:p>
      <w:pPr>
        <w:pStyle w:val="Heading2"/>
      </w:pPr>
      <w:r>
        <w:t xml:space="preserve">1.6 Lage histogram for to subsets</w:t>
      </w:r>
    </w:p>
    <w:p>
      <w:pPr>
        <w:pStyle w:val="FirstParagraph"/>
      </w:pPr>
      <w:r>
        <w:t xml:space="preserve">En teknikk som kan være aktuell i en EDA anlyse er å lage histogram av datene der dataene er delt opp i undrgrupper.</w:t>
      </w:r>
      <w:r>
        <w:t xml:space="preserve"> </w:t>
      </w:r>
      <w:r>
        <w:t xml:space="preserve">Plasserer vi histogrammene i samme figur er de lettere å sammenligne.</w:t>
      </w:r>
    </w:p>
    <w:p>
      <w:pPr>
        <w:pStyle w:val="BodyText"/>
      </w:pPr>
      <w:r>
        <w:t xml:space="preserve">Her illustreres denne teknikken ved å studere fordelingen av høyde for hhv.</w:t>
      </w:r>
      <w:r>
        <w:t xml:space="preserve"> </w:t>
      </w:r>
      <w:r>
        <w:t xml:space="preserve">kvinner og menn.</w:t>
      </w:r>
      <w:r>
        <w:t xml:space="preserve"> </w:t>
      </w:r>
      <w:r>
        <w:t xml:space="preserve">Vi starter med å regne ut gjennomsnittlig høyde og standardavvik for hhv.</w:t>
      </w:r>
      <w:r>
        <w:t xml:space="preserve"> </w:t>
      </w:r>
      <w:r>
        <w:t xml:space="preserve">menn og kvinner.</w:t>
      </w:r>
      <w:r>
        <w:t xml:space="preserve"> </w:t>
      </w:r>
      <w:r>
        <w:t xml:space="preserve">Disse parametrene vil vi bruke for å tegne inn normalfordelingskurver i samme plot.</w:t>
      </w:r>
    </w:p>
    <w:bookmarkStart w:id="49" w:name="lst-mean-sd"/>
    <w:p>
      <w:pPr>
        <w:pStyle w:val="BodyText"/>
      </w:pPr>
      <w:r>
        <w:t xml:space="preserve">Liste 8: Beregner gjennomsnittlig høyde og standardavvik for hhv. kvinner og menn. Merk at her har vi benyttet data fra hele datasettet, dvs. 7006 observasjoner.</w:t>
      </w:r>
    </w:p>
    <w:bookmarkStart w:id="48" w:name="lst-mean-sd"/>
    <w:p>
      <w:pPr>
        <w:pStyle w:val="SourceCode"/>
      </w:pPr>
      <w:r>
        <w:rPr>
          <w:rStyle w:val="NormalTok"/>
        </w:rPr>
        <w:t xml:space="preserve">meanHeightMale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konverterer en tibble med 3402 rekker og 1 kolonne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 en vektor med 3402 elementer siden mean() forlanger en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vektor som input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finner gjennomsnittet av verdiene i vektoren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sdHeightMale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sdHeightFemale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()</w:t>
      </w:r>
    </w:p>
    <w:bookmarkEnd w:id="48"/>
    <w:bookmarkEnd w:id="49"/>
    <w:p>
      <w:pPr>
        <w:pStyle w:val="FirstParagraph"/>
      </w:pPr>
      <w:r>
        <w:t xml:space="preserve">Så genererer vi histogram og overliggende empirisk fordeling tegnet utfra gjennomsnittlig høyde og tilhørende standardavvik som vi har regnet ut ovenfor.</w:t>
      </w:r>
    </w:p>
    <w:bookmarkStart w:id="51" w:name="lst-hist"/>
    <w:p>
      <w:pPr>
        <w:pStyle w:val="BodyText"/>
      </w:pPr>
      <w:r>
        <w:t xml:space="preserve">Liste 9: Histogrammer for høyde for hhv. menn og kvinner med inntegnet normalfordelingskurve (tetthetsfunksjon). Normalfordelingskurvene er tegnet ut fra gjennomsnitt og standardavvik beregnet ovenfor. Dataene er fra hele datasettet</w:t>
      </w:r>
      <w:r>
        <w:t xml:space="preserve"> </w:t>
      </w:r>
      <w:r>
        <w:rPr>
          <w:rStyle w:val="VerbatimChar"/>
        </w:rPr>
        <w:t xml:space="preserve">heights</w:t>
      </w:r>
      <w:r>
        <w:t xml:space="preserve">.</w:t>
      </w:r>
    </w:p>
    <w:bookmarkStart w:id="50" w:name="lst-hist"/>
    <w:p>
      <w:pPr>
        <w:pStyle w:val="SourceCode"/>
      </w:pPr>
      <w:r>
        <w:rPr>
          <w:rStyle w:val="NormalTok"/>
        </w:rPr>
        <w:t xml:space="preserve">hoyde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 male </w:t>
      </w:r>
      <w:r>
        <w:rPr>
          <w:rStyle w:val="AlertTok"/>
        </w:rPr>
        <w:t xml:space="preserve">###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meanHeightMale,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(hoyde,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sdHeightFemale),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meanHeightFemale,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 </w:t>
      </w:r>
    </w:p>
    <w:bookmarkEnd w:id="50"/>
    <w:bookmarkEnd w:id="51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55" w:name="fig-hist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ass2-h23_files/figure-docx/fig-hist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 1: Histogram av høyde fordelt på kjønn. I tillegg er normalfordeling for observert gjennomsnitt og standard-avvik, også fordelt på kjønn, tegnet inn.</w:t>
            </w:r>
          </w:p>
          <w:bookmarkEnd w:id="55"/>
        </w:tc>
      </w:tr>
    </w:tbl>
    <w:bookmarkEnd w:id="56"/>
    <w:bookmarkStart w:id="60" w:name="oppgaven"/>
    <w:p>
      <w:pPr>
        <w:pStyle w:val="Heading2"/>
      </w:pPr>
      <w:r>
        <w:t xml:space="preserve">1.7 Oppgaven</w:t>
      </w:r>
    </w:p>
    <w:p>
      <w:pPr>
        <w:pStyle w:val="FirstParagraph"/>
      </w:pPr>
      <w:r>
        <w:t xml:space="preserve">Hver gruppe skal skrive et «mini-paper» over lesten:</w:t>
      </w:r>
    </w:p>
    <w:p>
      <w:pPr>
        <w:numPr>
          <w:ilvl w:val="0"/>
          <w:numId w:val="1001"/>
        </w:numPr>
        <w:pStyle w:val="Compact"/>
      </w:pPr>
      <w:r>
        <w:t xml:space="preserve">Innledning</w:t>
      </w:r>
    </w:p>
    <w:p>
      <w:pPr>
        <w:numPr>
          <w:ilvl w:val="0"/>
          <w:numId w:val="1001"/>
        </w:numPr>
        <w:pStyle w:val="Compact"/>
      </w:pPr>
      <w:r>
        <w:t xml:space="preserve">Litteraturgjennomgang utfra gruppens problemstilling.</w:t>
      </w:r>
    </w:p>
    <w:p>
      <w:pPr>
        <w:numPr>
          <w:ilvl w:val="0"/>
          <w:numId w:val="1001"/>
        </w:numPr>
        <w:pStyle w:val="Compact"/>
      </w:pPr>
      <w:r>
        <w:t xml:space="preserve">EDA av datasettet heights med utgangspunkt i problemstillingen angitt for hver gruppe nedenfor.</w:t>
      </w:r>
    </w:p>
    <w:p>
      <w:pPr>
        <w:numPr>
          <w:ilvl w:val="0"/>
          <w:numId w:val="1001"/>
        </w:numPr>
        <w:pStyle w:val="Compact"/>
      </w:pPr>
      <w:r>
        <w:t xml:space="preserve">Konklusjon</w:t>
      </w:r>
    </w:p>
    <w:p>
      <w:pPr>
        <w:numPr>
          <w:ilvl w:val="0"/>
          <w:numId w:val="1001"/>
        </w:numPr>
        <w:pStyle w:val="Compact"/>
      </w:pPr>
      <w:r>
        <w:t xml:space="preserve">Referanser</w:t>
      </w:r>
    </w:p>
    <w:p>
      <w:pPr>
        <w:pStyle w:val="FirstParagraph"/>
      </w:pPr>
      <w:r>
        <w:t xml:space="preserve">og lage en tilhørende presentasjon (10-15 min.) av resultatene.</w:t>
      </w:r>
    </w:p>
    <w:bookmarkStart w:id="57" w:name="arbeidsform"/>
    <w:p>
      <w:pPr>
        <w:pStyle w:val="Heading3"/>
      </w:pPr>
      <w:r>
        <w:t xml:space="preserve">1.7.1 Arbeidsform</w:t>
      </w:r>
    </w:p>
    <w:p>
      <w:pPr>
        <w:pStyle w:val="FirstParagraph"/>
      </w:pPr>
      <w:r>
        <w:t xml:space="preserve">Gruppene skal jobbe i et RStudio prosjekt koblet mot et Github repo.</w:t>
      </w:r>
    </w:p>
    <w:bookmarkEnd w:id="57"/>
    <w:bookmarkStart w:id="58" w:name="levering"/>
    <w:p>
      <w:pPr>
        <w:pStyle w:val="Heading3"/>
      </w:pPr>
      <w:r>
        <w:t xml:space="preserve">1.7.2 Levering</w:t>
      </w:r>
    </w:p>
    <w:p>
      <w:pPr>
        <w:pStyle w:val="FirstParagraph"/>
      </w:pPr>
      <w:r>
        <w:t xml:space="preserve">Når ferdig inviter meg (agjest) inn i repo (oppe i Github).</w:t>
      </w:r>
      <w:r>
        <w:t xml:space="preserve"> </w:t>
      </w:r>
      <w:r>
        <w:t xml:space="preserve">Jeg vil gjøre en pull, lage en ny gren ag.</w:t>
      </w:r>
      <w:r>
        <w:t xml:space="preserve"> </w:t>
      </w:r>
      <w:r>
        <w:t xml:space="preserve">Foreslå eventuelle fiks/endringer og opprette et nytt dokument ag_comments.qmd med generelle kommentarer.</w:t>
      </w:r>
      <w:r>
        <w:t xml:space="preserve"> </w:t>
      </w:r>
      <w:r>
        <w:t xml:space="preserve">Dette vil jeg gjøre tilgjengelig som en pull request på Github.</w:t>
      </w:r>
      <w:r>
        <w:t xml:space="preserve"> </w:t>
      </w:r>
      <w:r>
        <w:t xml:space="preserve">Dere kan da se hva jeg forslår og eventuelt akseptere mine endringer.</w:t>
      </w:r>
    </w:p>
    <w:bookmarkEnd w:id="58"/>
    <w:bookmarkStart w:id="59" w:name="tips-presentasjon"/>
    <w:p>
      <w:pPr>
        <w:pStyle w:val="Heading3"/>
      </w:pPr>
      <w:r>
        <w:t xml:space="preserve">1.7.3 Tips presentasjon</w:t>
      </w:r>
    </w:p>
    <w:p>
      <w:pPr>
        <w:pStyle w:val="FirstParagraph"/>
      </w:pPr>
      <w:r>
        <w:t xml:space="preserve">Enkleste måten å lage en presentasjon når paperet er ferdig er å lagre paperet med ett nytt navn, feks lagre paper.qmd som paper_pres.qmd.</w:t>
      </w:r>
      <w:r>
        <w:t xml:space="preserve"> </w:t>
      </w:r>
      <w:r>
        <w:t xml:space="preserve">Så endre YAML header til en header som passer for presentasjon og så slette tekst/gjøre tekst om til punkter.</w:t>
      </w:r>
      <w:r>
        <w:t xml:space="preserve"> </w:t>
      </w:r>
      <w:r>
        <w:t xml:space="preserve">Husk header nivå 2 gir ny slide.</w:t>
      </w:r>
      <w:r>
        <w:t xml:space="preserve"> </w:t>
      </w:r>
      <w:r>
        <w:t xml:space="preserve">Plot, tabeller, kode etc. fra paper skal da være tilgjengelig i presentasjonen.</w:t>
      </w:r>
    </w:p>
    <w:bookmarkEnd w:id="59"/>
    <w:bookmarkEnd w:id="60"/>
    <w:bookmarkStart w:id="66" w:name="problemstilling-for-hver-gruppe"/>
    <w:p>
      <w:pPr>
        <w:pStyle w:val="Heading2"/>
      </w:pPr>
      <w:r>
        <w:t xml:space="preserve">1.8 Problemstilling for hver gruppe</w:t>
      </w:r>
    </w:p>
    <w:bookmarkStart w:id="61" w:name="gruppe-1"/>
    <w:p>
      <w:pPr>
        <w:pStyle w:val="Heading3"/>
      </w:pPr>
      <w:r>
        <w:t xml:space="preserve">1.8.1 Gruppe 1</w:t>
      </w:r>
    </w:p>
    <w:p>
      <w:pPr>
        <w:pStyle w:val="FirstParagraph"/>
      </w:pPr>
      <w:r>
        <w:t xml:space="preserve">Sammenhengen mellom:</w:t>
      </w:r>
    </w:p>
    <w:p>
      <w:pPr>
        <w:numPr>
          <w:ilvl w:val="0"/>
          <w:numId w:val="1002"/>
        </w:numPr>
        <w:pStyle w:val="Compact"/>
      </w:pPr>
      <w:r>
        <w:t xml:space="preserve">utdanning og inntekt</w:t>
      </w:r>
    </w:p>
    <w:p>
      <w:pPr>
        <w:numPr>
          <w:ilvl w:val="1"/>
          <w:numId w:val="1003"/>
        </w:numPr>
        <w:pStyle w:val="Compact"/>
      </w:pPr>
      <w:r>
        <w:t xml:space="preserve">bruk edu_fac variabelen</w:t>
      </w:r>
    </w:p>
    <w:p>
      <w:pPr>
        <w:numPr>
          <w:ilvl w:val="0"/>
          <w:numId w:val="1002"/>
        </w:numPr>
        <w:pStyle w:val="Compact"/>
      </w:pPr>
      <w:r>
        <w:t xml:space="preserve">høyde og inntekt; facet mht. edu_fac</w:t>
      </w:r>
    </w:p>
    <w:p>
      <w:pPr>
        <w:numPr>
          <w:ilvl w:val="0"/>
          <w:numId w:val="1002"/>
        </w:numPr>
        <w:pStyle w:val="Compact"/>
      </w:pPr>
      <w:r>
        <w:t xml:space="preserve">utdanning og høyde</w:t>
      </w:r>
    </w:p>
    <w:p>
      <w:pPr>
        <w:numPr>
          <w:ilvl w:val="0"/>
          <w:numId w:val="1002"/>
        </w:numPr>
        <w:pStyle w:val="Compact"/>
      </w:pPr>
      <w:r>
        <w:t xml:space="preserve">Fordeling menn/kvinner i hoydeZeroInc og hoydeHighInc</w:t>
      </w:r>
    </w:p>
    <w:p>
      <w:pPr>
        <w:numPr>
          <w:ilvl w:val="0"/>
          <w:numId w:val="1002"/>
        </w:numPr>
        <w:pStyle w:val="Compact"/>
      </w:pPr>
      <w:r>
        <w:t xml:space="preserve">Skiller obs. i hoydeZeroInc og hoydeHighInc seg fra hoydeNormInc mht. høyde og utdanning.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Case and Paxson (2008)</w:t>
      </w:r>
      <w:r>
        <w:t xml:space="preserve">;</w:t>
      </w:r>
      <w:r>
        <w:t xml:space="preserve"> </w:t>
      </w:r>
      <w:r>
        <w:t xml:space="preserve">Case, Paxson, and Islam (2009)</w:t>
      </w:r>
      <w:r>
        <w:t xml:space="preserve">;</w:t>
      </w:r>
      <w:r>
        <w:t xml:space="preserve"> </w:t>
      </w:r>
      <w:r>
        <w:t xml:space="preserve">Deaton and Arora (2009)</w:t>
      </w:r>
      <w:r>
        <w:t xml:space="preserve">;</w:t>
      </w:r>
      <w:r>
        <w:t xml:space="preserve"> </w:t>
      </w:r>
      <w:r>
        <w:t xml:space="preserve">Hübler (2015)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published (2009)</w:t>
      </w:r>
    </w:p>
    <w:bookmarkEnd w:id="61"/>
    <w:bookmarkStart w:id="62" w:name="gruppe-2"/>
    <w:p>
      <w:pPr>
        <w:pStyle w:val="Heading3"/>
      </w:pPr>
      <w:r>
        <w:t xml:space="preserve">1.8.2 Gruppe 2</w:t>
      </w:r>
    </w:p>
    <w:p>
      <w:pPr>
        <w:pStyle w:val="FirstParagraph"/>
      </w:pPr>
      <w:r>
        <w:t xml:space="preserve">Sammenhengen mellom kjønn og inntekt:</w:t>
      </w:r>
    </w:p>
    <w:p>
      <w:pPr>
        <w:numPr>
          <w:ilvl w:val="0"/>
          <w:numId w:val="1004"/>
        </w:numPr>
        <w:pStyle w:val="Compact"/>
      </w:pPr>
      <w:r>
        <w:t xml:space="preserve">høyde og inntekt</w:t>
      </w:r>
    </w:p>
    <w:p>
      <w:pPr>
        <w:numPr>
          <w:ilvl w:val="1"/>
          <w:numId w:val="1005"/>
        </w:numPr>
        <w:pStyle w:val="Compact"/>
      </w:pPr>
      <w:r>
        <w:t xml:space="preserve">scatterplot facet mht. kjønn.</w:t>
      </w:r>
    </w:p>
    <w:p>
      <w:pPr>
        <w:numPr>
          <w:ilvl w:val="1"/>
          <w:numId w:val="1005"/>
        </w:numPr>
        <w:pStyle w:val="Compact"/>
      </w:pPr>
      <w:r>
        <w:t xml:space="preserve">Bruk teknikken med hele datasettet i bakgrunnen</w:t>
      </w:r>
    </w:p>
    <w:p>
      <w:pPr>
        <w:numPr>
          <w:ilvl w:val="0"/>
          <w:numId w:val="1004"/>
        </w:numPr>
        <w:pStyle w:val="Compact"/>
      </w:pPr>
      <w:r>
        <w:t xml:space="preserve">Høyde menn/kvinner i hoydeZeroInc og hoydeHighInc. Skiller disse seg fra høyde menn/kvinner i hoydeNormInc.</w:t>
      </w:r>
    </w:p>
    <w:p>
      <w:pPr>
        <w:numPr>
          <w:ilvl w:val="0"/>
          <w:numId w:val="1004"/>
        </w:numPr>
        <w:pStyle w:val="Compact"/>
      </w:pPr>
      <w:r>
        <w:t xml:space="preserve">Har vi inntektsforskjeller mellom menn og kvinner som er like høye?</w:t>
      </w:r>
    </w:p>
    <w:p>
      <w:pPr>
        <w:numPr>
          <w:ilvl w:val="1"/>
          <w:numId w:val="1006"/>
        </w:numPr>
        <w:pStyle w:val="Compact"/>
      </w:pPr>
      <w:r>
        <w:t xml:space="preserve">Studer kategoriene 65, 66, 67 og 68 tommer høy (hvor vi både har menn og kvinner). Lag et subset for hver av de fire høydene og sjekk for forskjeller i inntekt mellom kjønn. Husk konklusjon.</w:t>
      </w:r>
    </w:p>
    <w:p>
      <w:pPr>
        <w:numPr>
          <w:ilvl w:val="0"/>
          <w:numId w:val="1004"/>
        </w:numPr>
        <w:pStyle w:val="Compact"/>
      </w:pPr>
      <w:r>
        <w:t xml:space="preserve">Er det markante kjønnsforskjeller i hoydeZeroInc og hoydeHighInc?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Aragão (n.d.)</w:t>
      </w:r>
      <w:r>
        <w:t xml:space="preserve">;</w:t>
      </w:r>
      <w:r>
        <w:t xml:space="preserve"> </w:t>
      </w:r>
      <w:r>
        <w:t xml:space="preserve">Bobbitt-Zeher (2007)</w:t>
      </w:r>
      <w:r>
        <w:t xml:space="preserve">;</w:t>
      </w:r>
      <w:r>
        <w:t xml:space="preserve"> </w:t>
      </w:r>
      <w:r>
        <w:t xml:space="preserve">Bureau (n.d.)</w:t>
      </w:r>
      <w:r>
        <w:t xml:space="preserve">;</w:t>
      </w:r>
      <w:r>
        <w:t xml:space="preserve"> </w:t>
      </w:r>
      <w:r>
        <w:t xml:space="preserve">Card, Cardoso, and Kline (2016)</w:t>
      </w:r>
      <w:r>
        <w:t xml:space="preserve">;</w:t>
      </w:r>
      <w:r>
        <w:t xml:space="preserve"> </w:t>
      </w:r>
      <w:r>
        <w:t xml:space="preserve">Hejase and Hejase (2020)</w:t>
      </w:r>
      <w:r>
        <w:t xml:space="preserve">;</w:t>
      </w:r>
      <w:r>
        <w:t xml:space="preserve"> </w:t>
      </w:r>
      <w:r>
        <w:t xml:space="preserve">Mitchell (2020)</w:t>
      </w:r>
      <w:r>
        <w:t xml:space="preserve">;</w:t>
      </w:r>
      <w:r>
        <w:t xml:space="preserve"> </w:t>
      </w:r>
      <w:r>
        <w:t xml:space="preserve">Nyirongo (n.d.)</w:t>
      </w:r>
      <w:r>
        <w:t xml:space="preserve">;</w:t>
      </w:r>
      <w:r>
        <w:t xml:space="preserve"> </w:t>
      </w:r>
      <w:r>
        <w:t xml:space="preserve">Ochsenfeld (2016)</w:t>
      </w:r>
      <w:r>
        <w:t xml:space="preserve">;</w:t>
      </w:r>
      <w:r>
        <w:t xml:space="preserve"> </w:t>
      </w:r>
      <w:r>
        <w:t xml:space="preserve">Petersen and Morgan (1995)</w:t>
      </w:r>
      <w:r>
        <w:t xml:space="preserve">;</w:t>
      </w:r>
      <w:r>
        <w:t xml:space="preserve"> </w:t>
      </w:r>
      <w:r>
        <w:t xml:space="preserve">Santos Silva and Klasen (2021)</w:t>
      </w:r>
      <w:r>
        <w:t xml:space="preserve">;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Gould, Schieder, and Geier (2016)</w:t>
      </w:r>
      <w:r>
        <w:t xml:space="preserve">.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7"/>
        </w:numPr>
        <w:pStyle w:val="Compact"/>
      </w:pPr>
      <w:r>
        <w:t xml:space="preserve">Er det noen sammenheng?</w:t>
      </w:r>
    </w:p>
    <w:p>
      <w:pPr>
        <w:numPr>
          <w:ilvl w:val="0"/>
          <w:numId w:val="1007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7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2"/>
    <w:bookmarkStart w:id="63" w:name="gruppe-3"/>
    <w:p>
      <w:pPr>
        <w:pStyle w:val="Heading3"/>
      </w:pPr>
      <w:r>
        <w:t xml:space="preserve">1.8.3 Gruppe 3</w:t>
      </w:r>
    </w:p>
    <w:p>
      <w:pPr>
        <w:pStyle w:val="FirstParagraph"/>
      </w:pPr>
      <w:r>
        <w:t xml:space="preserve">Sammenhengen mellom inntekt og evnenivå (afqt).</w:t>
      </w:r>
      <w:r>
        <w:t xml:space="preserve"> </w:t>
      </w:r>
      <w:r>
        <w:t xml:space="preserve">Tjener «smarte» personer mer?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 i hoydeNormInc</w:t>
      </w:r>
    </w:p>
    <w:p>
      <w:pPr>
        <w:numPr>
          <w:ilvl w:val="0"/>
          <w:numId w:val="1008"/>
        </w:numPr>
        <w:pStyle w:val="Compact"/>
      </w:pPr>
      <w:r>
        <w:t xml:space="preserve">aftq i hoydeZeroInc og hoydeHighInc</w:t>
      </w:r>
    </w:p>
    <w:p>
      <w:pPr>
        <w:numPr>
          <w:ilvl w:val="0"/>
          <w:numId w:val="1008"/>
        </w:numPr>
        <w:pStyle w:val="Compact"/>
      </w:pPr>
      <w:r>
        <w:t xml:space="preserve">Sammenhengen mellom afqt og inntekt, facet mht. kjønn</w:t>
      </w:r>
    </w:p>
    <w:p>
      <w:pPr>
        <w:numPr>
          <w:ilvl w:val="0"/>
          <w:numId w:val="1008"/>
        </w:numPr>
        <w:pStyle w:val="Compact"/>
      </w:pPr>
      <w:r>
        <w:t xml:space="preserve">Sammenhengen mellom edu_fac/education og afqt</w:t>
      </w:r>
    </w:p>
    <w:p>
      <w:pPr>
        <w:numPr>
          <w:ilvl w:val="0"/>
          <w:numId w:val="1008"/>
        </w:numPr>
        <w:pStyle w:val="Compact"/>
      </w:pPr>
      <w:r>
        <w:t xml:space="preserve">Sammenhengen mellom høyde og afqt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Zagorsky (2007)</w:t>
      </w:r>
      <w:r>
        <w:t xml:space="preserve">;</w:t>
      </w:r>
      <w:r>
        <w:t xml:space="preserve"> </w:t>
      </w:r>
      <w:r>
        <w:t xml:space="preserve">Bound, Griliches, and Hall (1986)</w:t>
      </w:r>
      <w:r>
        <w:t xml:space="preserve">,</w:t>
      </w:r>
      <w:r>
        <w:t xml:space="preserve"> </w:t>
      </w:r>
      <w:r>
        <w:t xml:space="preserve">Wolfinger (2019)</w:t>
      </w:r>
      <w:r>
        <w:t xml:space="preserve">,</w:t>
      </w:r>
      <w:r>
        <w:t xml:space="preserve"> </w:t>
      </w:r>
      <w:r>
        <w:t xml:space="preserve">Kanarek (2013)</w:t>
      </w:r>
      <w:r>
        <w:t xml:space="preserve">,</w:t>
      </w:r>
      <w:r>
        <w:t xml:space="preserve"> </w:t>
      </w:r>
      <w:r>
        <w:t xml:space="preserve">NLS (2023)</w:t>
      </w:r>
      <w:r>
        <w:t xml:space="preserve">,</w:t>
      </w:r>
      <w:r>
        <w:t xml:space="preserve"> </w:t>
      </w:r>
      <w:r>
        <w:t xml:space="preserve">Iii and Spriggs (1996)</w:t>
      </w:r>
    </w:p>
    <w:p>
      <w:pPr>
        <w:pStyle w:val="BodyText"/>
      </w:pPr>
      <w:r>
        <w:t xml:space="preserve">Sammenhengen mellom ansiennitet (alder) og inntekt:</w:t>
      </w:r>
    </w:p>
    <w:p>
      <w:pPr>
        <w:numPr>
          <w:ilvl w:val="0"/>
          <w:numId w:val="1009"/>
        </w:numPr>
        <w:pStyle w:val="Compact"/>
      </w:pPr>
      <w:r>
        <w:t xml:space="preserve">Er det noen sammenheng?</w:t>
      </w:r>
    </w:p>
    <w:p>
      <w:pPr>
        <w:numPr>
          <w:ilvl w:val="0"/>
          <w:numId w:val="1009"/>
        </w:numPr>
        <w:pStyle w:val="Compact"/>
      </w:pPr>
      <w:r>
        <w:t xml:space="preserve">Er det forskjeller mht. kjønn?</w:t>
      </w:r>
    </w:p>
    <w:p>
      <w:pPr>
        <w:numPr>
          <w:ilvl w:val="0"/>
          <w:numId w:val="1009"/>
        </w:numPr>
        <w:pStyle w:val="Compact"/>
      </w:pPr>
      <w:r>
        <w:t xml:space="preserve">Er det markante kjønnsforskjeller mht. alder i hoydeZeroInc, hoydeHighInc og hoydeNormInc?</w:t>
      </w:r>
    </w:p>
    <w:p>
      <w:pPr>
        <w:pStyle w:val="FirstParagraph"/>
      </w:pPr>
      <w:r>
        <w:t xml:space="preserve">Noen referanser som kan være et utgangspunkt for litteraturgjennomgang:</w:t>
      </w:r>
      <w:r>
        <w:t xml:space="preserve"> </w:t>
      </w:r>
      <w:r>
        <w:t xml:space="preserve">Medoff and Abraham (1980)</w:t>
      </w:r>
      <w:r>
        <w:t xml:space="preserve">,</w:t>
      </w:r>
      <w:r>
        <w:t xml:space="preserve"> </w:t>
      </w:r>
      <w:r>
        <w:t xml:space="preserve">Dash, Bakshi, and Chugh (2017)</w:t>
      </w:r>
      <w:r>
        <w:t xml:space="preserve">,</w:t>
      </w:r>
      <w:r>
        <w:t xml:space="preserve"> </w:t>
      </w:r>
      <w:r>
        <w:t xml:space="preserve">Mincer (1974)</w:t>
      </w:r>
    </w:p>
    <w:bookmarkEnd w:id="63"/>
    <w:bookmarkStart w:id="64" w:name="gruppe-4"/>
    <w:p>
      <w:pPr>
        <w:pStyle w:val="Heading3"/>
      </w:pPr>
      <w:r>
        <w:t xml:space="preserve">1.8.4 Gruppe 4</w:t>
      </w:r>
    </w:p>
    <w:p>
      <w:pPr>
        <w:pStyle w:val="FirstParagraph"/>
      </w:pPr>
      <w:r>
        <w:t xml:space="preserve">Sammenhengen mellom gift/ugift og inntekt.</w:t>
      </w:r>
    </w:p>
    <w:p>
      <w:pPr>
        <w:numPr>
          <w:ilvl w:val="0"/>
          <w:numId w:val="1010"/>
        </w:numPr>
        <w:pStyle w:val="Compact"/>
      </w:pPr>
      <w:r>
        <w:t xml:space="preserve">Er det forskjell menn/kvinner?</w:t>
      </w:r>
    </w:p>
    <w:p>
      <w:pPr>
        <w:numPr>
          <w:ilvl w:val="0"/>
          <w:numId w:val="1010"/>
        </w:numPr>
        <w:pStyle w:val="Compact"/>
      </w:pPr>
      <w:r>
        <w:t xml:space="preserve">Varierer premie/straff for gift mann/kvinne med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gift/ugift og utdannelse?</w:t>
      </w:r>
    </w:p>
    <w:p>
      <w:pPr>
        <w:numPr>
          <w:ilvl w:val="0"/>
          <w:numId w:val="1010"/>
        </w:numPr>
        <w:pStyle w:val="Compact"/>
      </w:pPr>
      <w:r>
        <w:t xml:space="preserve">Er det noen sammenheng mellom bmi og gift/ugift?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On-The-Economy-Blog (2020)</w:t>
      </w:r>
      <w:r>
        <w:t xml:space="preserve">;</w:t>
      </w:r>
      <w:r>
        <w:t xml:space="preserve"> </w:t>
      </w:r>
      <w:r>
        <w:t xml:space="preserve">Vandenbroucke (n.d.)</w:t>
      </w:r>
      <w:r>
        <w:t xml:space="preserve">;</w:t>
      </w:r>
      <w:r>
        <w:t xml:space="preserve"> </w:t>
      </w:r>
      <w:r>
        <w:t xml:space="preserve">Case and Paxson (2008)</w:t>
      </w:r>
    </w:p>
    <w:bookmarkEnd w:id="64"/>
    <w:bookmarkStart w:id="65" w:name="gruppe-5"/>
    <w:p>
      <w:pPr>
        <w:pStyle w:val="Heading3"/>
      </w:pPr>
      <w:r>
        <w:t xml:space="preserve">1.8.5 Gruppe 5</w:t>
      </w:r>
    </w:p>
    <w:p>
      <w:pPr>
        <w:pStyle w:val="FirstParagraph"/>
      </w:pPr>
      <w:r>
        <w:t xml:space="preserve">Sammenheng mellom mbi og inntekt.</w:t>
      </w:r>
    </w:p>
    <w:p>
      <w:pPr>
        <w:numPr>
          <w:ilvl w:val="0"/>
          <w:numId w:val="1011"/>
        </w:numPr>
        <w:pStyle w:val="Compact"/>
      </w:pPr>
      <w:r>
        <w:t xml:space="preserve">sammenheng bmi og inntekt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gift/ugift</w:t>
      </w:r>
    </w:p>
    <w:p>
      <w:pPr>
        <w:numPr>
          <w:ilvl w:val="0"/>
          <w:numId w:val="1011"/>
        </w:numPr>
        <w:pStyle w:val="Compact"/>
      </w:pPr>
      <w:r>
        <w:t xml:space="preserve">sammenheng bmi og inntektsforskjell mellom menn/kvinner gitt edu_fac</w:t>
      </w:r>
    </w:p>
    <w:p>
      <w:pPr>
        <w:pStyle w:val="FirstParagraph"/>
      </w:pPr>
      <w:r>
        <w:t xml:space="preserve">Referanser som kan være et utgangspunkt for litteraturgjennomgang:</w:t>
      </w:r>
      <w:r>
        <w:t xml:space="preserve"> </w:t>
      </w:r>
      <w:r>
        <w:t xml:space="preserve">Böckerman et al. (2019)</w:t>
      </w:r>
      <w:r>
        <w:t xml:space="preserve">;</w:t>
      </w:r>
      <w:r>
        <w:t xml:space="preserve"> </w:t>
      </w:r>
      <w:r>
        <w:t xml:space="preserve">Caliendo and Gehrsitz (2016)</w:t>
      </w:r>
      <w:r>
        <w:t xml:space="preserve">;</w:t>
      </w:r>
      <w:r>
        <w:t xml:space="preserve"> </w:t>
      </w:r>
      <w:r>
        <w:t xml:space="preserve">Cawley (2015)</w:t>
      </w:r>
      <w:r>
        <w:t xml:space="preserve">;</w:t>
      </w:r>
      <w:r>
        <w:t xml:space="preserve"> </w:t>
      </w:r>
      <w:r>
        <w:t xml:space="preserve">Edwards, Bjørngaard, and Minet Kinge (2021)</w:t>
      </w:r>
      <w:r>
        <w:t xml:space="preserve">;</w:t>
      </w:r>
      <w:r>
        <w:t xml:space="preserve"> </w:t>
      </w:r>
      <w:r>
        <w:t xml:space="preserve">Han, Norton, and Stearns (2009)</w:t>
      </w:r>
      <w:r>
        <w:t xml:space="preserve">;</w:t>
      </w:r>
      <w:r>
        <w:t xml:space="preserve"> </w:t>
      </w:r>
      <w:r>
        <w:t xml:space="preserve">Hildebrand and Kerm (2010)</w:t>
      </w:r>
      <w:r>
        <w:t xml:space="preserve">;</w:t>
      </w:r>
      <w:r>
        <w:t xml:space="preserve"> </w:t>
      </w:r>
      <w:r>
        <w:t xml:space="preserve">Kan and Lee (2012)</w:t>
      </w:r>
      <w:r>
        <w:t xml:space="preserve">;</w:t>
      </w:r>
      <w:r>
        <w:t xml:space="preserve"> </w:t>
      </w:r>
      <w:r>
        <w:t xml:space="preserve">Lee (2017)</w:t>
      </w:r>
      <w:r>
        <w:t xml:space="preserve">;</w:t>
      </w:r>
      <w:r>
        <w:t xml:space="preserve"> </w:t>
      </w:r>
      <w:r>
        <w:t xml:space="preserve">Sargent and Blanchflower (1994)</w:t>
      </w:r>
      <w:r>
        <w:t xml:space="preserve">;</w:t>
      </w:r>
      <w:r>
        <w:t xml:space="preserve"> </w:t>
      </w: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”</w:t>
      </w:r>
      <w:r>
        <w:t xml:space="preserve"> </w:t>
      </w:r>
      <w:r>
        <w:t xml:space="preserve">(n.d.)</w:t>
      </w:r>
      <w:r>
        <w:t xml:space="preserve">;</w:t>
      </w:r>
      <w:r>
        <w:t xml:space="preserve"> </w:t>
      </w: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”</w:t>
      </w:r>
      <w:r>
        <w:t xml:space="preserve"> </w:t>
      </w:r>
      <w:r>
        <w:t xml:space="preserve">(n.d.)</w:t>
      </w:r>
    </w:p>
    <w:bookmarkEnd w:id="65"/>
    <w:bookmarkEnd w:id="66"/>
    <w:bookmarkEnd w:id="67"/>
    <w:bookmarkStart w:id="113" w:name="referanser"/>
    <w:p>
      <w:pPr>
        <w:pStyle w:val="Heading1"/>
      </w:pPr>
      <w:r>
        <w:t xml:space="preserve">2. Referanser</w:t>
      </w:r>
    </w:p>
    <w:bookmarkStart w:id="112" w:name="refs"/>
    <w:bookmarkStart w:id="68" w:name="ref-aragao"/>
    <w:p>
      <w:pPr>
        <w:pStyle w:val="Bibliography"/>
      </w:pPr>
      <w:r>
        <w:t xml:space="preserve">Aragão, Carolina. n.d.</w:t>
      </w:r>
      <w:r>
        <w:t xml:space="preserve"> </w:t>
      </w:r>
      <w:r>
        <w:t xml:space="preserve">“Gender Pay Gap in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Hasn’t Changed Much in Two Decades.”</w:t>
      </w:r>
      <w:r>
        <w:t xml:space="preserve"> </w:t>
      </w:r>
      <w:r>
        <w:rPr>
          <w:iCs/>
          <w:i/>
        </w:rPr>
        <w:t xml:space="preserve">Pew Research Center</w:t>
      </w:r>
      <w:r>
        <w:t xml:space="preserve">. Accessed October 6, 2023.</w:t>
      </w:r>
    </w:p>
    <w:bookmarkEnd w:id="68"/>
    <w:bookmarkStart w:id="69" w:name="ref-bobbitt-zeher2007"/>
    <w:p>
      <w:pPr>
        <w:pStyle w:val="Bibliography"/>
      </w:pPr>
      <w:r>
        <w:t xml:space="preserve">Bobbitt-Zeher, Donna. 2007.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.”</w:t>
      </w:r>
      <w:r>
        <w:t xml:space="preserve"> </w:t>
      </w:r>
      <w:r>
        <w:rPr>
          <w:iCs/>
          <w:i/>
        </w:rPr>
        <w:t xml:space="preserve">Sociology of Education</w:t>
      </w:r>
      <w:r>
        <w:t xml:space="preserve"> </w:t>
      </w:r>
      <w:r>
        <w:t xml:space="preserve">80 (1): 1–22.</w:t>
      </w:r>
    </w:p>
    <w:bookmarkEnd w:id="69"/>
    <w:bookmarkStart w:id="71" w:name="ref-bockerman2019"/>
    <w:p>
      <w:pPr>
        <w:pStyle w:val="Bibliography"/>
      </w:pPr>
      <w:r>
        <w:t xml:space="preserve">Böckerman, Petri, John Cawley, Jutta Viinikainen, Terho Lehtimäki, Suvi Rovio, Ilkka Seppälä, Jaakko Pehkonen, and Olli Raitakari. 2019.</w:t>
      </w:r>
      <w:r>
        <w:t xml:space="preserve"> </w:t>
      </w:r>
      <w:r>
        <w:t xml:space="preserve">“</w:t>
      </w:r>
      <w:hyperlink r:id="rId70">
        <w:r>
          <w:rPr>
            <w:rStyle w:val="Hyperlink"/>
          </w:rPr>
          <w:t xml:space="preserve">The Effect of Weight on Labor Market Outcomes: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of Genetic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28 (1): 65–77.</w:t>
      </w:r>
    </w:p>
    <w:bookmarkEnd w:id="71"/>
    <w:bookmarkStart w:id="72" w:name="ref-bound1986"/>
    <w:p>
      <w:pPr>
        <w:pStyle w:val="Bibliography"/>
      </w:pPr>
      <w:r>
        <w:t xml:space="preserve">Bound, John, Zvi Griliches, and Bronwyn H. Hall. 1986.</w:t>
      </w:r>
      <w:r>
        <w:t xml:space="preserve"> </w:t>
      </w:r>
      <w:r>
        <w:t xml:space="preserve">“Wages,</w:t>
      </w:r>
      <w:r>
        <w:t xml:space="preserve"> </w:t>
      </w:r>
      <w:r>
        <w:t xml:space="preserve">Schooling</w:t>
      </w:r>
      <w:r>
        <w:t xml:space="preserve"> </w:t>
      </w:r>
      <w:r>
        <w:t xml:space="preserve">and</w:t>
      </w:r>
      <w:r>
        <w:t xml:space="preserve"> </w:t>
      </w:r>
      <w:r>
        <w:t xml:space="preserve">IQ</w:t>
      </w:r>
      <w:r>
        <w:t xml:space="preserve"> </w:t>
      </w:r>
      <w:r>
        <w:t xml:space="preserve">of</w:t>
      </w:r>
      <w:r>
        <w:t xml:space="preserve"> </w:t>
      </w:r>
      <w:r>
        <w:t xml:space="preserve">Brothers</w:t>
      </w:r>
      <w:r>
        <w:t xml:space="preserve"> </w:t>
      </w:r>
      <w:r>
        <w:t xml:space="preserve">and</w:t>
      </w:r>
      <w:r>
        <w:t xml:space="preserve"> </w:t>
      </w:r>
      <w:r>
        <w:t xml:space="preserve">Sisters</w:t>
      </w:r>
      <w:r>
        <w:t xml:space="preserve">:</w:t>
      </w:r>
      <w:r>
        <w:t xml:space="preserve"> </w:t>
      </w:r>
      <w:r>
        <w:t xml:space="preserve">Do</w:t>
      </w:r>
      <w:r>
        <w:t xml:space="preserve"> </w:t>
      </w:r>
      <w:r>
        <w:t xml:space="preserve">the</w:t>
      </w:r>
      <w:r>
        <w:t xml:space="preserve"> </w:t>
      </w:r>
      <w:r>
        <w:t xml:space="preserve">Family Factors Differ</w:t>
      </w:r>
      <w:r>
        <w:t xml:space="preserve">?”</w:t>
      </w:r>
      <w:r>
        <w:t xml:space="preserve"> </w:t>
      </w:r>
      <w:r>
        <w:rPr>
          <w:iCs/>
          <w:i/>
        </w:rPr>
        <w:t xml:space="preserve">International Economic Review</w:t>
      </w:r>
      <w:r>
        <w:t xml:space="preserve"> </w:t>
      </w:r>
      <w:r>
        <w:t xml:space="preserve">27 (1): 77–105.</w:t>
      </w:r>
    </w:p>
    <w:bookmarkEnd w:id="72"/>
    <w:bookmarkStart w:id="73" w:name="ref-bureau"/>
    <w:p>
      <w:pPr>
        <w:pStyle w:val="Bibliography"/>
      </w:pPr>
      <w:r>
        <w:t xml:space="preserve">Bureau, US Census. n.d.</w:t>
      </w:r>
      <w:r>
        <w:t xml:space="preserve"> </w:t>
      </w:r>
      <w:r>
        <w:t xml:space="preserve">“Among the</w:t>
      </w:r>
      <w:r>
        <w:t xml:space="preserve"> </w:t>
      </w:r>
      <w:r>
        <w:t xml:space="preserve">Educated</w:t>
      </w:r>
      <w:r>
        <w:t xml:space="preserve">,</w:t>
      </w:r>
      <w:r>
        <w:t xml:space="preserve"> </w:t>
      </w:r>
      <w:r>
        <w:t xml:space="preserve">Women Earn</w:t>
      </w:r>
      <w:r>
        <w:t xml:space="preserve"> </w:t>
      </w:r>
      <w:r>
        <w:t xml:space="preserve">74</w:t>
      </w:r>
      <w:r>
        <w:t xml:space="preserve"> </w:t>
      </w:r>
      <w:r>
        <w:t xml:space="preserve">Cents</w:t>
      </w:r>
      <w:r>
        <w:t xml:space="preserve"> </w:t>
      </w:r>
      <w:r>
        <w:t xml:space="preserve">for</w:t>
      </w:r>
      <w:r>
        <w:t xml:space="preserve"> </w:t>
      </w:r>
      <w:r>
        <w:t xml:space="preserve">Every Dollar Men Make</w:t>
      </w:r>
      <w:r>
        <w:t xml:space="preserve">.”</w:t>
      </w:r>
      <w:r>
        <w:t xml:space="preserve"> </w:t>
      </w:r>
      <w:r>
        <w:rPr>
          <w:iCs/>
          <w:i/>
        </w:rPr>
        <w:t xml:space="preserve">Census.gov</w:t>
      </w:r>
      <w:r>
        <w:t xml:space="preserve">. https://www.census.gov/library/stories/2019/05/college-degree-widens-gender-earnings-gap.html. Accessed October 6, 2023.</w:t>
      </w:r>
    </w:p>
    <w:bookmarkEnd w:id="73"/>
    <w:bookmarkStart w:id="74" w:name="ref-caliendo2016"/>
    <w:p>
      <w:pPr>
        <w:pStyle w:val="Bibliography"/>
      </w:pPr>
      <w:r>
        <w:t xml:space="preserve">Caliendo, Marco, and Markus Gehrsitz. 2016.</w:t>
      </w:r>
      <w:r>
        <w:t xml:space="preserve"> </w:t>
      </w:r>
      <w:r>
        <w:t xml:space="preserve">“Obesity and the Labor Market:</w:t>
      </w:r>
      <w:r>
        <w:t xml:space="preserve"> </w:t>
      </w:r>
      <w:r>
        <w:t xml:space="preserve">A</w:t>
      </w:r>
      <w:r>
        <w:t xml:space="preserve"> </w:t>
      </w:r>
      <w:r>
        <w:t xml:space="preserve">Fresh Look at the Weight Penalty.”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23 (December): 209–25.</w:t>
      </w:r>
    </w:p>
    <w:bookmarkEnd w:id="74"/>
    <w:bookmarkStart w:id="75" w:name="ref-card2016"/>
    <w:p>
      <w:pPr>
        <w:pStyle w:val="Bibliography"/>
      </w:pPr>
      <w:r>
        <w:t xml:space="preserve">Card, David, Ana Rute Cardoso, and Patrick Kline. 2016.</w:t>
      </w:r>
      <w:r>
        <w:t xml:space="preserve"> </w:t>
      </w:r>
      <w:r>
        <w:t xml:space="preserve">“Bargaining,</w:t>
      </w:r>
      <w:r>
        <w:t xml:space="preserve"> </w:t>
      </w:r>
      <w:r>
        <w:t xml:space="preserve">Sorting</w:t>
      </w:r>
      <w:r>
        <w:t xml:space="preserve">, and the</w:t>
      </w:r>
      <w:r>
        <w:t xml:space="preserve"> </w:t>
      </w:r>
      <w:r>
        <w:t xml:space="preserve">Gender Wage Gap</w:t>
      </w:r>
      <w:r>
        <w:t xml:space="preserve">:</w:t>
      </w:r>
      <w:r>
        <w:t xml:space="preserve"> </w:t>
      </w:r>
      <w:r>
        <w:t xml:space="preserve">Quantifying</w:t>
      </w:r>
      <w:r>
        <w:t xml:space="preserve"> </w:t>
      </w: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Firms</w:t>
      </w:r>
      <w:r>
        <w:t xml:space="preserve"> </w:t>
      </w:r>
      <w:r>
        <w:t xml:space="preserve">on the</w:t>
      </w:r>
      <w:r>
        <w:t xml:space="preserve"> </w:t>
      </w:r>
      <w:r>
        <w:t xml:space="preserve">Relative Pay</w:t>
      </w:r>
      <w:r>
        <w:t xml:space="preserve"> </w:t>
      </w:r>
      <w:r>
        <w:t xml:space="preserve">of</w:t>
      </w:r>
      <w:r>
        <w:t xml:space="preserve"> </w:t>
      </w:r>
      <w:r>
        <w:t xml:space="preserve">Women</w:t>
      </w:r>
      <w:r>
        <w:t xml:space="preserve"> </w:t>
      </w:r>
      <w:r>
        <w:t xml:space="preserve">*.”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131 (2): 633–86.</w:t>
      </w:r>
    </w:p>
    <w:bookmarkEnd w:id="75"/>
    <w:bookmarkStart w:id="76" w:name="ref-case2008"/>
    <w:p>
      <w:pPr>
        <w:pStyle w:val="Bibliography"/>
      </w:pPr>
      <w:r>
        <w:t xml:space="preserve">Case, Anne, and Christina Paxson. 2008.</w:t>
      </w:r>
      <w:r>
        <w:t xml:space="preserve"> </w:t>
      </w:r>
      <w:r>
        <w:t xml:space="preserve">“Stature and</w:t>
      </w:r>
      <w:r>
        <w:t xml:space="preserve"> </w:t>
      </w:r>
      <w:r>
        <w:t xml:space="preserve">Status</w:t>
      </w:r>
      <w:r>
        <w:t xml:space="preserve">:</w:t>
      </w:r>
      <w:r>
        <w:t xml:space="preserve"> </w:t>
      </w:r>
      <w:r>
        <w:t xml:space="preserve">Height</w:t>
      </w:r>
      <w:r>
        <w:t xml:space="preserve">,</w:t>
      </w:r>
      <w:r>
        <w:t xml:space="preserve"> </w:t>
      </w:r>
      <w:r>
        <w:t xml:space="preserve">Ability</w:t>
      </w:r>
      <w:r>
        <w:t xml:space="preserve">, and</w:t>
      </w:r>
      <w:r>
        <w:t xml:space="preserve"> </w:t>
      </w:r>
      <w:r>
        <w:t xml:space="preserve">Labor Market Outcomes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Political Economy</w:t>
      </w:r>
      <w:r>
        <w:t xml:space="preserve"> </w:t>
      </w:r>
      <w:r>
        <w:t xml:space="preserve">116 (3): 499–532.</w:t>
      </w:r>
    </w:p>
    <w:bookmarkEnd w:id="76"/>
    <w:bookmarkStart w:id="77" w:name="ref-case2009"/>
    <w:p>
      <w:pPr>
        <w:pStyle w:val="Bibliography"/>
      </w:pPr>
      <w:r>
        <w:t xml:space="preserve">Case, Anne, Christina Paxson, and Mahnaz Islam. 2009.</w:t>
      </w:r>
      <w:r>
        <w:t xml:space="preserve"> </w:t>
      </w:r>
      <w:r>
        <w:t xml:space="preserve">“Making Sense of the Labor Market Height Premium:</w:t>
      </w:r>
      <w:r>
        <w:t xml:space="preserve"> </w:t>
      </w:r>
      <w:r>
        <w:t xml:space="preserve">Evidence</w:t>
      </w:r>
      <w:r>
        <w:t xml:space="preserve"> </w:t>
      </w:r>
      <w:r>
        <w:t xml:space="preserve">from the</w:t>
      </w:r>
      <w:r>
        <w:t xml:space="preserve"> </w:t>
      </w:r>
      <w:r>
        <w:t xml:space="preserve">British Household Panel Survey</w:t>
      </w:r>
      <w:r>
        <w:t xml:space="preserve">.”</w:t>
      </w:r>
      <w:r>
        <w:t xml:space="preserve"> </w:t>
      </w:r>
      <w:r>
        <w:rPr>
          <w:iCs/>
          <w:i/>
        </w:rPr>
        <w:t xml:space="preserve">Economics Letters</w:t>
      </w:r>
      <w:r>
        <w:t xml:space="preserve"> </w:t>
      </w:r>
      <w:r>
        <w:t xml:space="preserve">102 (3): 174–76.</w:t>
      </w:r>
    </w:p>
    <w:bookmarkEnd w:id="77"/>
    <w:bookmarkStart w:id="78" w:name="ref-cawley2015"/>
    <w:p>
      <w:pPr>
        <w:pStyle w:val="Bibliography"/>
      </w:pPr>
      <w:r>
        <w:t xml:space="preserve">Cawley, John. 2015.</w:t>
      </w:r>
      <w:r>
        <w:t xml:space="preserve"> </w:t>
      </w:r>
      <w:r>
        <w:t xml:space="preserve">“An Economy of Scales:</w:t>
      </w:r>
      <w:r>
        <w:t xml:space="preserve"> </w:t>
      </w:r>
      <w:r>
        <w:t xml:space="preserve">A</w:t>
      </w:r>
      <w:r>
        <w:t xml:space="preserve"> </w:t>
      </w:r>
      <w:r>
        <w:t xml:space="preserve">Selective Review of Obesity’s Economic Causes, Consequences, and Solutions.”</w:t>
      </w:r>
      <w:r>
        <w:t xml:space="preserve"> </w:t>
      </w:r>
      <w:r>
        <w:rPr>
          <w:iCs/>
          <w:i/>
        </w:rPr>
        <w:t xml:space="preserve">Journal of Health Economics</w:t>
      </w:r>
      <w:r>
        <w:t xml:space="preserve"> </w:t>
      </w:r>
      <w:r>
        <w:t xml:space="preserve">43 (September): 244–68.</w:t>
      </w:r>
    </w:p>
    <w:bookmarkEnd w:id="78"/>
    <w:bookmarkStart w:id="79" w:name="ref-dash2017"/>
    <w:p>
      <w:pPr>
        <w:pStyle w:val="Bibliography"/>
      </w:pPr>
      <w:r>
        <w:t xml:space="preserve">Dash, Mihir, Suprabha Bakshi, and Aarushi Chugh. 2017.</w:t>
      </w:r>
      <w:r>
        <w:t xml:space="preserve"> </w:t>
      </w:r>
      <w:r>
        <w:t xml:space="preserve">“The</w:t>
      </w:r>
      <w:r>
        <w:t xml:space="preserve"> </w:t>
      </w:r>
      <w:r>
        <w:t xml:space="preserve">Relationship Between Work Experience</w:t>
      </w:r>
      <w:r>
        <w:t xml:space="preserve"> </w:t>
      </w:r>
      <w:r>
        <w:t xml:space="preserve">and</w:t>
      </w:r>
      <w:r>
        <w:t xml:space="preserve"> </w:t>
      </w:r>
      <w:r>
        <w:t xml:space="preserve">Employee Compensation</w:t>
      </w:r>
      <w:r>
        <w:t xml:space="preserve">:</w:t>
      </w:r>
      <w:r>
        <w:t xml:space="preserve"> </w:t>
      </w:r>
      <w:r>
        <w:t xml:space="preserve">A Case Study</w:t>
      </w:r>
      <w:r>
        <w:t xml:space="preserve"> </w:t>
      </w:r>
      <w:r>
        <w:t xml:space="preserve">of the</w:t>
      </w:r>
      <w:r>
        <w:t xml:space="preserve"> </w:t>
      </w:r>
      <w:r>
        <w:t xml:space="preserve">Indian IT Industry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Applied Management and Investments</w:t>
      </w:r>
      <w:r>
        <w:t xml:space="preserve"> </w:t>
      </w:r>
      <w:r>
        <w:t xml:space="preserve">6 (1): 5–10.</w:t>
      </w:r>
    </w:p>
    <w:bookmarkEnd w:id="79"/>
    <w:bookmarkStart w:id="80" w:name="ref-deaton2009"/>
    <w:p>
      <w:pPr>
        <w:pStyle w:val="Bibliography"/>
      </w:pPr>
      <w:r>
        <w:t xml:space="preserve">Deaton, Angus, and Raksha Arora. 2009.</w:t>
      </w:r>
      <w:r>
        <w:t xml:space="preserve"> </w:t>
      </w:r>
      <w:r>
        <w:t xml:space="preserve">“Life at the Top:</w:t>
      </w:r>
      <w:r>
        <w:t xml:space="preserve"> </w:t>
      </w:r>
      <w:r>
        <w:t xml:space="preserve">The</w:t>
      </w:r>
      <w:r>
        <w:t xml:space="preserve"> </w:t>
      </w:r>
      <w:r>
        <w:t xml:space="preserve">Benefits of Height.”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7 (2): 133–36.</w:t>
      </w:r>
    </w:p>
    <w:bookmarkEnd w:id="80"/>
    <w:bookmarkStart w:id="82" w:name="ref-edwards2021"/>
    <w:p>
      <w:pPr>
        <w:pStyle w:val="Bibliography"/>
      </w:pPr>
      <w:r>
        <w:t xml:space="preserve">Edwards, Christina Hansen, Johan Håkon Bjørngaard, and Jonas Minet Kinge. 2021.</w:t>
      </w:r>
      <w:r>
        <w:t xml:space="preserve"> </w:t>
      </w:r>
      <w:r>
        <w:t xml:space="preserve">“</w:t>
      </w:r>
      <w:hyperlink r:id="rId81">
        <w:r>
          <w:rPr>
            <w:rStyle w:val="Hyperlink"/>
          </w:rPr>
          <w:t xml:space="preserve">The Relationship Between Body Mass Index and Income: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Genetic Variants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Instrumental Variables</w:t>
        </w:r>
      </w:hyperlink>
      <w:r>
        <w:t xml:space="preserve">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30 (8): 1933–49.</w:t>
      </w:r>
    </w:p>
    <w:bookmarkEnd w:id="82"/>
    <w:bookmarkStart w:id="83" w:name="ref-gould2016"/>
    <w:p>
      <w:pPr>
        <w:pStyle w:val="Bibliography"/>
      </w:pPr>
      <w:r>
        <w:t xml:space="preserve">Gould, Elise, Jessica Schieder, and Kathleen Geier. 2016.</w:t>
      </w:r>
      <w:r>
        <w:t xml:space="preserve"> </w:t>
      </w:r>
      <w:r>
        <w:t xml:space="preserve">“What Is the Gender Pay Gap and Is It Real?:</w:t>
      </w:r>
      <w:r>
        <w:t xml:space="preserve"> </w:t>
      </w:r>
      <w:r>
        <w:t xml:space="preserve">The</w:t>
      </w:r>
      <w:r>
        <w:t xml:space="preserve"> </w:t>
      </w:r>
      <w:r>
        <w:t xml:space="preserve">Complete Guide to How Women Are Paid Less Than Men and Why It Can&amp;#8217;t Be Explained Away.”</w:t>
      </w:r>
      <w:r>
        <w:t xml:space="preserve"> </w:t>
      </w:r>
      <w:r>
        <w:rPr>
          <w:iCs/>
          <w:i/>
        </w:rPr>
        <w:t xml:space="preserve">Economic Policy Institute</w:t>
      </w:r>
      <w:r>
        <w:t xml:space="preserve">. https://www.epi.org/publication/what-is-the-gender-pay-gap-and-is-it-real/.</w:t>
      </w:r>
    </w:p>
    <w:bookmarkEnd w:id="83"/>
    <w:bookmarkStart w:id="84" w:name="ref-han2009"/>
    <w:p>
      <w:pPr>
        <w:pStyle w:val="Bibliography"/>
      </w:pPr>
      <w:r>
        <w:t xml:space="preserve">Han, Euna, Edward C. Norton, and Sally C. Stearns. 2009.</w:t>
      </w:r>
      <w:r>
        <w:t xml:space="preserve"> </w:t>
      </w:r>
      <w:r>
        <w:t xml:space="preserve">“Weight and Wages: Fat Versus Lean Paychecks.”</w:t>
      </w:r>
      <w:r>
        <w:t xml:space="preserve"> </w:t>
      </w:r>
      <w:r>
        <w:rPr>
          <w:iCs/>
          <w:i/>
        </w:rPr>
        <w:t xml:space="preserve">Health Economics</w:t>
      </w:r>
      <w:r>
        <w:t xml:space="preserve"> </w:t>
      </w:r>
      <w:r>
        <w:t xml:space="preserve">18 (5): 535–48.</w:t>
      </w:r>
    </w:p>
    <w:bookmarkEnd w:id="84"/>
    <w:bookmarkStart w:id="85" w:name="ref-hejase2020"/>
    <w:p>
      <w:pPr>
        <w:pStyle w:val="Bibliography"/>
      </w:pPr>
      <w:r>
        <w:t xml:space="preserve">Hejase, Hussin J., and Ale J. Hejase. 2020.</w:t>
      </w:r>
      <w:r>
        <w:t xml:space="preserve"> </w:t>
      </w:r>
      <w:r>
        <w:t xml:space="preserve">“Gender</w:t>
      </w:r>
      <w:r>
        <w:t xml:space="preserve"> </w:t>
      </w:r>
      <w:r>
        <w:t xml:space="preserve">Discrimination</w:t>
      </w:r>
      <w:r>
        <w:t xml:space="preserve">:</w:t>
      </w:r>
      <w:r>
        <w:t xml:space="preserve"> </w:t>
      </w:r>
      <w:r>
        <w:t xml:space="preserve">The 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Economics and Economic Education Research</w:t>
      </w:r>
      <w:r>
        <w:t xml:space="preserve"> </w:t>
      </w:r>
      <w:r>
        <w:t xml:space="preserve">21 (1S): 1–4.</w:t>
      </w:r>
    </w:p>
    <w:bookmarkEnd w:id="85"/>
    <w:bookmarkStart w:id="86" w:name="ref-hildebrand2010"/>
    <w:p>
      <w:pPr>
        <w:pStyle w:val="Bibliography"/>
      </w:pPr>
      <w:r>
        <w:t xml:space="preserve">Hildebrand, Vincent, and Philippe Van Kerm. 2010.</w:t>
      </w:r>
      <w:r>
        <w:t xml:space="preserve"> </w:t>
      </w:r>
      <w:r>
        <w:t xml:space="preserve">“Body Size and Wages in</w:t>
      </w:r>
      <w:r>
        <w:t xml:space="preserve"> </w:t>
      </w:r>
      <w:r>
        <w:t xml:space="preserve">Europe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Semi-Parametric Analysis.”</w:t>
      </w:r>
    </w:p>
    <w:bookmarkEnd w:id="86"/>
    <w:bookmarkStart w:id="87" w:name="ref-hubler2015"/>
    <w:p>
      <w:pPr>
        <w:pStyle w:val="Bibliography"/>
      </w:pPr>
      <w:r>
        <w:t xml:space="preserve">Hübler, Olaf. 2015.</w:t>
      </w:r>
      <w:r>
        <w:t xml:space="preserve"> </w:t>
      </w:r>
      <w:r>
        <w:t xml:space="preserve">“Height and</w:t>
      </w:r>
      <w:r>
        <w:t xml:space="preserve"> </w:t>
      </w:r>
      <w:r>
        <w:t xml:space="preserve">Wages</w:t>
      </w:r>
      <w:r>
        <w:t xml:space="preserve">.”</w:t>
      </w:r>
      <w:r>
        <w:t xml:space="preserve"> </w:t>
      </w:r>
      <w:r>
        <w:t xml:space="preserve">In.</w:t>
      </w:r>
    </w:p>
    <w:bookmarkEnd w:id="87"/>
    <w:bookmarkStart w:id="88" w:name="ref-iii1996"/>
    <w:p>
      <w:pPr>
        <w:pStyle w:val="Bibliography"/>
      </w:pPr>
      <w:r>
        <w:t xml:space="preserve">Iii, William, and William Spriggs. 1996.</w:t>
      </w:r>
      <w:r>
        <w:t xml:space="preserve"> </w:t>
      </w:r>
      <w:r>
        <w:t xml:space="preserve">“What Does the</w:t>
      </w:r>
      <w:r>
        <w:t xml:space="preserve"> </w:t>
      </w:r>
      <w:r>
        <w:t xml:space="preserve">AFQT</w:t>
      </w:r>
      <w:r>
        <w:t xml:space="preserve"> </w:t>
      </w:r>
      <w:r>
        <w:t xml:space="preserve">Really Measure:</w:t>
      </w:r>
      <w:r>
        <w:t xml:space="preserve"> </w:t>
      </w:r>
      <w:r>
        <w:t xml:space="preserve">Race</w:t>
      </w:r>
      <w:r>
        <w:t xml:space="preserve">, Wages, Schooling and the</w:t>
      </w:r>
      <w:r>
        <w:t xml:space="preserve"> </w:t>
      </w:r>
      <w:r>
        <w:t xml:space="preserve">AFQT</w:t>
      </w:r>
      <w:r>
        <w:t xml:space="preserve"> </w:t>
      </w:r>
      <w:r>
        <w:t xml:space="preserve">Score.”</w:t>
      </w:r>
      <w:r>
        <w:t xml:space="preserve"> </w:t>
      </w:r>
      <w:r>
        <w:rPr>
          <w:iCs/>
          <w:i/>
        </w:rPr>
        <w:t xml:space="preserve">The Review of Black Political Economy</w:t>
      </w:r>
      <w:r>
        <w:t xml:space="preserve"> </w:t>
      </w:r>
      <w:r>
        <w:t xml:space="preserve">24 (June): 13–46.</w:t>
      </w:r>
    </w:p>
    <w:bookmarkEnd w:id="88"/>
    <w:bookmarkStart w:id="89" w:name="ref-kan2012"/>
    <w:p>
      <w:pPr>
        <w:pStyle w:val="Bibliography"/>
      </w:pPr>
      <w:r>
        <w:t xml:space="preserve">Kan, Kamhon, and Myoung-Jae Lee. 2012.</w:t>
      </w:r>
      <w:r>
        <w:t xml:space="preserve"> </w:t>
      </w:r>
      <w:r>
        <w:t xml:space="preserve">“Lose Weight for a Raise Only If Overweight:</w:t>
      </w:r>
      <w:r>
        <w:t xml:space="preserve"> </w:t>
      </w:r>
      <w:r>
        <w:t xml:space="preserve">Marginal</w:t>
      </w:r>
      <w:r>
        <w:t xml:space="preserve"> </w:t>
      </w:r>
      <w:r>
        <w:t xml:space="preserve">Integration for Semi-Linear Panel Models.”</w:t>
      </w:r>
      <w:r>
        <w:t xml:space="preserve"> </w:t>
      </w:r>
      <w:r>
        <w:rPr>
          <w:iCs/>
          <w:i/>
        </w:rPr>
        <w:t xml:space="preserve">Journal of Applied Econometrics</w:t>
      </w:r>
      <w:r>
        <w:t xml:space="preserve"> </w:t>
      </w:r>
      <w:r>
        <w:t xml:space="preserve">27 (4): 666–85.</w:t>
      </w:r>
    </w:p>
    <w:bookmarkEnd w:id="89"/>
    <w:bookmarkStart w:id="90" w:name="ref-kanarek2013"/>
    <w:p>
      <w:pPr>
        <w:pStyle w:val="Bibliography"/>
      </w:pPr>
      <w:r>
        <w:t xml:space="preserve">Kanarek, Jaret. 2013.</w:t>
      </w:r>
      <w:r>
        <w:t xml:space="preserve"> </w:t>
      </w:r>
      <w:r>
        <w:t xml:space="preserve">“Youth</w:t>
      </w:r>
      <w:r>
        <w:t xml:space="preserve"> </w:t>
      </w:r>
      <w:r>
        <w:t xml:space="preserve">Aptitude</w:t>
      </w:r>
      <w:r>
        <w:t xml:space="preserve"> </w:t>
      </w:r>
      <w:r>
        <w:t xml:space="preserve">as a</w:t>
      </w:r>
      <w:r>
        <w:t xml:space="preserve"> </w:t>
      </w:r>
      <w:r>
        <w:t xml:space="preserve">Predictor</w:t>
      </w:r>
      <w:r>
        <w:t xml:space="preserve"> </w:t>
      </w:r>
      <w:r>
        <w:t xml:space="preserve">of</w:t>
      </w:r>
      <w:r>
        <w:t xml:space="preserve"> </w:t>
      </w:r>
      <w:r>
        <w:t xml:space="preserve">Adulthood Income</w:t>
      </w:r>
      <w:r>
        <w:t xml:space="preserve"> </w:t>
      </w:r>
      <w:r>
        <w:t xml:space="preserve">-</w:t>
      </w:r>
      <w:r>
        <w:t xml:space="preserve"> </w:t>
      </w:r>
      <w:r>
        <w:t xml:space="preserve">CORE</w:t>
      </w:r>
      <w:r>
        <w:t xml:space="preserve">.”</w:t>
      </w:r>
      <w:r>
        <w:t xml:space="preserve"> </w:t>
      </w:r>
      <w:r>
        <w:rPr>
          <w:iCs/>
          <w:i/>
        </w:rPr>
        <w:t xml:space="preserve">Undergaduate Economic Review</w:t>
      </w:r>
      <w:r>
        <w:t xml:space="preserve">, 1st series, 10.</w:t>
      </w:r>
    </w:p>
    <w:bookmarkEnd w:id="90"/>
    <w:bookmarkStart w:id="91" w:name="ref-lee2017"/>
    <w:p>
      <w:pPr>
        <w:pStyle w:val="Bibliography"/>
      </w:pPr>
      <w:r>
        <w:t xml:space="preserve">Lee, Wang-Sheng. 2017.</w:t>
      </w:r>
      <w:r>
        <w:t xml:space="preserve"> </w:t>
      </w:r>
      <w:r>
        <w:t xml:space="preserve">“Big and Tall:</w:t>
      </w:r>
      <w:r>
        <w:t xml:space="preserve"> </w:t>
      </w:r>
      <w:r>
        <w:t xml:space="preserve">Does</w:t>
      </w:r>
      <w:r>
        <w:t xml:space="preserve"> </w:t>
      </w:r>
      <w:r>
        <w:t xml:space="preserve">a Height Premium Dwarf an Obesity Penalty in the Labor Market?”</w:t>
      </w:r>
      <w:r>
        <w:t xml:space="preserve"> </w:t>
      </w:r>
      <w:r>
        <w:rPr>
          <w:iCs/>
          <w:i/>
        </w:rPr>
        <w:t xml:space="preserve">Economics &amp; Human Biology</w:t>
      </w:r>
      <w:r>
        <w:t xml:space="preserve"> </w:t>
      </w:r>
      <w:r>
        <w:t xml:space="preserve">27 (November): 289–304.</w:t>
      </w:r>
    </w:p>
    <w:bookmarkEnd w:id="91"/>
    <w:bookmarkStart w:id="92" w:name="ref-medoff1980"/>
    <w:p>
      <w:pPr>
        <w:pStyle w:val="Bibliography"/>
      </w:pPr>
      <w:r>
        <w:t xml:space="preserve">Medoff, James L., and Katharine G. Abraham. 1980.</w:t>
      </w:r>
      <w:r>
        <w:t xml:space="preserve"> </w:t>
      </w:r>
      <w:r>
        <w:t xml:space="preserve">“Experience,</w:t>
      </w:r>
      <w:r>
        <w:t xml:space="preserve"> </w:t>
      </w:r>
      <w:r>
        <w:t xml:space="preserve">Performance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The Quarterly Journal of Economics</w:t>
      </w:r>
      <w:r>
        <w:t xml:space="preserve"> </w:t>
      </w:r>
      <w:r>
        <w:t xml:space="preserve">95 (4): 703–36.</w:t>
      </w:r>
    </w:p>
    <w:bookmarkEnd w:id="92"/>
    <w:bookmarkStart w:id="93" w:name="ref-mincer1974"/>
    <w:p>
      <w:pPr>
        <w:pStyle w:val="Bibliography"/>
      </w:pPr>
      <w:r>
        <w:t xml:space="preserve">Mincer, Jacob A. 1974.</w:t>
      </w:r>
      <w:r>
        <w:t xml:space="preserve"> </w:t>
      </w:r>
      <w:r>
        <w:t xml:space="preserve">“Schooling,</w:t>
      </w:r>
      <w:r>
        <w:t xml:space="preserve"> </w:t>
      </w:r>
      <w:r>
        <w:t xml:space="preserve">Experience</w:t>
      </w:r>
      <w:r>
        <w:t xml:space="preserve">, and</w:t>
      </w:r>
      <w:r>
        <w:t xml:space="preserve"> </w:t>
      </w:r>
      <w:r>
        <w:t xml:space="preserve">Earnings</w:t>
      </w:r>
      <w:r>
        <w:t xml:space="preserve">.”</w:t>
      </w:r>
      <w:r>
        <w:t xml:space="preserve"> </w:t>
      </w:r>
      <w:r>
        <w:rPr>
          <w:iCs/>
          <w:i/>
        </w:rPr>
        <w:t xml:space="preserve">NBER Books</w:t>
      </w:r>
      <w:r>
        <w:t xml:space="preserve">.</w:t>
      </w:r>
    </w:p>
    <w:bookmarkEnd w:id="93"/>
    <w:bookmarkStart w:id="94" w:name="ref-mitchell2020"/>
    <w:p>
      <w:pPr>
        <w:pStyle w:val="Bibliography"/>
      </w:pPr>
      <w:r>
        <w:t xml:space="preserve">Mitchell, Travis. 2020.</w:t>
      </w:r>
      <w:r>
        <w:t xml:space="preserve"> </w:t>
      </w:r>
      <w:r>
        <w:t xml:space="preserve">“2.</w:t>
      </w:r>
      <w:r>
        <w:t xml:space="preserve"> </w:t>
      </w:r>
      <w:r>
        <w:t xml:space="preserve">Women</w:t>
      </w:r>
      <w:r>
        <w:t xml:space="preserve">’s Lead in Skills and Education Is Helping Narrow the Gender Wage Gap.”</w:t>
      </w:r>
      <w:r>
        <w:t xml:space="preserve"> </w:t>
      </w:r>
      <w:r>
        <w:rPr>
          <w:iCs/>
          <w:i/>
        </w:rPr>
        <w:t xml:space="preserve">Pew Research Center’s Social &amp; Demographic Trends Project</w:t>
      </w:r>
      <w:r>
        <w:t xml:space="preserve">.</w:t>
      </w:r>
    </w:p>
    <w:bookmarkEnd w:id="94"/>
    <w:bookmarkStart w:id="95" w:name="ref-nls2023"/>
    <w:p>
      <w:pPr>
        <w:pStyle w:val="Bibliography"/>
      </w:pPr>
      <w:r>
        <w:t xml:space="preserve">NLS. 2023.</w:t>
      </w:r>
      <w:r>
        <w:t xml:space="preserve"> </w:t>
      </w:r>
      <w:r>
        <w:t xml:space="preserve">“Aptitude,</w:t>
      </w:r>
      <w:r>
        <w:t xml:space="preserve"> </w:t>
      </w:r>
      <w:r>
        <w:t xml:space="preserve">Achievement</w:t>
      </w:r>
      <w:r>
        <w:t xml:space="preserve"> </w:t>
      </w:r>
      <w:r>
        <w:t xml:space="preserve">&amp;</w:t>
      </w:r>
      <w:r>
        <w:t xml:space="preserve"> </w:t>
      </w:r>
      <w:r>
        <w:t xml:space="preserve">Intelligence Scores</w:t>
      </w:r>
      <w:r>
        <w:t xml:space="preserve"> </w:t>
      </w:r>
      <w:r>
        <w:t xml:space="preserve">|</w:t>
      </w:r>
      <w:r>
        <w:t xml:space="preserve"> </w:t>
      </w:r>
      <w:r>
        <w:t xml:space="preserve">National Longitudinal Surveys</w:t>
      </w:r>
      <w:r>
        <w:t xml:space="preserve">.”</w:t>
      </w:r>
      <w:r>
        <w:t xml:space="preserve"> </w:t>
      </w:r>
      <w:r>
        <w:t xml:space="preserve">https://www.nlsinfo.org/content/cohorts/nlsy79/topical-guide/education/aptitude-achievement-intelligence-scores.</w:t>
      </w:r>
    </w:p>
    <w:bookmarkEnd w:id="95"/>
    <w:bookmarkStart w:id="96" w:name="ref-nyirongo"/>
    <w:p>
      <w:pPr>
        <w:pStyle w:val="Bibliography"/>
      </w:pPr>
      <w:r>
        <w:t xml:space="preserve">Nyirongo, Venge. n.d.</w:t>
      </w:r>
      <w:r>
        <w:t xml:space="preserve"> </w:t>
      </w:r>
      <w:r>
        <w:t xml:space="preserve">“Tackling</w:t>
      </w:r>
      <w:r>
        <w:t xml:space="preserve"> </w:t>
      </w:r>
      <w:r>
        <w:t xml:space="preserve">Discriminatory Labour Practices</w:t>
      </w:r>
      <w:r>
        <w:t xml:space="preserve">,</w:t>
      </w:r>
      <w:r>
        <w:t xml:space="preserve"> </w:t>
      </w:r>
      <w:r>
        <w:t xml:space="preserve">Labour Market Segmentation</w:t>
      </w:r>
      <w:r>
        <w:t xml:space="preserve"> </w:t>
      </w:r>
      <w:r>
        <w:t xml:space="preserve">and</w:t>
      </w:r>
      <w:r>
        <w:t xml:space="preserve"> </w:t>
      </w:r>
      <w:r>
        <w:t xml:space="preserve">Gender Pay Gaps</w:t>
      </w:r>
      <w:r>
        <w:t xml:space="preserve">.”</w:t>
      </w:r>
    </w:p>
    <w:bookmarkEnd w:id="96"/>
    <w:bookmarkStart w:id="97" w:name="ref-ochsenfeld2016"/>
    <w:p>
      <w:pPr>
        <w:pStyle w:val="Bibliography"/>
      </w:pPr>
      <w:r>
        <w:t xml:space="preserve">Ochsenfeld, Fabian. 2016.</w:t>
      </w:r>
      <w:r>
        <w:t xml:space="preserve"> </w:t>
      </w:r>
      <w:r>
        <w:t xml:space="preserve">“The</w:t>
      </w:r>
      <w:r>
        <w:t xml:space="preserve"> </w:t>
      </w:r>
      <w:r>
        <w:t xml:space="preserve">Gender Income Gap</w:t>
      </w:r>
      <w:r>
        <w:t xml:space="preserve"> </w:t>
      </w:r>
      <w:r>
        <w:t xml:space="preserve">and the</w:t>
      </w:r>
      <w:r>
        <w:t xml:space="preserve"> </w:t>
      </w:r>
      <w:r>
        <w:t xml:space="preserve">Roles</w:t>
      </w:r>
      <w:r>
        <w:t xml:space="preserve"> </w:t>
      </w:r>
      <w:r>
        <w:t xml:space="preserve">of</w:t>
      </w:r>
      <w:r>
        <w:t xml:space="preserve"> </w:t>
      </w:r>
      <w:r>
        <w:t xml:space="preserve">Education</w:t>
      </w:r>
      <w:r>
        <w:t xml:space="preserve"> </w:t>
      </w:r>
      <w:r>
        <w:t xml:space="preserve">and</w:t>
      </w:r>
      <w:r>
        <w:t xml:space="preserve"> </w:t>
      </w:r>
      <w:r>
        <w:t xml:space="preserve">Family Formation</w:t>
      </w:r>
      <w:r>
        <w:t xml:space="preserve">:</w:t>
      </w:r>
      <w:r>
        <w:t xml:space="preserve"> </w:t>
      </w:r>
      <w:r>
        <w:t xml:space="preserve">A Scientific Replication</w:t>
      </w:r>
      <w:r>
        <w:t xml:space="preserve"> </w:t>
      </w:r>
      <w:r>
        <w:t xml:space="preserve">of</w:t>
      </w:r>
      <w:r>
        <w:t xml:space="preserve"> </w:t>
      </w:r>
      <w:r>
        <w:t xml:space="preserve">Bobbitt-Zeher</w:t>
      </w:r>
      <w:r>
        <w:t xml:space="preserve"> </w:t>
      </w:r>
      <w:r>
        <w:t xml:space="preserve">(2007).”</w:t>
      </w:r>
      <w:r>
        <w:t xml:space="preserve"> </w:t>
      </w:r>
      <w:r>
        <w:t xml:space="preserve">{{SSRN Scholarly Paper}}.</w:t>
      </w:r>
      <w:r>
        <w:t xml:space="preserve"> </w:t>
      </w:r>
      <w:r>
        <w:t xml:space="preserve">Rochester, NY</w:t>
      </w:r>
      <w:r>
        <w:t xml:space="preserve">.</w:t>
      </w:r>
    </w:p>
    <w:bookmarkEnd w:id="97"/>
    <w:bookmarkStart w:id="98" w:name="ref-on-the-economy-blog2020"/>
    <w:p>
      <w:pPr>
        <w:pStyle w:val="Bibliography"/>
      </w:pPr>
      <w:r>
        <w:t xml:space="preserve">On-The-Economy-Blog. 2020.</w:t>
      </w:r>
      <w:r>
        <w:t xml:space="preserve"> </w:t>
      </w:r>
      <w:r>
        <w:t xml:space="preserve">“Taking a</w:t>
      </w:r>
      <w:r>
        <w:t xml:space="preserve"> </w:t>
      </w:r>
      <w:r>
        <w:t xml:space="preserve">Closer Look</w:t>
      </w:r>
      <w:r>
        <w:t xml:space="preserve"> </w:t>
      </w:r>
      <w:r>
        <w:t xml:space="preserve">at</w:t>
      </w:r>
      <w:r>
        <w:t xml:space="preserve"> </w:t>
      </w:r>
      <w:r>
        <w:t xml:space="preserve">Marital Status</w:t>
      </w:r>
      <w:r>
        <w:t xml:space="preserve"> </w:t>
      </w:r>
      <w:r>
        <w:t xml:space="preserve">and the</w:t>
      </w:r>
      <w:r>
        <w:t xml:space="preserve"> </w:t>
      </w:r>
      <w:r>
        <w:t xml:space="preserve">Earnings Gap</w:t>
      </w:r>
      <w:r>
        <w:t xml:space="preserve">.”</w:t>
      </w:r>
      <w:r>
        <w:t xml:space="preserve"> </w:t>
      </w:r>
      <w:r>
        <w:t xml:space="preserve">https://www.stlouisfed.org/on-the-economy/2020/september/taking-closer-look-marital-status-earnings-gap.</w:t>
      </w:r>
    </w:p>
    <w:bookmarkEnd w:id="98"/>
    <w:bookmarkStart w:id="99" w:name="ref-petersen1995"/>
    <w:p>
      <w:pPr>
        <w:pStyle w:val="Bibliography"/>
      </w:pPr>
      <w:r>
        <w:t xml:space="preserve">Petersen, Trond, and Laurie A. Morgan. 1995.</w:t>
      </w:r>
      <w:r>
        <w:t xml:space="preserve"> </w:t>
      </w:r>
      <w:r>
        <w:t xml:space="preserve">“Separate and</w:t>
      </w:r>
      <w:r>
        <w:t xml:space="preserve"> </w:t>
      </w:r>
      <w:r>
        <w:t xml:space="preserve">Unequal</w:t>
      </w:r>
      <w:r>
        <w:t xml:space="preserve">:</w:t>
      </w:r>
      <w:r>
        <w:t xml:space="preserve"> </w:t>
      </w:r>
      <w:r>
        <w:t xml:space="preserve">Occupation-Establishment Sex Segregation</w:t>
      </w:r>
      <w:r>
        <w:t xml:space="preserve"> </w:t>
      </w:r>
      <w:r>
        <w:t xml:space="preserve">and the</w:t>
      </w:r>
      <w:r>
        <w:t xml:space="preserve"> </w:t>
      </w:r>
      <w:r>
        <w:t xml:space="preserve">Gender Wage Gap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 </w:t>
      </w:r>
      <w:r>
        <w:t xml:space="preserve">101 (2): 329–65.</w:t>
      </w:r>
    </w:p>
    <w:bookmarkEnd w:id="99"/>
    <w:bookmarkStart w:id="100" w:name="ref-published2009"/>
    <w:p>
      <w:pPr>
        <w:pStyle w:val="Bibliography"/>
      </w:pPr>
      <w:r>
        <w:t xml:space="preserve">published, Robert Roy Britt. 2009.</w:t>
      </w:r>
      <w:r>
        <w:t xml:space="preserve"> </w:t>
      </w:r>
      <w:r>
        <w:t xml:space="preserve">“Taller</w:t>
      </w:r>
      <w:r>
        <w:t xml:space="preserve"> </w:t>
      </w:r>
      <w:r>
        <w:t xml:space="preserve">People Earn More Money</w:t>
      </w:r>
      <w:r>
        <w:t xml:space="preserve">.”</w:t>
      </w:r>
      <w:r>
        <w:t xml:space="preserve"> </w:t>
      </w:r>
      <w:r>
        <w:rPr>
          <w:iCs/>
          <w:i/>
        </w:rPr>
        <w:t xml:space="preserve">Livescience.com</w:t>
      </w:r>
      <w:r>
        <w:t xml:space="preserve">. https://www.livescience.com/5552-taller-people-earn-money.html.</w:t>
      </w:r>
    </w:p>
    <w:bookmarkEnd w:id="100"/>
    <w:bookmarkStart w:id="102" w:name="ref-Rcore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0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2"/>
    <w:bookmarkStart w:id="103" w:name="ref-santossilva2021"/>
    <w:p>
      <w:pPr>
        <w:pStyle w:val="Bibliography"/>
      </w:pPr>
      <w:r>
        <w:t xml:space="preserve">Santos Silva, Manuel, and Stephan Klasen. 2021.</w:t>
      </w:r>
      <w:r>
        <w:t xml:space="preserve"> </w:t>
      </w:r>
      <w:r>
        <w:t xml:space="preserve">“Gender Inequality as a Barrier to Economic Growth: A Review of the Theoretical Literature.”</w:t>
      </w:r>
      <w:r>
        <w:t xml:space="preserve"> </w:t>
      </w:r>
      <w:r>
        <w:rPr>
          <w:iCs/>
          <w:i/>
        </w:rPr>
        <w:t xml:space="preserve">Review of Economics of the Household</w:t>
      </w:r>
      <w:r>
        <w:t xml:space="preserve"> </w:t>
      </w:r>
      <w:r>
        <w:t xml:space="preserve">19 (3): 581–614.</w:t>
      </w:r>
    </w:p>
    <w:bookmarkEnd w:id="103"/>
    <w:bookmarkStart w:id="104" w:name="ref-sargent1994"/>
    <w:p>
      <w:pPr>
        <w:pStyle w:val="Bibliography"/>
      </w:pPr>
      <w:r>
        <w:t xml:space="preserve">Sargent, James D., and David G. Blanchflower. 1994.</w:t>
      </w:r>
      <w:r>
        <w:t xml:space="preserve"> </w:t>
      </w:r>
      <w:r>
        <w:t xml:space="preserve">“Obesity and</w:t>
      </w:r>
      <w:r>
        <w:t xml:space="preserve"> </w:t>
      </w:r>
      <w:r>
        <w:t xml:space="preserve">Stature</w:t>
      </w:r>
      <w:r>
        <w:t xml:space="preserve"> </w:t>
      </w:r>
      <w:r>
        <w:t xml:space="preserve">in</w:t>
      </w:r>
      <w:r>
        <w:t xml:space="preserve"> </w:t>
      </w:r>
      <w:r>
        <w:t xml:space="preserve">Adolescence</w:t>
      </w:r>
      <w:r>
        <w:t xml:space="preserve"> </w:t>
      </w:r>
      <w:r>
        <w:t xml:space="preserve">and</w:t>
      </w:r>
      <w:r>
        <w:t xml:space="preserve"> </w:t>
      </w:r>
      <w:r>
        <w:t xml:space="preserve">Earnings</w:t>
      </w:r>
      <w:r>
        <w:t xml:space="preserve"> </w:t>
      </w:r>
      <w:r>
        <w:t xml:space="preserve">in</w:t>
      </w:r>
      <w:r>
        <w:t xml:space="preserve"> </w:t>
      </w:r>
      <w:r>
        <w:t xml:space="preserve">Young Adulthood</w:t>
      </w:r>
      <w:r>
        <w:t xml:space="preserve">:</w:t>
      </w:r>
      <w:r>
        <w:t xml:space="preserve"> </w:t>
      </w:r>
      <w:r>
        <w:t xml:space="preserve">Analysis</w:t>
      </w:r>
      <w:r>
        <w:t xml:space="preserve"> </w:t>
      </w:r>
      <w:r>
        <w:t xml:space="preserve">of a</w:t>
      </w:r>
      <w:r>
        <w:t xml:space="preserve"> </w:t>
      </w:r>
      <w:r>
        <w:t xml:space="preserve">British Birth Cohort</w:t>
      </w:r>
      <w:r>
        <w:t xml:space="preserve">.”</w:t>
      </w:r>
      <w:r>
        <w:t xml:space="preserve"> </w:t>
      </w:r>
      <w:r>
        <w:rPr>
          <w:iCs/>
          <w:i/>
        </w:rPr>
        <w:t xml:space="preserve">Archives of Pediatrics &amp; Adolescent Medicine</w:t>
      </w:r>
      <w:r>
        <w:t xml:space="preserve"> </w:t>
      </w:r>
      <w:r>
        <w:t xml:space="preserve">148 (7): 681–87.</w:t>
      </w:r>
    </w:p>
    <w:bookmarkEnd w:id="104"/>
    <w:bookmarkStart w:id="105" w:name="ref-zotero-1832"/>
    <w:p>
      <w:pPr>
        <w:pStyle w:val="Bibliography"/>
      </w:pPr>
      <w:r>
        <w:t xml:space="preserve">“The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Obesity</w:t>
      </w:r>
      <w:r>
        <w:t xml:space="preserve"> </w:t>
      </w:r>
      <w:r>
        <w:t xml:space="preserve">on</w:t>
      </w:r>
      <w:r>
        <w:t xml:space="preserve"> </w:t>
      </w:r>
      <w:r>
        <w:t xml:space="preserve">Wages</w:t>
      </w:r>
      <w:r>
        <w:t xml:space="preserve"> </w:t>
      </w:r>
      <w:r>
        <w:t xml:space="preserve">|</w:t>
      </w:r>
      <w:r>
        <w:t xml:space="preserve"> </w:t>
      </w:r>
      <w:r>
        <w:t xml:space="preserve">Journal</w:t>
      </w:r>
      <w:r>
        <w:t xml:space="preserve"> </w:t>
      </w:r>
      <w:r>
        <w:t xml:space="preserve">of</w:t>
      </w:r>
      <w:r>
        <w:t xml:space="preserve"> </w:t>
      </w:r>
      <w:r>
        <w:t xml:space="preserve">Human Resources</w:t>
      </w:r>
      <w:r>
        <w:t xml:space="preserve">.”</w:t>
      </w:r>
      <w:r>
        <w:t xml:space="preserve"> </w:t>
      </w:r>
      <w:r>
        <w:t xml:space="preserve">n.d. https://jhr.uwpress.org/content/XXXIX/2/451.short. Accessed October 6, 2023.</w:t>
      </w:r>
    </w:p>
    <w:bookmarkEnd w:id="105"/>
    <w:bookmarkStart w:id="106" w:name="ref-zotero-1833"/>
    <w:p>
      <w:pPr>
        <w:pStyle w:val="Bibliography"/>
      </w:pPr>
      <w:r>
        <w:t xml:space="preserve">“The Wage Effects of Obesity: A Longitudinal Study -</w:t>
      </w:r>
      <w:r>
        <w:t xml:space="preserve"> </w:t>
      </w:r>
      <w:r>
        <w:t xml:space="preserve">Baum</w:t>
      </w:r>
      <w:r>
        <w:t xml:space="preserve"> </w:t>
      </w:r>
      <w:r>
        <w:t xml:space="preserve">- 2004 -</w:t>
      </w:r>
      <w:r>
        <w:t xml:space="preserve"> </w:t>
      </w:r>
      <w:r>
        <w:t xml:space="preserve">Health Economics</w:t>
      </w:r>
      <w:r>
        <w:t xml:space="preserve"> </w:t>
      </w:r>
      <w:r>
        <w:t xml:space="preserve">-</w:t>
      </w:r>
      <w:r>
        <w:t xml:space="preserve"> </w:t>
      </w:r>
      <w:r>
        <w:t xml:space="preserve">Wiley Online Library</w:t>
      </w:r>
      <w:r>
        <w:t xml:space="preserve">.”</w:t>
      </w:r>
      <w:r>
        <w:t xml:space="preserve"> </w:t>
      </w:r>
      <w:r>
        <w:t xml:space="preserve">n.d. https://onlinelibrary.wiley.com/doi/abs/10.1002/hec.881. Accessed October 6, 2023.</w:t>
      </w:r>
    </w:p>
    <w:bookmarkEnd w:id="106"/>
    <w:bookmarkStart w:id="107" w:name="ref-vandenbroucke"/>
    <w:p>
      <w:pPr>
        <w:pStyle w:val="Bibliography"/>
      </w:pPr>
      <w:r>
        <w:t xml:space="preserve">Vandenbroucke, Guillaume. n.d.</w:t>
      </w:r>
      <w:r>
        <w:t xml:space="preserve"> </w:t>
      </w:r>
      <w:r>
        <w:t xml:space="preserve">“Married</w:t>
      </w:r>
      <w:r>
        <w:t xml:space="preserve"> </w:t>
      </w:r>
      <w:r>
        <w:t xml:space="preserve">Men Sit Atop</w:t>
      </w:r>
      <w:r>
        <w:t xml:space="preserve"> </w:t>
      </w:r>
      <w:r>
        <w:t xml:space="preserve">the</w:t>
      </w:r>
      <w:r>
        <w:t xml:space="preserve"> </w:t>
      </w:r>
      <w:r>
        <w:t xml:space="preserve">Wage Ladder</w:t>
      </w:r>
      <w:r>
        <w:t xml:space="preserve">.”</w:t>
      </w:r>
      <w:r>
        <w:t xml:space="preserve"> </w:t>
      </w:r>
      <w:r>
        <w:t xml:space="preserve">https://research.stlouisfed.org/publications/economic-synopses/2018/09/14/married-men-sit-atop-the-wage-ladder. Accessed October 6, 2023.</w:t>
      </w:r>
    </w:p>
    <w:bookmarkEnd w:id="107"/>
    <w:bookmarkStart w:id="109" w:name="ref-modelr"/>
    <w:p>
      <w:pPr>
        <w:pStyle w:val="Bibliography"/>
      </w:pPr>
      <w:r>
        <w:t xml:space="preserve">Wickham, Hadley. 2020.</w:t>
      </w:r>
      <w:r>
        <w:t xml:space="preserve"> </w:t>
      </w:r>
      <w:r>
        <w:rPr>
          <w:iCs/>
          <w:i/>
        </w:rPr>
        <w:t xml:space="preserve">Modelr: Modelling Functions That Work with the Pipe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https://CRAN.R-project.org/package=modelr</w:t>
        </w:r>
      </w:hyperlink>
      <w:r>
        <w:t xml:space="preserve">.</w:t>
      </w:r>
    </w:p>
    <w:bookmarkEnd w:id="109"/>
    <w:bookmarkStart w:id="110" w:name="ref-wolfinger2019"/>
    <w:p>
      <w:pPr>
        <w:pStyle w:val="Bibliography"/>
      </w:pPr>
      <w:r>
        <w:t xml:space="preserve">Wolfinger, Nicholas H. 2019.</w:t>
      </w:r>
      <w:r>
        <w:t xml:space="preserve"> </w:t>
      </w:r>
      <w:r>
        <w:t xml:space="preserve">“Can</w:t>
      </w:r>
      <w:r>
        <w:t xml:space="preserve"> </w:t>
      </w:r>
      <w:r>
        <w:t xml:space="preserve">Intelligence Predict Income</w:t>
      </w:r>
      <w:r>
        <w:t xml:space="preserve">?”</w:t>
      </w:r>
      <w:r>
        <w:t xml:space="preserve"> </w:t>
      </w:r>
      <w:r>
        <w:rPr>
          <w:iCs/>
          <w:i/>
        </w:rPr>
        <w:t xml:space="preserve">Institute for Family Studies</w:t>
      </w:r>
      <w:r>
        <w:t xml:space="preserve">. https://ifstudies.org/blog/can-intelligence-predict-income.</w:t>
      </w:r>
    </w:p>
    <w:bookmarkEnd w:id="110"/>
    <w:bookmarkStart w:id="111" w:name="ref-zagorsky2007"/>
    <w:p>
      <w:pPr>
        <w:pStyle w:val="Bibliography"/>
      </w:pPr>
      <w:r>
        <w:t xml:space="preserve">Zagorsky, Jay L. 2007.</w:t>
      </w:r>
      <w:r>
        <w:t xml:space="preserve"> </w:t>
      </w:r>
      <w:r>
        <w:t xml:space="preserve">“Do You Have to Be Smart to Be Rich?</w:t>
      </w:r>
      <w:r>
        <w:t xml:space="preserve"> </w:t>
      </w:r>
      <w:r>
        <w:t xml:space="preserve">The</w:t>
      </w:r>
      <w:r>
        <w:t xml:space="preserve"> </w:t>
      </w:r>
      <w:r>
        <w:t xml:space="preserve">Impact of</w:t>
      </w:r>
      <w:r>
        <w:t xml:space="preserve"> </w:t>
      </w:r>
      <w:r>
        <w:t xml:space="preserve">IQ</w:t>
      </w:r>
      <w:r>
        <w:t xml:space="preserve"> </w:t>
      </w:r>
      <w:r>
        <w:t xml:space="preserve">on Wealth, Income and Financial Distress.”</w:t>
      </w:r>
      <w:r>
        <w:t xml:space="preserve"> </w:t>
      </w:r>
      <w:r>
        <w:rPr>
          <w:iCs/>
          <w:i/>
        </w:rPr>
        <w:t xml:space="preserve">Intelligence</w:t>
      </w:r>
      <w:r>
        <w:t xml:space="preserve"> </w:t>
      </w:r>
      <w:r>
        <w:t xml:space="preserve">35 (5): 489–501.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CRAN.R-project.org/package=modelr" TargetMode="External" /><Relationship Type="http://schemas.openxmlformats.org/officeDocument/2006/relationships/hyperlink" Id="rId101" Target="https://www.R-project.org/" TargetMode="External" /><Relationship Type="http://schemas.openxmlformats.org/officeDocument/2006/relationships/hyperlink" Id="rId70" Target="https://www.ncbi.nlm.nih.gov/pmc/articles/PMC6585973" TargetMode="External" /><Relationship Type="http://schemas.openxmlformats.org/officeDocument/2006/relationships/hyperlink" Id="rId81" Target="https://www.ncbi.nlm.nih.gov/pubmed/339935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/>
  <cp:keywords/>
  <dcterms:created xsi:type="dcterms:W3CDTF">2023-10-11T11:17:33Z</dcterms:created>
  <dcterms:modified xsi:type="dcterms:W3CDTF">2023-10-11T11:17:33Z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f_print">
    <vt:lpwstr>tibble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anguage">
    <vt:lpwstr>nb.yml</vt:lpwstr>
  </property>
  <property fmtid="{D5CDD505-2E9C-101B-9397-08002B2CF9AE}" pid="11" name="toc-title">
    <vt:lpwstr>Innholdsfortegnelse</vt:lpwstr>
  </property>
</Properties>
</file>