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9.png" ContentType="image/pn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bookmarkStart w:id="37" w:name="oppgaven"/>
    <w:p>
      <w:pPr>
        <w:pStyle w:val="Heading1"/>
      </w:pPr>
      <w:r>
        <w:t xml:space="preserve">1.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Litteraturgjennomgang.</w:t>
      </w:r>
    </w:p>
    <w:p>
      <w:pPr>
        <w:numPr>
          <w:ilvl w:val="1"/>
          <w:numId w:val="1002"/>
        </w:numPr>
        <w:pStyle w:val="Compact"/>
      </w:pPr>
      <w:r>
        <w:t xml:space="preserve">Hva sier litteraturen om sammenhengen mellom:</w:t>
      </w:r>
    </w:p>
    <w:p>
      <w:pPr>
        <w:numPr>
          <w:ilvl w:val="2"/>
          <w:numId w:val="1003"/>
        </w:numPr>
        <w:pStyle w:val="Compact"/>
      </w:pPr>
      <w:r>
        <w:t xml:space="preserve">lønn og høyde</w:t>
      </w:r>
    </w:p>
    <w:p>
      <w:pPr>
        <w:numPr>
          <w:ilvl w:val="2"/>
          <w:numId w:val="1003"/>
        </w:numPr>
        <w:pStyle w:val="Compact"/>
      </w:pPr>
      <w:r>
        <w:t xml:space="preserve">lønn og bmi</w:t>
      </w:r>
    </w:p>
    <w:p>
      <w:pPr>
        <w:numPr>
          <w:ilvl w:val="2"/>
          <w:numId w:val="1003"/>
        </w:numPr>
        <w:pStyle w:val="Compact"/>
      </w:pPr>
      <w:r>
        <w:t xml:space="preserve">lønn og sivilstatus (gift/ugift)</w:t>
      </w:r>
    </w:p>
    <w:p>
      <w:pPr>
        <w:numPr>
          <w:ilvl w:val="2"/>
          <w:numId w:val="1003"/>
        </w:numPr>
        <w:pStyle w:val="Compact"/>
      </w:pPr>
      <w:r>
        <w:t xml:space="preserve">lønn og utdanning</w:t>
      </w:r>
    </w:p>
    <w:p>
      <w:pPr>
        <w:numPr>
          <w:ilvl w:val="2"/>
          <w:numId w:val="1003"/>
        </w:numPr>
        <w:pStyle w:val="Compact"/>
      </w:pPr>
      <w:r>
        <w:t xml:space="preserve">lønn og kjønn</w:t>
      </w:r>
    </w:p>
    <w:p>
      <w:pPr>
        <w:numPr>
          <w:ilvl w:val="0"/>
          <w:numId w:val="1001"/>
        </w:numPr>
        <w:pStyle w:val="Compact"/>
      </w:pPr>
      <w:r>
        <w:t xml:space="preserve">Utfør en «EDA» av datasettet heights med utgangspunkt i forklaringsvariablene høyde, bmi, sivilstatus, utdanning og kjønn.</w:t>
      </w:r>
    </w:p>
    <w:p>
      <w:pPr>
        <w:numPr>
          <w:ilvl w:val="1"/>
          <w:numId w:val="1004"/>
        </w:numPr>
        <w:pStyle w:val="Compact"/>
      </w:pPr>
      <w:r>
        <w:t xml:space="preserve">Bruk tabeller for deskreptiv statistikk</w:t>
      </w:r>
    </w:p>
    <w:p>
      <w:pPr>
        <w:numPr>
          <w:ilvl w:val="2"/>
          <w:numId w:val="1005"/>
        </w:numPr>
        <w:pStyle w:val="Compact"/>
      </w:pPr>
      <w:r>
        <w:t xml:space="preserve">Bruk label og caption (forklarende tekst) for tabellene</w:t>
      </w:r>
    </w:p>
    <w:p>
      <w:pPr>
        <w:numPr>
          <w:ilvl w:val="2"/>
          <w:numId w:val="1005"/>
        </w:numPr>
        <w:pStyle w:val="Compact"/>
      </w:pPr>
      <w:r>
        <w:t xml:space="preserve">Når tabellen diskuteres i tekst, benytt kryssreferanser (vha. label satt vha. «hash-pipen» #| label: tbl-EtEllerAnnet)</w:t>
      </w:r>
    </w:p>
    <w:p>
      <w:pPr>
        <w:numPr>
          <w:ilvl w:val="2"/>
          <w:numId w:val="1005"/>
        </w:numPr>
        <w:pStyle w:val="Compact"/>
      </w:pPr>
      <w:r>
        <w:t xml:space="preserve">Med utgangspunkt i tabellen generert vha. av funksjonen</w:t>
      </w:r>
      <w:r>
        <w:t xml:space="preserve"> </w:t>
      </w:r>
      <w:r>
        <w:rPr>
          <w:rStyle w:val="VerbatimChar"/>
        </w:rPr>
        <w:t xml:space="preserve">vtable::st()</w:t>
      </w:r>
      <w:r>
        <w:t xml:space="preserve"> </w:t>
      </w:r>
      <w:r>
        <w:t xml:space="preserve">i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. Lag tilsvarende tabeller for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pipe-en):</w:t>
      </w:r>
    </w:p>
    <w:p>
      <w:pPr>
        <w:numPr>
          <w:ilvl w:val="3"/>
          <w:numId w:val="1006"/>
        </w:numPr>
        <w:pStyle w:val="Compact"/>
      </w:pPr>
      <w:r>
        <w:t xml:space="preserve">Ingen inntekt (heightsZeroInc)</w:t>
      </w:r>
    </w:p>
    <w:p>
      <w:pPr>
        <w:numPr>
          <w:ilvl w:val="3"/>
          <w:numId w:val="1006"/>
        </w:numPr>
        <w:pStyle w:val="Compact"/>
      </w:pPr>
      <w:r>
        <w:t xml:space="preserve">Normal inntekt (heightsNormInc)</w:t>
      </w:r>
    </w:p>
    <w:p>
      <w:pPr>
        <w:numPr>
          <w:ilvl w:val="3"/>
          <w:numId w:val="1006"/>
        </w:numPr>
        <w:pStyle w:val="Compact"/>
      </w:pPr>
      <w:r>
        <w:t xml:space="preserve">Høy inntekt (heightsHighInc)</w:t>
      </w:r>
    </w:p>
    <w:p>
      <w:pPr>
        <w:numPr>
          <w:ilvl w:val="4"/>
          <w:numId w:val="1007"/>
        </w:numPr>
        <w:pStyle w:val="Compact"/>
      </w:pPr>
      <w:r>
        <w:t xml:space="preserve">Diskuter forskjellen mellom de tre inntektsgruppene (null inntekt, normal inntekt og høy inntekt)</w:t>
      </w:r>
    </w:p>
    <w:p>
      <w:pPr>
        <w:numPr>
          <w:ilvl w:val="2"/>
          <w:numId w:val="1005"/>
        </w:numPr>
        <w:pStyle w:val="Compact"/>
      </w:pPr>
      <w:r>
        <w:t xml:space="preserve">Splitt så datasettet også mht. kjønn,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 i koden fra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) dvs. lag tilsvarende tabeller for</w:t>
      </w:r>
    </w:p>
    <w:p>
      <w:pPr>
        <w:numPr>
          <w:ilvl w:val="3"/>
          <w:numId w:val="1008"/>
        </w:numPr>
        <w:pStyle w:val="Compact"/>
      </w:pPr>
      <w:r>
        <w:t xml:space="preserve">Menn med inntekt 0</w:t>
      </w:r>
    </w:p>
    <w:p>
      <w:pPr>
        <w:numPr>
          <w:ilvl w:val="3"/>
          <w:numId w:val="1008"/>
        </w:numPr>
        <w:pStyle w:val="Compact"/>
      </w:pPr>
      <w:r>
        <w:t xml:space="preserve">Kvinner med inntekt 0</w:t>
      </w:r>
    </w:p>
    <w:p>
      <w:pPr>
        <w:numPr>
          <w:ilvl w:val="3"/>
          <w:numId w:val="1008"/>
        </w:numPr>
        <w:pStyle w:val="Compact"/>
      </w:pPr>
      <w:r>
        <w:t xml:space="preserve">Menn med normal inntekt</w:t>
      </w:r>
    </w:p>
    <w:p>
      <w:pPr>
        <w:numPr>
          <w:ilvl w:val="3"/>
          <w:numId w:val="1008"/>
        </w:numPr>
        <w:pStyle w:val="Compact"/>
      </w:pPr>
      <w:r>
        <w:t xml:space="preserve">Kvinner med normal inntekt</w:t>
      </w:r>
    </w:p>
    <w:p>
      <w:pPr>
        <w:numPr>
          <w:ilvl w:val="3"/>
          <w:numId w:val="1008"/>
        </w:numPr>
        <w:pStyle w:val="Compact"/>
      </w:pPr>
      <w:r>
        <w:t xml:space="preserve">Menn med høy inntekt</w:t>
      </w:r>
    </w:p>
    <w:p>
      <w:pPr>
        <w:numPr>
          <w:ilvl w:val="3"/>
          <w:numId w:val="1008"/>
        </w:numPr>
        <w:pStyle w:val="Compact"/>
      </w:pPr>
      <w:r>
        <w:t xml:space="preserve">Kvinner med høy inntekt</w:t>
      </w:r>
    </w:p>
    <w:p>
      <w:pPr>
        <w:numPr>
          <w:ilvl w:val="4"/>
          <w:numId w:val="1009"/>
        </w:numPr>
        <w:pStyle w:val="Compact"/>
      </w:pPr>
      <w:r>
        <w:t xml:space="preserve">Diskuter forskjellene mellom disse seks gruppene.</w:t>
      </w:r>
    </w:p>
    <w:p>
      <w:pPr>
        <w:numPr>
          <w:ilvl w:val="2"/>
          <w:numId w:val="1005"/>
        </w:numPr>
        <w:pStyle w:val="Compact"/>
      </w:pPr>
      <w:r>
        <w:t xml:space="preserve">For datasettet</w:t>
      </w:r>
      <w:r>
        <w:t xml:space="preserve"> </w:t>
      </w:r>
      <w:r>
        <w:rPr>
          <w:iCs/>
          <w:i/>
        </w:rPr>
        <w:t xml:space="preserve">normal inntekt</w:t>
      </w:r>
    </w:p>
    <w:p>
      <w:pPr>
        <w:numPr>
          <w:ilvl w:val="3"/>
          <w:numId w:val="1010"/>
        </w:numPr>
        <w:pStyle w:val="Compact"/>
      </w:pPr>
      <w:r>
        <w:t xml:space="preserve">Er det noen interessante sammenhenger mht. noen av de andre variablene?</w:t>
      </w:r>
    </w:p>
    <w:p>
      <w:pPr>
        <w:numPr>
          <w:ilvl w:val="3"/>
          <w:numId w:val="1010"/>
        </w:numPr>
        <w:pStyle w:val="Compact"/>
      </w:pPr>
      <w:r>
        <w:t xml:space="preserve">Diskuter eventuelle funn</w:t>
      </w:r>
    </w:p>
    <w:p>
      <w:pPr>
        <w:numPr>
          <w:ilvl w:val="2"/>
          <w:numId w:val="1005"/>
        </w:numPr>
        <w:pStyle w:val="Compact"/>
      </w:pPr>
      <w:r>
        <w:t xml:space="preserve">Diskuter om det som fremkommer fra den deskreptive statistikken dere har generert ovenfor samsvar med funn i literaturen.</w:t>
      </w:r>
    </w:p>
    <w:p>
      <w:pPr>
        <w:numPr>
          <w:ilvl w:val="1"/>
          <w:numId w:val="1004"/>
        </w:numPr>
        <w:pStyle w:val="Compact"/>
      </w:pPr>
      <w:r>
        <w:t xml:space="preserve">Generer grafikk vha.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numPr>
          <w:ilvl w:val="2"/>
          <w:numId w:val="1011"/>
        </w:numPr>
        <w:pStyle w:val="Compact"/>
      </w:pPr>
      <w:r>
        <w:t xml:space="preserve">Se koden 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og lag et tilsvarende plot men for normale inntekteter</w:t>
      </w:r>
    </w:p>
    <w:p>
      <w:pPr>
        <w:numPr>
          <w:ilvl w:val="2"/>
          <w:numId w:val="1011"/>
        </w:numPr>
        <w:pStyle w:val="Compact"/>
      </w:pPr>
      <w:r>
        <w:t xml:space="preserve">Bruke farge for å angi kjønn for punktene</w:t>
      </w:r>
    </w:p>
    <w:p>
      <w:pPr>
        <w:numPr>
          <w:ilvl w:val="2"/>
          <w:numId w:val="1011"/>
        </w:numPr>
        <w:pStyle w:val="Compact"/>
      </w:pPr>
      <w:r>
        <w:t xml:space="preserve">Legg inn regresjonslinjer for hele datasettet og for menn og kvinner separat.</w:t>
      </w:r>
    </w:p>
    <w:p>
      <w:pPr>
        <w:numPr>
          <w:ilvl w:val="3"/>
          <w:numId w:val="1012"/>
        </w:numPr>
        <w:pStyle w:val="Compact"/>
      </w:pPr>
      <w:r>
        <w:t xml:space="preserve">Diskuter hva plotet viser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 </w:t>
      </w:r>
      <w:r>
        <w:t xml:space="preserve">for å undersøke fordelingen til enkelt-variabler.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eller tilsvarende for å undersøke korrelasjon mellom relevante variabler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for nærmere undersøkelse av sammenhengen mellom variabler.</w:t>
      </w:r>
    </w:p>
    <w:p>
      <w:pPr>
        <w:numPr>
          <w:ilvl w:val="1"/>
          <w:numId w:val="1004"/>
        </w:numPr>
        <w:pStyle w:val="Compact"/>
      </w:pPr>
      <w:r>
        <w:t xml:space="preserve">Dere vil finne flere eksempler som bruker dette datasettet i «slidene»</w:t>
      </w:r>
      <w:r>
        <w:t xml:space="preserve"> </w:t>
      </w:r>
      <w:hyperlink r:id="rId20">
        <w:r>
          <w:rPr>
            <w:rStyle w:val="Hyperlink"/>
          </w:rPr>
          <w:t xml:space="preserve">Exploratory Data Analysis (EDA)</w:t>
        </w:r>
      </w:hyperlink>
      <w:r>
        <w:t xml:space="preserve">. - Disse kan fungere som et utgangspunkt, men dere må også finne egne måter (tabeller/plots) for å studere dataene.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1"/>
          <w:numId w:val="1013"/>
        </w:numPr>
        <w:pStyle w:val="Compact"/>
      </w:pPr>
      <w:r>
        <w:t xml:space="preserve">Er det virkelig høyde som bestemmer inntekt, eller har EDA-en avslørt at andre variabler kan spille en rolle.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Mot slutten av dette dokumentet vil dere finne litt innledene kode for å hjelpe dere igang.</w:t>
      </w:r>
    </w:p>
    <w:bookmarkStart w:id="21" w:name="arbeidsform"/>
    <w:p>
      <w:pPr>
        <w:pStyle w:val="Heading3"/>
      </w:pPr>
      <w:r>
        <w:t xml:space="preserve">1.0.1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21"/>
    <w:bookmarkStart w:id="28" w:name="levering"/>
    <w:p>
      <w:pPr>
        <w:pStyle w:val="Heading3"/>
      </w:pPr>
      <w:r>
        <w:t xml:space="preserve">1.0.2 Levering</w:t>
      </w:r>
    </w:p>
    <w:p>
      <w:pPr>
        <w:pStyle w:val="FirstParagraph"/>
      </w:pPr>
      <w:r>
        <w:t xml:space="preserve">Når dere er ferdig inviterer dere meg (agjest) inn i repo-et.</w:t>
      </w:r>
    </w:p>
    <w:p>
      <w:pPr>
        <w:pStyle w:val="CaptionedFigure"/>
      </w:pPr>
      <w:r>
        <w:drawing>
          <wp:inline>
            <wp:extent cx="5334000" cy="1336392"/>
            <wp:effectExtent b="0" l="0" r="0" t="0"/>
            <wp:docPr descr="Settings" title="" id="23" name="Picture"/>
            <a:graphic>
              <a:graphicData uri="http://schemas.openxmlformats.org/drawingml/2006/picture">
                <pic:pic>
                  <pic:nvPicPr>
                    <pic:cNvPr descr="setting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Settings</w:t>
      </w:r>
    </w:p>
    <w:p>
      <w:pPr>
        <w:pStyle w:val="CaptionedFigure"/>
      </w:pPr>
      <w:r>
        <w:drawing>
          <wp:inline>
            <wp:extent cx="5334000" cy="3103914"/>
            <wp:effectExtent b="0" l="0" r="0" t="0"/>
            <wp:docPr descr="Collaborators" title="" id="26" name="Picture"/>
            <a:graphic>
              <a:graphicData uri="http://schemas.openxmlformats.org/drawingml/2006/picture">
                <pic:pic>
                  <pic:nvPicPr>
                    <pic:cNvPr descr="collaborator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Collaborators</w:t>
      </w:r>
    </w:p>
    <w:p>
      <w:pPr>
        <w:pStyle w:val="BodyText"/>
      </w:pPr>
      <w:r>
        <w:t xml:space="preserve">Jeg vil så:</w:t>
      </w:r>
    </w:p>
    <w:p>
      <w:pPr>
        <w:numPr>
          <w:ilvl w:val="0"/>
          <w:numId w:val="1014"/>
        </w:numPr>
        <w:pStyle w:val="Compact"/>
      </w:pPr>
      <w:r>
        <w:t xml:space="preserve">Lage en «fork» og så gjøre en «pull»,</w:t>
      </w:r>
    </w:p>
    <w:p>
      <w:pPr>
        <w:numPr>
          <w:ilvl w:val="0"/>
          <w:numId w:val="1014"/>
        </w:numPr>
        <w:pStyle w:val="Compact"/>
      </w:pPr>
      <w:r>
        <w:t xml:space="preserve">lage en ny gren</w:t>
      </w:r>
      <w:r>
        <w:t xml:space="preserve"> </w:t>
      </w:r>
      <w:r>
        <w:rPr>
          <w:rStyle w:val="VerbatimChar"/>
        </w:rPr>
        <w:t xml:space="preserve">ag,</w:t>
      </w:r>
    </w:p>
    <w:p>
      <w:pPr>
        <w:numPr>
          <w:ilvl w:val="0"/>
          <w:numId w:val="1014"/>
        </w:numPr>
        <w:pStyle w:val="Compact"/>
      </w:pPr>
      <w:r>
        <w:t xml:space="preserve">gjøre eventuelle «fix» for å få dokumentet til å kjøre</w:t>
      </w:r>
    </w:p>
    <w:p>
      <w:pPr>
        <w:numPr>
          <w:ilvl w:val="1"/>
          <w:numId w:val="1015"/>
        </w:numPr>
        <w:pStyle w:val="Compact"/>
      </w:pPr>
      <w:r>
        <w:t xml:space="preserve">dokumentet bør være reproduserbart i utgangspunktet</w:t>
      </w:r>
    </w:p>
    <w:p>
      <w:pPr>
        <w:numPr>
          <w:ilvl w:val="0"/>
          <w:numId w:val="1014"/>
        </w:numPr>
        <w:pStyle w:val="Compact"/>
      </w:pPr>
      <w:r>
        <w:t xml:space="preserve">foreslå eventuelle endringer og forbedringer</w:t>
      </w:r>
    </w:p>
    <w:p>
      <w:pPr>
        <w:numPr>
          <w:ilvl w:val="0"/>
          <w:numId w:val="1014"/>
        </w:numPr>
        <w:pStyle w:val="Compact"/>
      </w:pPr>
      <w:r>
        <w:t xml:space="preserve">opprette et nytt dokument</w:t>
      </w:r>
      <w:r>
        <w:t xml:space="preserve"> </w:t>
      </w:r>
      <w:r>
        <w:rPr>
          <w:rStyle w:val="VerbatimChar"/>
        </w:rPr>
        <w:t xml:space="preserve">ag_comments.qmd</w:t>
      </w:r>
      <w:r>
        <w:t xml:space="preserve"> </w:t>
      </w:r>
      <w:r>
        <w:t xml:space="preserve">med mer generelle kommentarer</w:t>
      </w:r>
    </w:p>
    <w:p>
      <w:pPr>
        <w:pStyle w:val="FirstParagraph"/>
      </w:pPr>
      <w:r>
        <w:t xml:space="preserve">Dette vil jeg gjøre tilgjengelig som en «pull request» på Github.</w:t>
      </w:r>
      <w:r>
        <w:t xml:space="preserve"> </w:t>
      </w:r>
      <w:r>
        <w:t xml:space="preserve">Dere kan da se hva jeg forslår og eventuelt akseptere mine endringer.</w:t>
      </w:r>
    </w:p>
    <w:bookmarkEnd w:id="28"/>
    <w:bookmarkStart w:id="35" w:name="X78a8b49ef9974f001acbb280b2629fad3573939"/>
    <w:p>
      <w:pPr>
        <w:pStyle w:val="Heading2"/>
      </w:pPr>
      <w:r>
        <w:t xml:space="preserve">1.1 Her er noe litteratur som kan være et utgangspunkt:</w:t>
      </w:r>
    </w:p>
    <w:bookmarkStart w:id="29" w:name="Xb70dc73c7eb7c27de8c8d585f870f8c6875ed77"/>
    <w:p>
      <w:pPr>
        <w:pStyle w:val="Heading3"/>
      </w:pPr>
      <w:r>
        <w:t xml:space="preserve">1.1.1 Sammenhengen mellom inntekt og høyde og mellom inntekt og utdanning</w:t>
      </w:r>
    </w:p>
    <w:p>
      <w:pPr>
        <w:pStyle w:val="FirstParagraph"/>
      </w:pPr>
      <w:r>
        <w:t xml:space="preserve">Bureau (u.å.)</w:t>
      </w:r>
      <w:r>
        <w:t xml:space="preserve">;</w:t>
      </w:r>
      <w:r>
        <w:t xml:space="preserve"> </w:t>
      </w:r>
      <w:r>
        <w:t xml:space="preserve">Case og Paxson (2008)</w:t>
      </w:r>
      <w:r>
        <w:t xml:space="preserve">;</w:t>
      </w:r>
      <w:r>
        <w:t xml:space="preserve"> </w:t>
      </w:r>
      <w:r>
        <w:t xml:space="preserve">Case, Paxson, og Islam (2009)</w:t>
      </w:r>
      <w:r>
        <w:t xml:space="preserve">;</w:t>
      </w:r>
      <w:r>
        <w:t xml:space="preserve"> </w:t>
      </w:r>
      <w:r>
        <w:t xml:space="preserve">Deaton og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29"/>
    <w:bookmarkStart w:id="30" w:name="sammenhengen-mellom-inntekt-og-kjønn"/>
    <w:p>
      <w:pPr>
        <w:pStyle w:val="Heading3"/>
      </w:pPr>
      <w:r>
        <w:t xml:space="preserve">1.1.2 Sammenhengen mellom inntekt og kjønn</w:t>
      </w:r>
    </w:p>
    <w:p>
      <w:pPr>
        <w:pStyle w:val="FirstParagraph"/>
      </w:pPr>
      <w:r>
        <w:t xml:space="preserve">Aragão (u.å.)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(u.å.)</w:t>
      </w:r>
      <w:r>
        <w:t xml:space="preserve">;</w:t>
      </w:r>
      <w:r>
        <w:t xml:space="preserve"> </w:t>
      </w:r>
      <w:r>
        <w:t xml:space="preserve">Card, Cardoso, og Kline (2016)</w:t>
      </w:r>
      <w:r>
        <w:t xml:space="preserve">;</w:t>
      </w:r>
      <w:r>
        <w:t xml:space="preserve"> </w:t>
      </w:r>
      <w:r>
        <w:t xml:space="preserve">Hejase og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(u.å.)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og Morgan (1995)</w:t>
      </w:r>
      <w:r>
        <w:t xml:space="preserve">;</w:t>
      </w:r>
      <w:r>
        <w:t xml:space="preserve"> </w:t>
      </w:r>
      <w:r>
        <w:t xml:space="preserve">Santos Silva og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og Geier (2016)</w:t>
      </w:r>
      <w:r>
        <w:t xml:space="preserve">.</w:t>
      </w:r>
    </w:p>
    <w:bookmarkEnd w:id="30"/>
    <w:bookmarkStart w:id="31" w:name="X370ee0d45a00cf7f6a214c891966e31b48f6bca"/>
    <w:p>
      <w:pPr>
        <w:pStyle w:val="Heading3"/>
      </w:pPr>
      <w:r>
        <w:t xml:space="preserve">1.1.3 Sammenhengen mellom inntekt og ansiennitet (alder):</w:t>
      </w:r>
    </w:p>
    <w:p>
      <w:pPr>
        <w:pStyle w:val="FirstParagraph"/>
      </w:pPr>
      <w:r>
        <w:t xml:space="preserve">Medoff og Abraham (1980)</w:t>
      </w:r>
      <w:r>
        <w:t xml:space="preserve">,</w:t>
      </w:r>
      <w:r>
        <w:t xml:space="preserve"> </w:t>
      </w:r>
      <w:r>
        <w:t xml:space="preserve">Dash, Bakshi, og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31"/>
    <w:bookmarkStart w:id="32" w:name="sammenhengen-inntekt-og-evnenivå-afqt"/>
    <w:p>
      <w:pPr>
        <w:pStyle w:val="Heading3"/>
      </w:pPr>
      <w:r>
        <w:t xml:space="preserve">1.1.4 Sammenhengen inntekt og evnenivå (afqt):</w:t>
      </w:r>
    </w:p>
    <w:p>
      <w:pPr>
        <w:pStyle w:val="FirstParagraph"/>
      </w:pP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og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og Spriggs (1996)</w:t>
      </w:r>
    </w:p>
    <w:bookmarkEnd w:id="32"/>
    <w:bookmarkStart w:id="33" w:name="X9f9e3b37d98dd525ed54dfba789aaa68e74428e"/>
    <w:p>
      <w:pPr>
        <w:pStyle w:val="Heading3"/>
      </w:pPr>
      <w:r>
        <w:t xml:space="preserve">1.1.5 Sammenhengen mellom inntekt og sivilstand (gift/ugift ):</w:t>
      </w:r>
    </w:p>
    <w:p>
      <w:pPr>
        <w:pStyle w:val="FirstParagraph"/>
      </w:pP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(u.å.)</w:t>
      </w:r>
      <w:r>
        <w:t xml:space="preserve"> </w:t>
      </w:r>
      <w:r>
        <w:t xml:space="preserve">og</w:t>
      </w:r>
      <w:r>
        <w:t xml:space="preserve"> </w:t>
      </w:r>
      <w:r>
        <w:t xml:space="preserve">Case og Paxson (2008)</w:t>
      </w:r>
    </w:p>
    <w:bookmarkEnd w:id="33"/>
    <w:bookmarkStart w:id="34" w:name="X2d97970beb84bfc8f30f0fef13b6f5824dda4ae"/>
    <w:p>
      <w:pPr>
        <w:pStyle w:val="Heading3"/>
      </w:pPr>
      <w:r>
        <w:t xml:space="preserve">1.1.6 Sammenheng mellom inntekt og bmi (body mass index):</w:t>
      </w:r>
    </w:p>
    <w:p>
      <w:pPr>
        <w:pStyle w:val="FirstParagraph"/>
      </w:pPr>
      <w:r>
        <w:t xml:space="preserve">Böckerman mfl. (2019)</w:t>
      </w:r>
      <w:r>
        <w:t xml:space="preserve">;</w:t>
      </w:r>
      <w:r>
        <w:t xml:space="preserve"> </w:t>
      </w:r>
      <w:r>
        <w:t xml:space="preserve">Caliendo og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og Minet Kinge (2021)</w:t>
      </w:r>
      <w:r>
        <w:t xml:space="preserve">;</w:t>
      </w:r>
      <w:r>
        <w:t xml:space="preserve"> </w:t>
      </w:r>
      <w:r>
        <w:t xml:space="preserve">Han, Norton, og Stearns (2009)</w:t>
      </w:r>
      <w:r>
        <w:t xml:space="preserve">;</w:t>
      </w:r>
      <w:r>
        <w:t xml:space="preserve"> </w:t>
      </w:r>
      <w:r>
        <w:t xml:space="preserve">Hildebrand og Kerm (2010)</w:t>
      </w:r>
      <w:r>
        <w:t xml:space="preserve">;</w:t>
      </w:r>
      <w:r>
        <w:t xml:space="preserve"> </w:t>
      </w:r>
      <w:r>
        <w:t xml:space="preserve">Kan og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og Blanchflower (1994)</w:t>
      </w:r>
      <w:r>
        <w:t xml:space="preserve">;</w:t>
      </w:r>
      <w:r>
        <w:t xml:space="preserve"> </w:t>
      </w: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 </w:t>
      </w:r>
      <w:r>
        <w:t xml:space="preserve">(u.å.)</w:t>
      </w:r>
      <w:r>
        <w:t xml:space="preserve"> </w:t>
      </w:r>
      <w:r>
        <w:t xml:space="preserve">og</w:t>
      </w:r>
      <w:r>
        <w:t xml:space="preserve"> </w:t>
      </w: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 </w:t>
      </w:r>
      <w:r>
        <w:t xml:space="preserve">(u.å.)</w:t>
      </w:r>
    </w:p>
    <w:bookmarkEnd w:id="34"/>
    <w:bookmarkEnd w:id="35"/>
    <w:bookmarkStart w:id="36" w:name="beskrivelse-av-data"/>
    <w:p>
      <w:pPr>
        <w:pStyle w:val="Heading2"/>
      </w:pPr>
      <w:r>
        <w:t xml:space="preserve">1.2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36"/>
    <w:bookmarkEnd w:id="37"/>
    <w:bookmarkStart w:id="119" w:name="kode"/>
    <w:p>
      <w:pPr>
        <w:pStyle w:val="Heading1"/>
      </w:pPr>
      <w:r>
        <w:t xml:space="preserve">2. Kode</w:t>
      </w:r>
    </w:p>
    <w:p>
      <w:pPr>
        <w:pStyle w:val="FirstParagraph"/>
      </w:pPr>
      <w:r>
        <w:t xml:space="preserve">Koden i</w:t>
      </w:r>
      <w:r>
        <w:t xml:space="preserve"> </w:t>
      </w:r>
      <w:hyperlink w:anchor="lst-read-in-data">
        <w:r>
          <w:rPr>
            <w:rStyle w:val="Hyperlink"/>
          </w:rPr>
          <w:t xml:space="preserve">Liste 1</w:t>
        </w:r>
      </w:hyperlink>
      <w:r>
        <w:t xml:space="preserve"> </w:t>
      </w:r>
      <w:r>
        <w:t xml:space="preserve">er kode som samtlige grupper bør kjøre rett etter setup chunk-en slik at vi jobber med samme data og har samme variabelnavn.</w:t>
      </w:r>
      <w:r>
        <w:t xml:space="preserve"> </w:t>
      </w:r>
      <w:r>
        <w:t xml:space="preserve">Merk bruken av «hash-pipene»</w:t>
      </w:r>
      <w:r>
        <w:t xml:space="preserve"> </w:t>
      </w:r>
      <w:r>
        <w:rPr>
          <w:rStyle w:val="VerbatimChar"/>
        </w:rPr>
        <w:t xml:space="preserve">lst-label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lst-cap</w:t>
      </w:r>
      <w:r>
        <w:t xml:space="preserve"> </w:t>
      </w:r>
      <w:r>
        <w:t xml:space="preserve">som gjør det mulig å ha kryssreferanser til kode-listinger og også «caption» på en kode-listing.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read-i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Kode for å lese inn data og definere noen nye variabler.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lst-read-in-data</w:t>
            </w:r>
            <w:r>
              <w:br/>
            </w:r>
            <w:r>
              <w:rPr>
                <w:rStyle w:val="InformationTok"/>
              </w:rPr>
              <w:t xml:space="preserve">#| lst-cap: "Kode for å lese inn data og definere noen nye variabler."</w:t>
            </w:r>
            <w:r>
              <w:br/>
            </w:r>
            <w:r>
              <w:rPr>
                <w:rStyle w:val="InformationTok"/>
              </w:rPr>
              <w:t xml:space="preserve">heights &lt;- modelr::heights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),</w:t>
            </w:r>
            <w:r>
              <w:br/>
            </w:r>
            <w:r>
              <w:rPr>
                <w:rStyle w:val="InformationTok"/>
              </w:rPr>
              <w:t xml:space="preserve">    edu_fac = cut(</w:t>
            </w:r>
            <w:r>
              <w:br/>
            </w:r>
            <w:r>
              <w:rPr>
                <w:rStyle w:val="InformationTok"/>
              </w:rPr>
              <w:t xml:space="preserve">      x = education,</w:t>
            </w:r>
            <w:r>
              <w:br/>
            </w:r>
            <w:r>
              <w:rPr>
                <w:rStyle w:val="InformationTok"/>
              </w:rPr>
              <w:t xml:space="preserve">      breaks = c(0, 12, 14, 16, 21),</w:t>
            </w:r>
            <w:r>
              <w:br/>
            </w:r>
            <w:r>
              <w:rPr>
                <w:rStyle w:val="InformationTok"/>
              </w:rPr>
              <w:t xml:space="preserve">      labels = c("not_hs", "not_cc", "not_col", "col_plus"),</w:t>
            </w:r>
            <w:r>
              <w:br/>
            </w:r>
            <w:r>
              <w:rPr>
                <w:rStyle w:val="InformationTok"/>
              </w:rPr>
              <w:t xml:space="preserve">      right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|&gt; </w:t>
            </w:r>
            <w:r>
              <w:br/>
            </w:r>
            <w:r>
              <w:rPr>
                <w:rStyle w:val="InformationTok"/>
              </w:rPr>
              <w:t xml:space="preserve">  # reorganiserer data s.a. de fire faktor-variablerne kommer</w:t>
            </w:r>
            <w:r>
              <w:br/>
            </w:r>
            <w:r>
              <w:rPr>
                <w:rStyle w:val="InformationTok"/>
              </w:rPr>
              <w:t xml:space="preserve">  # lengst til høyre</w:t>
            </w:r>
            <w:r>
              <w:br/>
            </w:r>
            <w:r>
              <w:rPr>
                <w:rStyle w:val="InformationTok"/>
              </w:rPr>
              <w:t xml:space="preserve">  select(income:age, education:bmi, everything()) |&gt;</w:t>
            </w:r>
            <w:r>
              <w:br/>
            </w:r>
            <w:r>
              <w:rPr>
                <w:rStyle w:val="InformationTok"/>
              </w:rPr>
              <w:t xml:space="preserve">  # Dropper marital og education siden disse ikke skal brukes</w:t>
            </w:r>
            <w:r>
              <w:br/>
            </w:r>
            <w:r>
              <w:rPr>
                <w:rStyle w:val="InformationTok"/>
              </w:rPr>
              <w:t xml:space="preserve">  select(-education, -marital)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Inntekt lik 0</w:t>
            </w:r>
            <w:r>
              <w:br/>
            </w:r>
            <w:r>
              <w:rPr>
                <w:rStyle w:val="InformationTok"/>
              </w:rPr>
              <w:t xml:space="preserve">heightsZeroInc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0)</w:t>
            </w:r>
            <w:r>
              <w:br/>
            </w:r>
            <w:r>
              <w:rPr>
                <w:rStyle w:val="InformationTok"/>
              </w:rPr>
              <w:t xml:space="preserve"># «Normal» inntekt</w:t>
            </w:r>
            <w:r>
              <w:br/>
            </w:r>
            <w:r>
              <w:rPr>
                <w:rStyle w:val="InformationTok"/>
              </w:rPr>
              <w:t xml:space="preserve">heightsNormInc &lt;- heights |&gt; </w:t>
            </w:r>
            <w:r>
              <w:br/>
            </w:r>
            <w:r>
              <w:rPr>
                <w:rStyle w:val="InformationTok"/>
              </w:rPr>
              <w:t xml:space="preserve">  filter(income &gt; 0 &amp; income &lt; 343830)</w:t>
            </w:r>
            <w:r>
              <w:br/>
            </w:r>
            <w:r>
              <w:rPr>
                <w:rStyle w:val="InformationTok"/>
              </w:rPr>
              <w:t xml:space="preserve">heightsHighInc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343830)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38"/>
        </w:tc>
      </w:tr>
    </w:tbl>
    <w:bookmarkStart w:id="48" w:name="gjennomgang-av-koden"/>
    <w:p>
      <w:pPr>
        <w:pStyle w:val="Heading2"/>
      </w:pPr>
      <w:r>
        <w:t xml:space="preserve">2.1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kombinert med 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pakken..</w:t>
      </w:r>
      <w:r>
        <w:t xml:space="preserve"> </w:t>
      </w:r>
      <w:r>
        <w:t xml:space="preserve">Sjekk også kode fra «slidene» i</w:t>
      </w:r>
      <w:r>
        <w:t xml:space="preserve"> </w:t>
      </w:r>
      <w:hyperlink r:id="rId39">
        <w:r>
          <w:rPr>
            <w:rStyle w:val="Hyperlink"/>
          </w:rPr>
          <w:t xml:space="preserve">msb104.netlify.app</w:t>
        </w:r>
      </w:hyperlink>
      <w:r>
        <w:t xml:space="preserve"> </w:t>
      </w:r>
      <w:r>
        <w:t xml:space="preserve">for hvordan man kan generere tabeller vha.</w:t>
      </w:r>
      <w:r>
        <w:t xml:space="preserve"> </w:t>
      </w:r>
      <w:r>
        <w:t xml:space="preserve">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p>
      <w:pPr>
        <w:pStyle w:val="SourceCode"/>
      </w:pPr>
      <w:r>
        <w:rPr>
          <w:rStyle w:val="NormalTok"/>
        </w:rPr>
        <w:t xml:space="preserve">heights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for å generere deskreptive statistikk for hele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lst-heights-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Kode for å generere deskreptiv-statistikk tabell vha. funksjonene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as_flextable()</w:t>
            </w:r>
            <w:r>
              <w:t xml:space="preserve">. Merk bruken av «hash pipes». Her setter vi label og caption for både kode-listing og resulterende tabell. Hvis det var en figur vi genererte ville vi byttet ut</w:t>
            </w:r>
            <w:r>
              <w:t xml:space="preserve"> </w:t>
            </w:r>
            <w:r>
              <w:rPr>
                <w:rStyle w:val="VerbatimChar"/>
              </w:rPr>
              <w:t xml:space="preserve">tbl-</w:t>
            </w:r>
            <w:r>
              <w:t xml:space="preserve"> </w:t>
            </w:r>
            <w:r>
              <w:t xml:space="preserve">med</w:t>
            </w:r>
            <w:r>
              <w:t xml:space="preserve"> </w:t>
            </w:r>
            <w:r>
              <w:rPr>
                <w:rStyle w:val="VerbatimChar"/>
              </w:rPr>
              <w:t xml:space="preserve">fig-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tbl-desc-stat</w:t>
            </w:r>
            <w:r>
              <w:br/>
            </w:r>
            <w:r>
              <w:rPr>
                <w:rStyle w:val="InformationTok"/>
              </w:rPr>
              <w:t xml:space="preserve">#| tbl-cap: "Deskreptiv statistikk for datasettet `modelr::heights`."</w:t>
            </w:r>
            <w:r>
              <w:br/>
            </w:r>
            <w:r>
              <w:rPr>
                <w:rStyle w:val="InformationTok"/>
              </w:rPr>
              <w:t xml:space="preserve">#| lst-label: lst-heights-st</w:t>
            </w:r>
            <w:r>
              <w:br/>
            </w:r>
            <w:r>
              <w:rPr>
                <w:rStyle w:val="InformationTok"/>
              </w:rPr>
              <w:t xml:space="preserve">#| lst-cap: "Kode for å generere deskreptiv-statistikk tabell vha. funksjonene</w:t>
            </w:r>
            <w:r>
              <w:br/>
            </w:r>
            <w:r>
              <w:rPr>
                <w:rStyle w:val="InformationTok"/>
              </w:rPr>
              <w:t xml:space="preserve">#| `st()` og `as_flextable()`. Merk bruken av «hash pipes». Her setter vi</w:t>
            </w:r>
            <w:r>
              <w:br/>
            </w:r>
            <w:r>
              <w:rPr>
                <w:rStyle w:val="InformationTok"/>
              </w:rPr>
              <w:t xml:space="preserve">#| label og caption for både kode-listing og resulterende tabell. Hvis</w:t>
            </w:r>
            <w:r>
              <w:br/>
            </w:r>
            <w:r>
              <w:rPr>
                <w:rStyle w:val="InformationTok"/>
              </w:rPr>
              <w:t xml:space="preserve">#| det var en figur vi genererte ville vi byttet ut `tbl-` med `fig-`."</w:t>
            </w:r>
            <w:r>
              <w:br/>
            </w:r>
            <w:r>
              <w:rPr>
                <w:rStyle w:val="InformationTok"/>
              </w:rPr>
              <w:t xml:space="preserve">heights |&gt; </w:t>
            </w:r>
            <w:r>
              <w:br/>
            </w:r>
            <w:r>
              <w:rPr>
                <w:rStyle w:val="InformationTok"/>
              </w:rPr>
              <w:t xml:space="preserve">  st(out = "return") |&gt; </w:t>
            </w:r>
            <w:r>
              <w:br/>
            </w:r>
            <w:r>
              <w:rPr>
                <w:rStyle w:val="InformationTok"/>
              </w:rPr>
              <w:t xml:space="preserve">  as_flextable(max_row = 20) |&gt; </w:t>
            </w:r>
            <w:r>
              <w:br/>
            </w:r>
            <w:r>
              <w:rPr>
                <w:rStyle w:val="InformationTok"/>
              </w:rPr>
              <w:t xml:space="preserve">  line_spacing(space = 0.3, part = "all") |&gt; </w:t>
            </w:r>
            <w:r>
              <w:br/>
            </w:r>
            <w:r>
              <w:rPr>
                <w:rStyle w:val="InformationTok"/>
              </w:rPr>
              <w:t xml:space="preserve">  fontsize(size = 9, part = "body") |&gt; </w:t>
            </w:r>
            <w:r>
              <w:br/>
            </w:r>
            <w:r>
              <w:rPr>
                <w:rStyle w:val="InformationTok"/>
              </w:rPr>
              <w:t xml:space="preserve">  fontsize(size = 10, part = "header") |&gt; </w:t>
            </w:r>
            <w:r>
              <w:br/>
            </w:r>
            <w:r>
              <w:rPr>
                <w:rStyle w:val="InformationTok"/>
              </w:rPr>
              <w:t xml:space="preserve">  width(width = 16, unit = "mm") |&gt; </w:t>
            </w:r>
            <w:r>
              <w:br/>
            </w:r>
            <w:r>
              <w:rPr>
                <w:rStyle w:val="InformationTok"/>
              </w:rPr>
              <w:t xml:space="preserve">  delete_part("footer")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0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desc-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1: Deskreptiv statistikk for datasettet</w:t>
            </w:r>
            <w:r>
              <w:t xml:space="preserve"> </w:t>
            </w:r>
            <w:r>
              <w:rPr>
                <w:rStyle w:val="VerbatimChar"/>
              </w:rPr>
              <w:t xml:space="preserve">modelr::heights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</w:tblGrid>
            <w:tr>
              <w:trPr>
                <w:trHeight w:val="577" w:hRule="auto"/>
                <w:tblHeader/>
              </w:trPr>
              header 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Variable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Mean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Std. Dev.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Min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25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75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Max</w:t>
                  </w:r>
                </w:p>
              </w:tc>
            </w:tr>
            <w:tr>
              <w:trPr>
                <w:trHeight w:val="573" w:hRule="auto"/>
                <w:tblHeader/>
              </w:trPr>
              header 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573" w:hRule="auto"/>
              </w:trPr>
              body 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41204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55892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55000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343830</w:t>
                  </w:r>
                </w:p>
              </w:tc>
            </w:tr>
            <w:tr>
              <w:trPr>
                <w:trHeight w:val="618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4.1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84</w:t>
                  </w:r>
                </w:p>
              </w:tc>
            </w:tr>
            <w:tr>
              <w:trPr>
                <w:trHeight w:val="618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188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524</w:t>
                  </w:r>
                </w:p>
              </w:tc>
            </w:tr>
            <w:tr>
              <w:trPr>
                <w:trHeight w:val="57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56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6744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100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75</w:t>
                  </w:r>
                </w:p>
              </w:tc>
            </w:tr>
            <w:tr>
              <w:trPr>
                <w:trHeight w:val="569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3402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49%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5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3604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51%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3806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54%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3200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8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6996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7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not_hs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1058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85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not_cc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3195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6" w:hRule="auto"/>
              </w:trPr>
              body16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not_col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body17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col_plus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1633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23%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</w:tbl>
          <w:bookmarkEnd w:id="41"/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noen NA-verdier.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fct_collapse()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lst-bmi-married</w:t>
            </w:r>
            <w:r>
              <w:br/>
            </w:r>
            <w:r>
              <w:rPr>
                <w:rStyle w:val="InformationTok"/>
              </w:rPr>
              <w:t xml:space="preserve">#| lst-cap: "Bruker mutate til å lage variabelen `bmi`. I tillegg</w:t>
            </w:r>
            <w:r>
              <w:br/>
            </w:r>
            <w:r>
              <w:rPr>
                <w:rStyle w:val="InformationTok"/>
              </w:rPr>
              <w:t xml:space="preserve">#|  bruker vi funksjonen `fct_collapse()` til å «klappe sammen» de</w:t>
            </w:r>
            <w:r>
              <w:br/>
            </w:r>
            <w:r>
              <w:rPr>
                <w:rStyle w:val="InformationTok"/>
              </w:rPr>
              <w:t xml:space="preserve">#|  fem kategorien i marital til bare to kategorier i variabelen</w:t>
            </w:r>
            <w:r>
              <w:br/>
            </w:r>
            <w:r>
              <w:rPr>
                <w:rStyle w:val="InformationTok"/>
              </w:rPr>
              <w:t xml:space="preserve">#|  `married`."</w:t>
            </w:r>
            <w:r>
              <w:br/>
            </w:r>
            <w:r>
              <w:rPr>
                <w:rStyle w:val="InformationTok"/>
              </w:rPr>
              <w:t xml:space="preserve">#| eval: false</w:t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2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variabelen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cut_interval(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43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select(income:age, education:bmi, everything())</w:t>
            </w:r>
          </w:p>
          <w:bookmarkEnd w:id="44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select(-education, -marital)</w:t>
            </w:r>
          </w:p>
          <w:bookmarkEnd w:id="45"/>
        </w:tc>
      </w:tr>
    </w:tbl>
    <w:p>
      <w:pPr>
        <w:pStyle w:val="FirstParagraph"/>
      </w:pPr>
      <w:r>
        <w:t xml:space="preserve">Oversikt over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med nye variabler: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lst-height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Kode for å generer en mer kortfattet tabell enn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. Merk bruken av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slik at vi klart ser hvor mange</w:t>
            </w:r>
            <w:r>
              <w:t xml:space="preserve"> </w:t>
            </w:r>
            <w:r>
              <w:rPr>
                <w:rStyle w:val="VerbatimChar"/>
              </w:rPr>
              <w:t xml:space="preserve">NA</w:t>
            </w:r>
            <w:r>
              <w:t xml:space="preserve"> </w:t>
            </w:r>
            <w:r>
              <w:t xml:space="preserve">verdier vi har for de ulike variablene.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heights |&gt; </w:t>
            </w:r>
            <w:r>
              <w:br/>
            </w:r>
            <w:r>
              <w:rPr>
                <w:rStyle w:val="VerbatimChar"/>
              </w:rPr>
              <w:t xml:space="preserve">  vt(missing = TRUE, out = "return") |&gt; </w:t>
            </w:r>
            <w:r>
              <w:br/>
            </w:r>
            <w:r>
              <w:rPr>
                <w:rStyle w:val="VerbatimChar"/>
              </w:rPr>
              <w:t xml:space="preserve">  as_flextable(</w:t>
            </w:r>
            <w:r>
              <w:br/>
            </w:r>
            <w:r>
              <w:rPr>
                <w:rStyle w:val="VerbatimChar"/>
              </w:rPr>
              <w:t xml:space="preserve">    max_row = 20,</w:t>
            </w:r>
            <w:r>
              <w:br/>
            </w:r>
            <w:r>
              <w:rPr>
                <w:rStyle w:val="VerbatimChar"/>
              </w:rPr>
              <w:t xml:space="preserve">    spacing = 0.3,</w:t>
            </w:r>
            <w:r>
              <w:br/>
            </w:r>
            <w:r>
              <w:rPr>
                <w:rStyle w:val="VerbatimChar"/>
              </w:rPr>
              <w:t xml:space="preserve">    part = "all"</w:t>
            </w:r>
            <w:r>
              <w:br/>
            </w:r>
            <w:r>
              <w:rPr>
                <w:rStyle w:val="VerbatimChar"/>
              </w:rPr>
              <w:t xml:space="preserve">  ) |&gt; </w:t>
            </w:r>
            <w:r>
              <w:br/>
            </w:r>
            <w:r>
              <w:rPr>
                <w:rStyle w:val="VerbatimChar"/>
              </w:rPr>
              <w:t xml:space="preserve">  delete_part("footer")</w:t>
            </w:r>
          </w:p>
          <w:bookmarkEnd w:id="4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tbl-new-heigh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2: Oversikt over oppdatert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 </w:t>
            </w:r>
            <w:r>
              <w:t xml:space="preserve">datasett. Har benyttet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i</w:t>
            </w:r>
            <w:r>
              <w:t xml:space="preserve"> </w:t>
            </w:r>
            <w:r>
              <w:rPr>
                <w:rStyle w:val="VerbatimChar"/>
              </w:rPr>
              <w:t xml:space="preserve">vt()</w:t>
            </w:r>
            <w:r>
              <w:t xml:space="preserve"> </w:t>
            </w:r>
            <w:r>
              <w:t xml:space="preserve">funksjonen.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328"/>
              <w:gridCol w:w="1328"/>
              <w:gridCol w:w="3755"/>
              <w:gridCol w:w="1328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Name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Class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Missing</w:t>
                  </w:r>
                </w:p>
              </w:tc>
            </w:tr>
            <w:tr>
              <w:trPr>
                <w:trHeight w:val="573" w:hRule="auto"/>
                <w:tblHeader/>
              </w:trPr>
              header2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343830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52 to 84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76 to 524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47 to 56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100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262</w:t>
                  </w:r>
                </w:p>
              </w:tc>
            </w:tr>
            <w:tr>
              <w:trPr>
                <w:trHeight w:val="573" w:hRule="auto"/>
              </w:trPr>
              body6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12.874 to 74.99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575" w:hRule="auto"/>
              </w:trPr>
              body7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'male' 'female'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575" w:hRule="auto"/>
              </w:trPr>
              body8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'married' 'not married'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5" w:hRule="auto"/>
              </w:trPr>
              body9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'not_hs' 'not_cc' 'not_col' 'col_plus'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</w:t>
                  </w:r>
                </w:p>
              </w:tc>
            </w:tr>
          </w:tbl>
          <w:bookmarkEnd w:id="47"/>
        </w:tc>
      </w:tr>
    </w:tbl>
    <w:bookmarkEnd w:id="48"/>
    <w:bookmarkStart w:id="50" w:name="splitter-i-tre-datasett"/>
    <w:p>
      <w:pPr>
        <w:pStyle w:val="Heading2"/>
      </w:pPr>
      <w:r>
        <w:t xml:space="preserve">2.2 Splitter i tre datasett</w:t>
      </w:r>
    </w:p>
    <w:p>
      <w:pPr>
        <w:pStyle w:val="FirstParagraph"/>
      </w:pPr>
      <w:r>
        <w:t xml:space="preserve">Til slutt deler vi heights inn i tre datasett, hhv.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  <w:r>
        <w:t xml:space="preserve"> </w:t>
      </w:r>
      <w:r>
        <w:t xml:space="preserve">Se</w:t>
      </w:r>
      <w:r>
        <w:t xml:space="preserve"> </w:t>
      </w:r>
      <w:hyperlink w:anchor="lst-3-subsets">
        <w:r>
          <w:rPr>
            <w:rStyle w:val="Hyperlink"/>
          </w:rPr>
          <w:t xml:space="preserve">Liste 8</w:t>
        </w:r>
      </w:hyperlink>
      <w:r>
        <w:t xml:space="preserve"> </w:t>
      </w:r>
      <w:r>
        <w:t xml:space="preserve">for detaljer.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heightsZeroInc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heightsNormInc &lt;- heights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heightsHighInc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49"/>
        </w:tc>
      </w:tr>
    </w:tbl>
    <w:bookmarkEnd w:id="50"/>
    <w:bookmarkStart w:id="56" w:name="scatterplot-for-høyde-og-inntekt"/>
    <w:p>
      <w:pPr>
        <w:pStyle w:val="Heading2"/>
      </w:pPr>
      <w:r>
        <w:t xml:space="preserve">2.3 Scatterplot for høyde og inntekt</w:t>
      </w:r>
    </w:p>
    <w:p>
      <w:pPr>
        <w:pStyle w:val="FirstParagraph"/>
      </w:pPr>
      <w:r>
        <w:t xml:space="preserve">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er gjengitt kode for et «scatter plot» av høyde mot inntekt.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1" w:name="lst-height-inc-plo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Kode for å generere «scatterplot» vha.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fig-height-inc</w:t>
            </w:r>
            <w:r>
              <w:br/>
            </w:r>
            <w:r>
              <w:rPr>
                <w:rStyle w:val="InformationTok"/>
              </w:rPr>
              <w:t xml:space="preserve">#| fig-cap: "Plot av inntekt mot høyde. Fra modell-linjen som er</w:t>
            </w:r>
            <w:r>
              <w:br/>
            </w:r>
            <w:r>
              <w:rPr>
                <w:rStyle w:val="InformationTok"/>
              </w:rPr>
              <w:t xml:space="preserve">#| lagt inn ser vi at det ser ut til å være en positiv sammenheng</w:t>
            </w:r>
            <w:r>
              <w:br/>
            </w:r>
            <w:r>
              <w:rPr>
                <w:rStyle w:val="InformationTok"/>
              </w:rPr>
              <w:t xml:space="preserve">#|  mellom høyde og inntekt. Vi merker oss også de horisontale</w:t>
            </w:r>
            <w:r>
              <w:br/>
            </w:r>
            <w:r>
              <w:rPr>
                <w:rStyle w:val="InformationTok"/>
              </w:rPr>
              <w:t xml:space="preserve">#|  båndene for inntekt lik 0 og en inntekt litt over 300000."</w:t>
            </w:r>
            <w:r>
              <w:br/>
            </w:r>
            <w:r>
              <w:rPr>
                <w:rStyle w:val="InformationTok"/>
              </w:rPr>
              <w:t xml:space="preserve">#| lst-label: lst-height-inc-plot</w:t>
            </w:r>
            <w:r>
              <w:br/>
            </w:r>
            <w:r>
              <w:rPr>
                <w:rStyle w:val="InformationTok"/>
              </w:rPr>
              <w:t xml:space="preserve">#| lst-cap: "Kode for å generere «scatterplot» vha. `ggplot2`."</w:t>
            </w:r>
            <w:r>
              <w:br/>
            </w:r>
            <w:r>
              <w:rPr>
                <w:rStyle w:val="InformationTok"/>
              </w:rPr>
              <w:t xml:space="preserve">heights  |&gt; </w:t>
            </w:r>
            <w:r>
              <w:br/>
            </w:r>
            <w:r>
              <w:rPr>
                <w:rStyle w:val="InformationTok"/>
              </w:rPr>
              <w:t xml:space="preserve">  ggplot(</w:t>
            </w:r>
            <w:r>
              <w:br/>
            </w:r>
            <w:r>
              <w:rPr>
                <w:rStyle w:val="InformationTok"/>
              </w:rPr>
              <w:t xml:space="preserve">  mapping = aes(</w:t>
            </w:r>
            <w:r>
              <w:br/>
            </w:r>
            <w:r>
              <w:rPr>
                <w:rStyle w:val="InformationTok"/>
              </w:rPr>
              <w:t xml:space="preserve">    x = height,</w:t>
            </w:r>
            <w:r>
              <w:br/>
            </w:r>
            <w:r>
              <w:rPr>
                <w:rStyle w:val="InformationTok"/>
              </w:rPr>
              <w:t xml:space="preserve">    y = income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+ </w:t>
            </w:r>
            <w:r>
              <w:br/>
            </w:r>
            <w:r>
              <w:rPr>
                <w:rStyle w:val="InformationTok"/>
              </w:rPr>
              <w:t xml:space="preserve">  geom_jitter(</w:t>
            </w:r>
            <w:r>
              <w:br/>
            </w:r>
            <w:r>
              <w:rPr>
                <w:rStyle w:val="InformationTok"/>
              </w:rPr>
              <w:t xml:space="preserve">    size = 1,</w:t>
            </w:r>
            <w:r>
              <w:br/>
            </w:r>
            <w:r>
              <w:rPr>
                <w:rStyle w:val="InformationTok"/>
              </w:rPr>
              <w:t xml:space="preserve">    alpha = 0.40</w:t>
            </w:r>
            <w:r>
              <w:br/>
            </w:r>
            <w:r>
              <w:rPr>
                <w:rStyle w:val="InformationTok"/>
              </w:rPr>
              <w:t xml:space="preserve">    ) +</w:t>
            </w:r>
            <w:r>
              <w:br/>
            </w:r>
            <w:r>
              <w:rPr>
                <w:rStyle w:val="InformationTok"/>
              </w:rPr>
              <w:t xml:space="preserve">  geom_smooth(</w:t>
            </w:r>
            <w:r>
              <w:br/>
            </w:r>
            <w:r>
              <w:rPr>
                <w:rStyle w:val="InformationTok"/>
              </w:rPr>
              <w:t xml:space="preserve">    formula = y ~ x,</w:t>
            </w:r>
            <w:r>
              <w:br/>
            </w:r>
            <w:r>
              <w:rPr>
                <w:rStyle w:val="InformationTok"/>
              </w:rPr>
              <w:t xml:space="preserve">    method = "lm",</w:t>
            </w:r>
            <w:r>
              <w:br/>
            </w:r>
            <w:r>
              <w:rPr>
                <w:rStyle w:val="InformationTok"/>
              </w:rPr>
              <w:t xml:space="preserve">    colour = "black",</w:t>
            </w:r>
            <w:r>
              <w:br/>
            </w:r>
            <w:r>
              <w:rPr>
                <w:rStyle w:val="InformationTok"/>
              </w:rPr>
              <w:t xml:space="preserve">    lwd = 0.75,</w:t>
            </w:r>
            <w:r>
              <w:br/>
            </w:r>
            <w:r>
              <w:rPr>
                <w:rStyle w:val="InformationTok"/>
              </w:rPr>
              <w:t xml:space="preserve">    se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5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height-inc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eight-inc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Plot av inntekt mot høyde. Fra modell-linjen som er lagt inn ser vi at det ser ut til å være en positiv sammenheng mellom høyde og inntekt. Vi merker oss også de horisontale båndene for inntekt lik 0 og en inntekt litt over 300000.</w:t>
            </w:r>
          </w:p>
          <w:bookmarkEnd w:id="55"/>
        </w:tc>
      </w:tr>
    </w:tbl>
    <w:bookmarkEnd w:id="56"/>
    <w:bookmarkStart w:id="63" w:name="lage-histogram-for-to-subsets"/>
    <w:p>
      <w:pPr>
        <w:pStyle w:val="Heading2"/>
      </w:pPr>
      <w:r>
        <w:t xml:space="preserve">2.4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Se kode i</w:t>
      </w:r>
      <w:r>
        <w:t xml:space="preserve"> </w:t>
      </w:r>
      <w:hyperlink w:anchor="lst-mean-sd">
        <w:r>
          <w:rPr>
            <w:rStyle w:val="Hyperlink"/>
          </w:rPr>
          <w:t xml:space="preserve">Liste 10</w:t>
        </w:r>
      </w:hyperlink>
      <w:r>
        <w:t xml:space="preserve">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7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10: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heights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heights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57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8" w:name="st-hist"/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label: fig-hist</w:t>
      </w:r>
      <w:r>
        <w:br/>
      </w:r>
      <w:r>
        <w:rPr>
          <w:rStyle w:val="InformationTok"/>
        </w:rPr>
        <w:t xml:space="preserve">#| fig-cap: "Histogram av høyde fordelt på kjønn, kvinner er mørk grå</w:t>
      </w:r>
      <w:r>
        <w:br/>
      </w:r>
      <w:r>
        <w:rPr>
          <w:rStyle w:val="InformationTok"/>
        </w:rPr>
        <w:t xml:space="preserve">#| mens menn er lysere grå. I tillegg er normalfordeling</w:t>
      </w:r>
      <w:r>
        <w:br/>
      </w:r>
      <w:r>
        <w:rPr>
          <w:rStyle w:val="InformationTok"/>
        </w:rPr>
        <w:t xml:space="preserve">#| for observert gjennomsnitt og standard-avvik, også fordelt på</w:t>
      </w:r>
      <w:r>
        <w:br/>
      </w:r>
      <w:r>
        <w:rPr>
          <w:rStyle w:val="InformationTok"/>
        </w:rPr>
        <w:t xml:space="preserve">#| kjønn, tegnet inn."</w:t>
      </w:r>
      <w:r>
        <w:br/>
      </w:r>
      <w:r>
        <w:rPr>
          <w:rStyle w:val="InformationTok"/>
        </w:rPr>
        <w:t xml:space="preserve">#| lst-label: st-hist</w:t>
      </w:r>
      <w:r>
        <w:br/>
      </w:r>
      <w:r>
        <w:rPr>
          <w:rStyle w:val="InformationTok"/>
        </w:rPr>
        <w:t xml:space="preserve">#| lst-cap: "Kode for å generer histogrammer for høyde for hhv. menn og</w:t>
      </w:r>
      <w:r>
        <w:br/>
      </w:r>
      <w:r>
        <w:rPr>
          <w:rStyle w:val="InformationTok"/>
        </w:rPr>
        <w:t xml:space="preserve">#| kvinner med inntegnet normalfordelingskurve (tetthetsfunksjon).</w:t>
      </w:r>
      <w:r>
        <w:br/>
      </w:r>
      <w:r>
        <w:rPr>
          <w:rStyle w:val="InformationTok"/>
        </w:rPr>
        <w:t xml:space="preserve">#| Normalfordelingskurvene er tegnet ut fra gjennomsnitt og standardavvik</w:t>
      </w:r>
      <w:r>
        <w:br/>
      </w:r>
      <w:r>
        <w:rPr>
          <w:rStyle w:val="InformationTok"/>
        </w:rPr>
        <w:t xml:space="preserve">#| beregnet ovenfor. Dataene er fra hele datasettet `heights`."</w:t>
      </w:r>
      <w:r>
        <w:br/>
      </w:r>
      <w:r>
        <w:br/>
      </w:r>
      <w:r>
        <w:rPr>
          <w:rStyle w:val="InformationTok"/>
        </w:rPr>
        <w:t xml:space="preserve">heights %&gt;%</w:t>
      </w:r>
      <w:r>
        <w:br/>
      </w:r>
      <w:r>
        <w:rPr>
          <w:rStyle w:val="InformationTok"/>
        </w:rPr>
        <w:t xml:space="preserve">  ggplot() +</w:t>
      </w:r>
      <w:r>
        <w:br/>
      </w:r>
      <w:r>
        <w:rPr>
          <w:rStyle w:val="InformationTok"/>
        </w:rPr>
        <w:t xml:space="preserve">  ### male ###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0.3,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 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meanHeightMale,</w:t>
      </w:r>
      <w:r>
        <w:br/>
      </w:r>
      <w:r>
        <w:rPr>
          <w:rStyle w:val="InformationTok"/>
        </w:rPr>
        <w:t xml:space="preserve">    colour = 'grey40', 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meanHeightMale, </w:t>
      </w:r>
      <w:r>
        <w:br/>
      </w:r>
      <w:r>
        <w:rPr>
          <w:rStyle w:val="InformationTok"/>
        </w:rPr>
        <w:t xml:space="preserve">      sd = sdHeightMale</w:t>
      </w:r>
      <w:r>
        <w:br/>
      </w:r>
      <w:r>
        <w:rPr>
          <w:rStyle w:val="InformationTok"/>
        </w:rPr>
        <w:t xml:space="preserve">      ),</w:t>
      </w:r>
      <w:r>
        <w:br/>
      </w:r>
      <w:r>
        <w:rPr>
          <w:rStyle w:val="InformationTok"/>
        </w:rPr>
        <w:t xml:space="preserve">    colour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# female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"female"),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0.7,</w:t>
      </w:r>
      <w:r>
        <w:br/>
      </w:r>
      <w:r>
        <w:rPr>
          <w:rStyle w:val="InformationTok"/>
        </w:rPr>
        <w:t xml:space="preserve">    colour = 'black',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meanHeightFemale,</w:t>
      </w:r>
      <w:r>
        <w:br/>
      </w:r>
      <w:r>
        <w:rPr>
          <w:rStyle w:val="InformationTok"/>
        </w:rPr>
        <w:t xml:space="preserve">      sd = sdHeightFemale</w:t>
      </w:r>
      <w:r>
        <w:br/>
      </w:r>
      <w:r>
        <w:rPr>
          <w:rStyle w:val="InformationTok"/>
        </w:rPr>
        <w:t xml:space="preserve">      ), </w:t>
      </w:r>
      <w:r>
        <w:br/>
      </w:r>
      <w:r>
        <w:rPr>
          <w:rStyle w:val="InformationTok"/>
        </w:rPr>
        <w:t xml:space="preserve">    colour = 'black'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meanHeightFemale,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</w:t>
      </w:r>
      <w:r>
        <w:br/>
      </w:r>
      <w:r>
        <w:rPr>
          <w:rStyle w:val="InformationTok"/>
        </w:rPr>
        <w:t xml:space="preserve">```</w:t>
      </w:r>
    </w:p>
    <w:bookmarkEnd w:id="58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2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ist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2: Histogram av høyde fordelt på kjønn, kvinner er mørk grå mens menn er lysere grå. I tillegg er normalfordeling for observert gjennomsnitt og standard-avvik, også fordelt på kjønn, tegnet inn.</w:t>
            </w:r>
          </w:p>
          <w:bookmarkEnd w:id="62"/>
        </w:tc>
      </w:tr>
    </w:tbl>
    <w:bookmarkEnd w:id="63"/>
    <w:bookmarkStart w:id="118" w:name="referanser"/>
    <w:p>
      <w:pPr>
        <w:pStyle w:val="Heading2"/>
      </w:pPr>
      <w:r>
        <w:t xml:space="preserve">2.5 Referanser</w:t>
      </w:r>
    </w:p>
    <w:bookmarkStart w:id="117" w:name="refs"/>
    <w:bookmarkStart w:id="64" w:name="ref-aragao"/>
    <w:p>
      <w:pPr>
        <w:pStyle w:val="Bibliography"/>
      </w:pPr>
      <w:r>
        <w:t xml:space="preserve">Aragão, Carolina. u.å.</w:t>
      </w:r>
      <w:r>
        <w:t xml:space="preserve"> </w:t>
      </w:r>
      <w:r>
        <w:t xml:space="preserve">«Gender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Åpnet 6. oktober 2023.</w:t>
      </w:r>
    </w:p>
    <w:bookmarkEnd w:id="64"/>
    <w:bookmarkStart w:id="65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5"/>
    <w:bookmarkStart w:id="66" w:name="ref-bound1986"/>
    <w:p>
      <w:pPr>
        <w:pStyle w:val="Bibliography"/>
      </w:pPr>
      <w:r>
        <w:t xml:space="preserve">Bound, John, Zvi Griliches, og Bronwyn H. Hall. 1986.</w:t>
      </w:r>
      <w:r>
        <w:t xml:space="preserve"> </w:t>
      </w:r>
      <w:r>
        <w:t xml:space="preserve">«Wages,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?»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6"/>
    <w:bookmarkStart w:id="68" w:name="ref-bureau"/>
    <w:p>
      <w:pPr>
        <w:pStyle w:val="Bibliography"/>
      </w:pPr>
      <w:r>
        <w:t xml:space="preserve">Bureau, US Census. u.å.</w:t>
      </w:r>
      <w:r>
        <w:t xml:space="preserve"> </w:t>
      </w:r>
      <w:r>
        <w:t xml:space="preserve">«Among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Åpnet 6. oktober 2023.</w:t>
      </w:r>
      <w:r>
        <w:t xml:space="preserve"> </w:t>
      </w:r>
      <w:hyperlink r:id="rId67">
        <w:r>
          <w:rPr>
            <w:rStyle w:val="Hyperlink"/>
          </w:rPr>
          <w:t xml:space="preserve">https://www.census.gov/library/stories/2019/05/college-degree-widens-gender-earnings-gap.html</w:t>
        </w:r>
      </w:hyperlink>
      <w:r>
        <w:t xml:space="preserve">.</w:t>
      </w:r>
    </w:p>
    <w:bookmarkEnd w:id="68"/>
    <w:bookmarkStart w:id="70" w:name="ref-bockerman2019"/>
    <w:p>
      <w:pPr>
        <w:pStyle w:val="Bibliography"/>
      </w:pPr>
      <w:r>
        <w:t xml:space="preserve">Böckerman, Petri, John Cawley, Jutta Viinikainen, Terho Lehtimäki, Suvi Rovio, Ilkka Seppälä, Jaakko Pehkonen, og Olli Raitakari. 2019.</w:t>
      </w:r>
      <w:r>
        <w:t xml:space="preserve"> </w:t>
      </w:r>
      <w:r>
        <w:t xml:space="preserve">«</w:t>
      </w:r>
      <w:hyperlink r:id="rId69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0"/>
    <w:bookmarkStart w:id="71" w:name="ref-caliendo2016"/>
    <w:p>
      <w:pPr>
        <w:pStyle w:val="Bibliography"/>
      </w:pPr>
      <w:r>
        <w:t xml:space="preserve">Caliendo, Marco, og Markus Gehrsitz. 2016.</w:t>
      </w:r>
      <w:r>
        <w:t xml:space="preserve"> </w:t>
      </w:r>
      <w:r>
        <w:t xml:space="preserve">«Obesity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(desember): 209–25.</w:t>
      </w:r>
    </w:p>
    <w:bookmarkEnd w:id="71"/>
    <w:bookmarkStart w:id="72" w:name="ref-card2016"/>
    <w:p>
      <w:pPr>
        <w:pStyle w:val="Bibliography"/>
      </w:pPr>
      <w:r>
        <w:t xml:space="preserve">Card, David, Ana Rute Cardoso, og Patrick Kline. 2016.</w:t>
      </w:r>
      <w:r>
        <w:t xml:space="preserve"> </w:t>
      </w:r>
      <w:r>
        <w:t xml:space="preserve">«Bargaining,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2"/>
    <w:bookmarkStart w:id="73" w:name="ref-case2008"/>
    <w:p>
      <w:pPr>
        <w:pStyle w:val="Bibliography"/>
      </w:pPr>
      <w:r>
        <w:t xml:space="preserve">Case, Anne, og Christina Paxson. 2008.</w:t>
      </w:r>
      <w:r>
        <w:t xml:space="preserve"> </w:t>
      </w:r>
      <w:r>
        <w:t xml:space="preserve">«Stature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3"/>
    <w:bookmarkStart w:id="74" w:name="ref-case2009"/>
    <w:p>
      <w:pPr>
        <w:pStyle w:val="Bibliography"/>
      </w:pPr>
      <w:r>
        <w:t xml:space="preserve">Case, Anne, Christina Paxson, og Mahnaz Islam. 2009.</w:t>
      </w:r>
      <w:r>
        <w:t xml:space="preserve"> </w:t>
      </w:r>
      <w:r>
        <w:t xml:space="preserve">«Making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4"/>
    <w:bookmarkStart w:id="75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«An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5"/>
    <w:bookmarkStart w:id="76" w:name="ref-dash2017"/>
    <w:p>
      <w:pPr>
        <w:pStyle w:val="Bibliography"/>
      </w:pPr>
      <w:r>
        <w:t xml:space="preserve">Dash, Mihir, Suprabha Bakshi, og Aarushi Chugh. 2017.</w:t>
      </w:r>
      <w:r>
        <w:t xml:space="preserve"> </w:t>
      </w:r>
      <w:r>
        <w:t xml:space="preserve">«The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6"/>
    <w:bookmarkStart w:id="77" w:name="ref-deaton2009"/>
    <w:p>
      <w:pPr>
        <w:pStyle w:val="Bibliography"/>
      </w:pPr>
      <w:r>
        <w:t xml:space="preserve">Deaton, Angus, og Raksha Arora. 2009.</w:t>
      </w:r>
      <w:r>
        <w:t xml:space="preserve"> </w:t>
      </w:r>
      <w:r>
        <w:t xml:space="preserve">«Life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7"/>
    <w:bookmarkStart w:id="79" w:name="ref-edwards2021"/>
    <w:p>
      <w:pPr>
        <w:pStyle w:val="Bibliography"/>
      </w:pPr>
      <w:r>
        <w:t xml:space="preserve">Edwards, Christina Hansen, Johan Håkon Bjørngaard, og Jonas Minet Kinge. 2021.</w:t>
      </w:r>
      <w:r>
        <w:t xml:space="preserve"> </w:t>
      </w:r>
      <w:r>
        <w:t xml:space="preserve">«</w:t>
      </w:r>
      <w:hyperlink r:id="rId78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9"/>
    <w:bookmarkStart w:id="81" w:name="ref-gould2016"/>
    <w:p>
      <w:pPr>
        <w:pStyle w:val="Bibliography"/>
      </w:pPr>
      <w:r>
        <w:t xml:space="preserve">Gould, Elise, Jessica Schieder, og Kathleen Geier. 2016.</w:t>
      </w:r>
      <w:r>
        <w:t xml:space="preserve"> </w:t>
      </w:r>
      <w:r>
        <w:t xml:space="preserve">«What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https://www.epi.org/publication/what-is-the-gender-pay-gap-and-is-it-real/</w:t>
        </w:r>
      </w:hyperlink>
      <w:r>
        <w:t xml:space="preserve">.</w:t>
      </w:r>
    </w:p>
    <w:bookmarkEnd w:id="81"/>
    <w:bookmarkStart w:id="82" w:name="ref-han2009"/>
    <w:p>
      <w:pPr>
        <w:pStyle w:val="Bibliography"/>
      </w:pPr>
      <w:r>
        <w:t xml:space="preserve">Han, Euna, Edward C. Norton, og Sally C. Stearns. 2009.</w:t>
      </w:r>
      <w:r>
        <w:t xml:space="preserve"> </w:t>
      </w:r>
      <w:r>
        <w:t xml:space="preserve">«Weight and Wages: Fat Versus Lean Paychecks»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2"/>
    <w:bookmarkStart w:id="83" w:name="ref-hejase2020"/>
    <w:p>
      <w:pPr>
        <w:pStyle w:val="Bibliography"/>
      </w:pPr>
      <w:r>
        <w:t xml:space="preserve">Hejase, Hussin J., og Ale J. Hejase. 2020.</w:t>
      </w:r>
      <w:r>
        <w:t xml:space="preserve"> </w:t>
      </w:r>
      <w:r>
        <w:t xml:space="preserve">«Gender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3"/>
    <w:bookmarkStart w:id="84" w:name="ref-hildebrand2010"/>
    <w:p>
      <w:pPr>
        <w:pStyle w:val="Bibliography"/>
      </w:pPr>
      <w:r>
        <w:t xml:space="preserve">Hildebrand, Vincent, og Philippe Van Kerm. 2010.</w:t>
      </w:r>
      <w:r>
        <w:t xml:space="preserve"> </w:t>
      </w:r>
      <w:r>
        <w:t xml:space="preserve">«Body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Analysis»</w:t>
      </w:r>
      <w:r>
        <w:t xml:space="preserve">.</w:t>
      </w:r>
    </w:p>
    <w:bookmarkEnd w:id="84"/>
    <w:bookmarkStart w:id="85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«Height and</w:t>
      </w:r>
      <w:r>
        <w:t xml:space="preserve"> </w:t>
      </w:r>
      <w:r>
        <w:t xml:space="preserve">Wages</w:t>
      </w:r>
      <w:r>
        <w:t xml:space="preserve">»</w:t>
      </w:r>
      <w:r>
        <w:t xml:space="preserve">. I.</w:t>
      </w:r>
    </w:p>
    <w:bookmarkEnd w:id="85"/>
    <w:bookmarkStart w:id="86" w:name="ref-iii1996"/>
    <w:p>
      <w:pPr>
        <w:pStyle w:val="Bibliography"/>
      </w:pPr>
      <w:r>
        <w:t xml:space="preserve">Iii, William, og William Spriggs. 1996.</w:t>
      </w:r>
      <w:r>
        <w:t xml:space="preserve"> </w:t>
      </w:r>
      <w:r>
        <w:t xml:space="preserve">«What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Score»</w:t>
      </w:r>
      <w:r>
        <w:t xml:space="preserve">.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(juni): 13–46.</w:t>
      </w:r>
    </w:p>
    <w:bookmarkEnd w:id="86"/>
    <w:bookmarkStart w:id="87" w:name="ref-kan2012"/>
    <w:p>
      <w:pPr>
        <w:pStyle w:val="Bibliography"/>
      </w:pPr>
      <w:r>
        <w:t xml:space="preserve">Kan, Kamhon, og Myoung-Jae Lee. 2012.</w:t>
      </w:r>
      <w:r>
        <w:t xml:space="preserve"> </w:t>
      </w:r>
      <w:r>
        <w:t xml:space="preserve">«Lose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7"/>
    <w:bookmarkStart w:id="88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«Youth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1. serie, 10.</w:t>
      </w:r>
    </w:p>
    <w:bookmarkEnd w:id="88"/>
    <w:bookmarkStart w:id="89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«Big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Market?»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9"/>
    <w:bookmarkStart w:id="90" w:name="ref-medoff1980"/>
    <w:p>
      <w:pPr>
        <w:pStyle w:val="Bibliography"/>
      </w:pPr>
      <w:r>
        <w:t xml:space="preserve">Medoff, James L., og Katharine G. Abraham. 1980.</w:t>
      </w:r>
      <w:r>
        <w:t xml:space="preserve"> </w:t>
      </w:r>
      <w:r>
        <w:t xml:space="preserve">«Experience,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0"/>
    <w:bookmarkStart w:id="91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«Schooling,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1"/>
    <w:bookmarkStart w:id="92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«2.</w:t>
      </w:r>
      <w:r>
        <w:t xml:space="preserve"> </w:t>
      </w:r>
      <w:r>
        <w:t xml:space="preserve">Women</w:t>
      </w:r>
      <w:r>
        <w:t xml:space="preserve">’s Lead in Skills and Education Is Helping Narrow the Gender Wage Gap»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2"/>
    <w:bookmarkStart w:id="94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«Aptitude,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»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https://www.nlsinfo.org/content/cohorts/nlsy79/topical-guide/education/aptitude-achievement-intelligence-scores</w:t>
        </w:r>
      </w:hyperlink>
      <w:r>
        <w:t xml:space="preserve">.</w:t>
      </w:r>
    </w:p>
    <w:bookmarkEnd w:id="94"/>
    <w:bookmarkStart w:id="95" w:name="ref-nyirongo"/>
    <w:p>
      <w:pPr>
        <w:pStyle w:val="Bibliography"/>
      </w:pPr>
      <w:r>
        <w:t xml:space="preserve">Nyirongo, Venge. u.å.</w:t>
      </w:r>
      <w:r>
        <w:t xml:space="preserve"> </w:t>
      </w:r>
      <w:r>
        <w:t xml:space="preserve">«Tackling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»</w:t>
      </w:r>
      <w:r>
        <w:t xml:space="preserve">.</w:t>
      </w:r>
    </w:p>
    <w:bookmarkEnd w:id="95"/>
    <w:bookmarkStart w:id="96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(2007)»</w:t>
      </w:r>
      <w:r>
        <w:t xml:space="preserve">. 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6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«Taking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»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https://www.stlouisfed.org/on-the-economy/2020/september/taking-closer-look-marital-status-earnings-gap</w:t>
        </w:r>
      </w:hyperlink>
      <w:r>
        <w:t xml:space="preserve">.</w:t>
      </w:r>
    </w:p>
    <w:bookmarkEnd w:id="98"/>
    <w:bookmarkStart w:id="99" w:name="ref-petersen1995"/>
    <w:p>
      <w:pPr>
        <w:pStyle w:val="Bibliography"/>
      </w:pPr>
      <w:r>
        <w:t xml:space="preserve">Petersen, Trond, og Laurie A. Morgan. 1995.</w:t>
      </w:r>
      <w:r>
        <w:t xml:space="preserve"> </w:t>
      </w:r>
      <w:r>
        <w:t xml:space="preserve">«Separate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«Taller</w:t>
      </w:r>
      <w:r>
        <w:t xml:space="preserve"> </w:t>
      </w:r>
      <w:r>
        <w:t xml:space="preserve">People Earn More Money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</w:t>
      </w:r>
      <w:r>
        <w:t xml:space="preserve"> </w:t>
      </w:r>
      <w:hyperlink r:id="rId100">
        <w:r>
          <w:rPr>
            <w:rStyle w:val="Hyperlink"/>
          </w:rPr>
          <w:t xml:space="preserve">https://www.livescience.com/5552-taller-people-earn-money.html</w:t>
        </w:r>
      </w:hyperlink>
      <w:r>
        <w:t xml:space="preserve">.</w:t>
      </w:r>
    </w:p>
    <w:bookmarkEnd w:id="101"/>
    <w:bookmarkStart w:id="10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3"/>
    <w:bookmarkStart w:id="104" w:name="ref-santossilva2021"/>
    <w:p>
      <w:pPr>
        <w:pStyle w:val="Bibliography"/>
      </w:pPr>
      <w:r>
        <w:t xml:space="preserve">Santos Silva, Manuel, og Stephan Klasen. 2021.</w:t>
      </w:r>
      <w:r>
        <w:t xml:space="preserve"> </w:t>
      </w:r>
      <w:r>
        <w:t xml:space="preserve">«Gender Inequality as a Barrier to Economic Growth: A Review of the Theoretical Literature»</w:t>
      </w:r>
      <w:r>
        <w:t xml:space="preserve">.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4"/>
    <w:bookmarkStart w:id="105" w:name="ref-sargent1994"/>
    <w:p>
      <w:pPr>
        <w:pStyle w:val="Bibliography"/>
      </w:pPr>
      <w:r>
        <w:t xml:space="preserve">Sargent, James D., og David G. Blanchflower. 1994.</w:t>
      </w:r>
      <w:r>
        <w:t xml:space="preserve"> </w:t>
      </w:r>
      <w:r>
        <w:t xml:space="preserve">«Obesity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5"/>
    <w:bookmarkStart w:id="107" w:name="ref-zotero-1832"/>
    <w:p>
      <w:pPr>
        <w:pStyle w:val="Bibliography"/>
      </w:pP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. u.å. Åpnet 6. oktober 2023.</w:t>
      </w:r>
      <w:r>
        <w:t xml:space="preserve"> </w:t>
      </w:r>
      <w:hyperlink r:id="rId106">
        <w:r>
          <w:rPr>
            <w:rStyle w:val="Hyperlink"/>
          </w:rPr>
          <w:t xml:space="preserve">https://jhr.uwpress.org/content/XXXIX/2/451.short</w:t>
        </w:r>
      </w:hyperlink>
      <w:r>
        <w:t xml:space="preserve">.</w:t>
      </w:r>
    </w:p>
    <w:bookmarkEnd w:id="107"/>
    <w:bookmarkStart w:id="109" w:name="ref-zotero-1833"/>
    <w:p>
      <w:pPr>
        <w:pStyle w:val="Bibliography"/>
      </w:pP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. u.å. Åpnet 6. oktober 2023.</w:t>
      </w:r>
      <w:r>
        <w:t xml:space="preserve"> </w:t>
      </w:r>
      <w:hyperlink r:id="rId108">
        <w:r>
          <w:rPr>
            <w:rStyle w:val="Hyperlink"/>
          </w:rPr>
          <w:t xml:space="preserve">https://onlinelibrary.wiley.com/doi/abs/10.1002/hec.881</w:t>
        </w:r>
      </w:hyperlink>
      <w:r>
        <w:t xml:space="preserve">.</w:t>
      </w:r>
    </w:p>
    <w:bookmarkEnd w:id="109"/>
    <w:bookmarkStart w:id="111" w:name="ref-vandenbroucke"/>
    <w:p>
      <w:pPr>
        <w:pStyle w:val="Bibliography"/>
      </w:pPr>
      <w:r>
        <w:t xml:space="preserve">Vandenbroucke, Guillaume. u.å.</w:t>
      </w:r>
      <w:r>
        <w:t xml:space="preserve"> </w:t>
      </w:r>
      <w:r>
        <w:t xml:space="preserve">«Married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»</w:t>
      </w:r>
      <w:r>
        <w:t xml:space="preserve">. Åpnet 6. oktober 2023.</w:t>
      </w:r>
      <w:r>
        <w:t xml:space="preserve"> </w:t>
      </w:r>
      <w:hyperlink r:id="rId110">
        <w:r>
          <w:rPr>
            <w:rStyle w:val="Hyperlink"/>
          </w:rPr>
          <w:t xml:space="preserve">https://research.stlouisfed.org/publications/economic-synopses/2018/09/14/married-men-sit-atop-the-wage-ladder</w:t>
        </w:r>
      </w:hyperlink>
      <w:r>
        <w:t xml:space="preserve">.</w:t>
      </w:r>
    </w:p>
    <w:bookmarkEnd w:id="111"/>
    <w:bookmarkStart w:id="113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13"/>
    <w:bookmarkStart w:id="115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«Can</w:t>
      </w:r>
      <w:r>
        <w:t xml:space="preserve"> </w:t>
      </w:r>
      <w:r>
        <w:t xml:space="preserve">Intelligence Predict Income</w:t>
      </w:r>
      <w:r>
        <w:t xml:space="preserve">?»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https://ifstudies.org/blog/can-intelligence-predict-income</w:t>
        </w:r>
      </w:hyperlink>
      <w:r>
        <w:t xml:space="preserve">.</w:t>
      </w:r>
    </w:p>
    <w:bookmarkEnd w:id="115"/>
    <w:bookmarkStart w:id="116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«Do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Distress»</w:t>
      </w:r>
      <w:r>
        <w:t xml:space="preserve">.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6"/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-NO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112" Target="https://CRAN.R-project.org/package=modelr" TargetMode="External" /><Relationship Type="http://schemas.openxmlformats.org/officeDocument/2006/relationships/hyperlink" Id="rId114" Target="https://ifstudies.org/blog/can-intelligence-predict-income" TargetMode="External" /><Relationship Type="http://schemas.openxmlformats.org/officeDocument/2006/relationships/hyperlink" Id="rId106" Target="https://jhr.uwpress.org/content/XXXIX/2/451.short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108" Target="https://onlinelibrary.wiley.com/doi/abs/10.1002/hec.881" TargetMode="External" /><Relationship Type="http://schemas.openxmlformats.org/officeDocument/2006/relationships/hyperlink" Id="rId110" Target="https://research.stlouisfed.org/publications/economic-synopses/2018/09/14/married-men-sit-atop-the-wage-ladder" TargetMode="External" /><Relationship Type="http://schemas.openxmlformats.org/officeDocument/2006/relationships/hyperlink" Id="rId102" Target="https://www.R-project.org/" TargetMode="External" /><Relationship Type="http://schemas.openxmlformats.org/officeDocument/2006/relationships/hyperlink" Id="rId67" Target="https://www.census.gov/library/stories/2019/05/college-degree-widens-gender-earnings-gap.html" TargetMode="External" /><Relationship Type="http://schemas.openxmlformats.org/officeDocument/2006/relationships/hyperlink" Id="rId80" Target="https://www.epi.org/publication/what-is-the-gender-pay-gap-and-is-it-real/" TargetMode="External" /><Relationship Type="http://schemas.openxmlformats.org/officeDocument/2006/relationships/hyperlink" Id="rId100" Target="https://www.livescience.com/5552-taller-people-earn-money.html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78" Target="https://www.ncbi.nlm.nih.gov/pubmed/33993584" TargetMode="External" /><Relationship Type="http://schemas.openxmlformats.org/officeDocument/2006/relationships/hyperlink" Id="rId93" Target="https://www.nlsinfo.org/content/cohorts/nlsy79/topical-guide/education/aptitude-achievement-intelligence-scores" TargetMode="External" /><Relationship Type="http://schemas.openxmlformats.org/officeDocument/2006/relationships/hyperlink" Id="rId97" Target="https://www.stlouisfed.org/on-the-economy/2020/september/taking-closer-look-marital-status-earnings-g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CRAN.R-project.org/package=modelr" TargetMode="External" /><Relationship Type="http://schemas.openxmlformats.org/officeDocument/2006/relationships/hyperlink" Id="rId114" Target="https://ifstudies.org/blog/can-intelligence-predict-income" TargetMode="External" /><Relationship Type="http://schemas.openxmlformats.org/officeDocument/2006/relationships/hyperlink" Id="rId106" Target="https://jhr.uwpress.org/content/XXXIX/2/451.short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108" Target="https://onlinelibrary.wiley.com/doi/abs/10.1002/hec.881" TargetMode="External" /><Relationship Type="http://schemas.openxmlformats.org/officeDocument/2006/relationships/hyperlink" Id="rId110" Target="https://research.stlouisfed.org/publications/economic-synopses/2018/09/14/married-men-sit-atop-the-wage-ladder" TargetMode="External" /><Relationship Type="http://schemas.openxmlformats.org/officeDocument/2006/relationships/hyperlink" Id="rId102" Target="https://www.R-project.org/" TargetMode="External" /><Relationship Type="http://schemas.openxmlformats.org/officeDocument/2006/relationships/hyperlink" Id="rId67" Target="https://www.census.gov/library/stories/2019/05/college-degree-widens-gender-earnings-gap.html" TargetMode="External" /><Relationship Type="http://schemas.openxmlformats.org/officeDocument/2006/relationships/hyperlink" Id="rId80" Target="https://www.epi.org/publication/what-is-the-gender-pay-gap-and-is-it-real/" TargetMode="External" /><Relationship Type="http://schemas.openxmlformats.org/officeDocument/2006/relationships/hyperlink" Id="rId100" Target="https://www.livescience.com/5552-taller-people-earn-money.html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78" Target="https://www.ncbi.nlm.nih.gov/pubmed/33993584" TargetMode="External" /><Relationship Type="http://schemas.openxmlformats.org/officeDocument/2006/relationships/hyperlink" Id="rId93" Target="https://www.nlsinfo.org/content/cohorts/nlsy79/topical-guide/education/aptitude-achievement-intelligence-scores" TargetMode="External" /><Relationship Type="http://schemas.openxmlformats.org/officeDocument/2006/relationships/hyperlink" Id="rId97" Target="https://www.stlouisfed.org/on-the-economy/2020/september/taking-closer-look-marital-status-earnings-g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dc:language>nb-no</dc:language>
  <cp:keywords/>
  <dcterms:created xsi:type="dcterms:W3CDTF">2024-10-15T07:57:18Z</dcterms:created>
  <dcterms:modified xsi:type="dcterms:W3CDTF">2024-10-15T07:57:18Z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Innholdsfortegnelse</vt:lpwstr>
  </property>
</Properties>
</file>