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Arial" w:cs="Arial" w:eastAsia="Arial" w:hAnsi="Arial"/>
          <w:b/>
          <w:bCs/>
          <w:color w:val="581C87"/>
          <w:sz w:val="72"/>
          <w:szCs w:val="72"/>
        </w:rPr>
        <w:t xml:space="preserve">DashBoard</w:t>
      </w:r>
    </w:p>
    <w:p>
      <w:pPr>
        <w:spacing w:after="200"/>
        <w:jc w:val="center"/>
      </w:pPr>
      <w:r>
        <w:rPr>
          <w:rFonts w:ascii="Arial" w:cs="Arial" w:eastAsia="Arial" w:hAnsi="Arial"/>
          <w:color w:val="7C3AED"/>
          <w:sz w:val="36"/>
          <w:szCs w:val="36"/>
        </w:rPr>
        <w:t xml:space="preserve">Change Request Management</w:t>
      </w:r>
    </w:p>
    <w:p>
      <w:pPr>
        <w:spacing w:after="80"/>
        <w:jc w:val="center"/>
      </w:pPr>
      <w:r>
        <w:rPr>
          <w:rFonts w:ascii="Arial" w:cs="Arial" w:eastAsia="Arial" w:hAnsi="Arial"/>
          <w:color w:val="374151"/>
          <w:sz w:val="24"/>
          <w:szCs w:val="24"/>
        </w:rPr>
        <w:t xml:space="preserve">Process, Workflow &amp; SLA Guide</w:t>
      </w:r>
    </w:p>
    <w:p>
      <w:pPr>
        <w:pBdr>
          <w:bottom w:val="single" w:color="7C3AED" w:sz="6" w:space="1"/>
        </w:pBdr>
        <w:spacing w:before="600"/>
      </w:pPr>
    </w:p>
    <w:p>
      <w:pPr>
        <w:spacing w:before="400"/>
      </w:pPr>
    </w:p>
    <w:p>
      <w:pPr>
        <w:jc w:val="center"/>
      </w:pPr>
      <w:r>
        <w:rPr>
          <w:rFonts w:ascii="Arial" w:cs="Arial" w:eastAsia="Arial" w:hAnsi="Arial"/>
          <w:color w:val="374151"/>
          <w:sz w:val="22"/>
          <w:szCs w:val="22"/>
        </w:rPr>
        <w:t xml:space="preserve">Version 1.0  |  July 2026</w:t>
      </w:r>
    </w:p>
    <w:p>
      <w:pPr>
        <w:spacing w:after="80"/>
        <w:jc w:val="center"/>
      </w:pPr>
      <w:r>
        <w:rPr>
          <w:rFonts w:ascii="Arial" w:cs="Arial" w:eastAsia="Arial" w:hAnsi="Arial"/>
          <w:b/>
          <w:bCs/>
          <w:color w:val="374151"/>
          <w:sz w:val="20"/>
          <w:szCs w:val="20"/>
        </w:rPr>
        <w:t xml:space="preserve">Internal Process Document</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581C87"/>
          <w:sz w:val="32"/>
          <w:szCs w:val="32"/>
        </w:rPr>
        <w:t xml:space="preserve">1. Purpose</w:t>
      </w:r>
    </w:p>
    <w:p>
      <w:pPr>
        <w:spacing w:after="120"/>
      </w:pPr>
      <w:r>
        <w:rPr>
          <w:rFonts w:ascii="Arial" w:cs="Arial" w:eastAsia="Arial" w:hAnsi="Arial"/>
          <w:color w:val="374151"/>
          <w:sz w:val="21"/>
          <w:szCs w:val="21"/>
        </w:rPr>
        <w:t xml:space="preserve">This document defines how DashBoard manages Change Requests (CRs) from clients after initial dashboard delivery. It covers CR categories, severity classification, pricing rules, approval workflow, and SLAs. The goal is to keep the process lightweight for a 3-person team while ensuring nothing falls through the cracks.</w:t>
      </w:r>
    </w:p>
    <w:p>
      <w:pPr>
        <w:pStyle w:val="Heading1"/>
        <w:spacing w:after="200" w:before="360"/>
      </w:pPr>
      <w:r>
        <w:rPr>
          <w:rFonts w:ascii="Arial" w:cs="Arial" w:eastAsia="Arial" w:hAnsi="Arial"/>
          <w:b/>
          <w:bCs/>
          <w:color w:val="581C87"/>
          <w:sz w:val="32"/>
          <w:szCs w:val="32"/>
        </w:rPr>
        <w:t xml:space="preserve">2. Change Request Categories</w:t>
      </w:r>
    </w:p>
    <w:p>
      <w:pPr>
        <w:spacing w:after="120"/>
      </w:pPr>
      <w:r>
        <w:rPr>
          <w:rFonts w:ascii="Arial" w:cs="Arial" w:eastAsia="Arial" w:hAnsi="Arial"/>
          <w:color w:val="374151"/>
          <w:sz w:val="21"/>
          <w:szCs w:val="21"/>
        </w:rPr>
        <w:t xml:space="preserve">Every CR falls into one of four categories, each with different pricing and SLA implications: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760"/>
      </w:tblGrid>
      <w:tr>
        <w:trPr>
          <w:tblHeader/>
        </w:trPr>
        <w:tc>
          <w:tcPr>
            <w:tcW w:type="dxa" w:w="1600"/>
            <w:tcBorders>
              <w:top w:val="single" w:color="D1D5DB" w:sz="1"/>
              <w:left w:val="single" w:color="D1D5DB" w:sz="1"/>
              <w:bottom w:val="single" w:color="D1D5DB" w:sz="1"/>
              <w:right w:val="single" w:color="D1D5DB" w:sz="1"/>
            </w:tcBorders>
            <w:shd w:fill="581C87"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2200"/>
            <w:tcBorders>
              <w:top w:val="single" w:color="D1D5DB" w:sz="1"/>
              <w:left w:val="single" w:color="D1D5DB" w:sz="1"/>
              <w:bottom w:val="single" w:color="D1D5DB" w:sz="1"/>
              <w:right w:val="single" w:color="D1D5DB" w:sz="1"/>
            </w:tcBorders>
            <w:shd w:fill="581C87"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800"/>
            <w:tcBorders>
              <w:top w:val="single" w:color="D1D5DB" w:sz="1"/>
              <w:left w:val="single" w:color="D1D5DB" w:sz="1"/>
              <w:bottom w:val="single" w:color="D1D5DB" w:sz="1"/>
              <w:right w:val="single" w:color="D1D5DB" w:sz="1"/>
            </w:tcBorders>
            <w:shd w:fill="581C87" w:val="clear"/>
            <w:tcMar>
              <w:top w:type="dxa" w:w="60"/>
              <w:left w:type="dxa" w:w="100"/>
              <w:bottom w:type="dxa" w:w="60"/>
              <w:right w:type="dxa" w:w="100"/>
            </w:tcMar>
            <w:vAlign w:val="center"/>
          </w:tcPr>
          <w:p>
            <w:r>
              <w:rPr>
                <w:rFonts w:ascii="Arial" w:cs="Arial" w:eastAsia="Arial" w:hAnsi="Arial"/>
                <w:b/>
                <w:bCs/>
                <w:color w:val="FFFFFF"/>
                <w:sz w:val="20"/>
                <w:szCs w:val="20"/>
              </w:rPr>
              <w:t xml:space="preserve">Examples</w:t>
            </w:r>
          </w:p>
        </w:tc>
        <w:tc>
          <w:tcPr>
            <w:tcW w:type="dxa" w:w="2760"/>
            <w:tcBorders>
              <w:top w:val="single" w:color="D1D5DB" w:sz="1"/>
              <w:left w:val="single" w:color="D1D5DB" w:sz="1"/>
              <w:bottom w:val="single" w:color="D1D5DB" w:sz="1"/>
              <w:right w:val="single" w:color="D1D5DB" w:sz="1"/>
            </w:tcBorders>
            <w:shd w:fill="581C87" w:val="clear"/>
            <w:tcMar>
              <w:top w:type="dxa" w:w="60"/>
              <w:left w:type="dxa" w:w="100"/>
              <w:bottom w:type="dxa" w:w="60"/>
              <w:right w:type="dxa" w:w="100"/>
            </w:tcMar>
            <w:vAlign w:val="center"/>
          </w:tcPr>
          <w:p>
            <w:r>
              <w:rPr>
                <w:rFonts w:ascii="Arial" w:cs="Arial" w:eastAsia="Arial" w:hAnsi="Arial"/>
                <w:b/>
                <w:bCs/>
                <w:color w:val="FFFFFF"/>
                <w:sz w:val="20"/>
                <w:szCs w:val="20"/>
              </w:rPr>
              <w:t xml:space="preserve">Pricing</w:t>
            </w:r>
          </w:p>
        </w:tc>
      </w:tr>
      <w:tr>
        <w:trPr>
          <w:tblHeader w:val="false"/>
        </w:trPr>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Minor Adjustment</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Small visual or text changes that take under 30 minutes</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Fix a typo in a label, change a chart color, adjust date format, reorder KPI cards</w:t>
            </w:r>
          </w:p>
        </w:tc>
        <w:tc>
          <w:tcPr>
            <w:tcW w:type="dxa" w:w="2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Included in monthly maintenance</w:t>
            </w:r>
          </w:p>
        </w:tc>
      </w:tr>
      <w:tr>
        <w:trPr>
          <w:tblHeader w:val="false"/>
        </w:trPr>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KPI / Data Change</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Adding, removing, or modifying a KPI metric or data source</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Add a new KPI card, change a chart from monthly to weekly, add a filter, switch data source field</w:t>
            </w:r>
          </w:p>
        </w:tc>
        <w:tc>
          <w:tcPr>
            <w:tcW w:type="dxa" w:w="27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Up to 2/month included; beyond that 200 NIS each</w:t>
            </w:r>
          </w:p>
        </w:tc>
      </w:tr>
      <w:tr>
        <w:trPr>
          <w:tblHeader w:val="false"/>
        </w:trPr>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Feature Addition</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New functionality not in the original dashboard scope</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Add email alerts, add a new dashboard view/tab, integrate an additional CRM module, add data export</w:t>
            </w:r>
          </w:p>
        </w:tc>
        <w:tc>
          <w:tcPr>
            <w:tcW w:type="dxa" w:w="2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Quoted per request (typically 500-1,500 NIS)</w:t>
            </w:r>
          </w:p>
        </w:tc>
      </w:tr>
      <w:tr>
        <w:trPr>
          <w:tblHeader w:val="false"/>
        </w:trPr>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Structural Rebuild</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Fundamental changes to dashboard architecture or data model</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Switch CRM system, redesign entire layout, add multi-location support, add user authentication</w:t>
            </w:r>
          </w:p>
        </w:tc>
        <w:tc>
          <w:tcPr>
            <w:tcW w:type="dxa" w:w="27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Quoted as a new project (re-scoping required)</w:t>
            </w:r>
          </w:p>
        </w:tc>
      </w:tr>
    </w:tbl>
    <w:p>
      <w:pPr>
        <w:spacing w:after="40"/>
      </w:pPr>
    </w:p>
    <w:p>
      <w:pPr>
        <w:pStyle w:val="Heading1"/>
        <w:spacing w:after="200" w:before="360"/>
      </w:pPr>
      <w:r>
        <w:rPr>
          <w:rFonts w:ascii="Arial" w:cs="Arial" w:eastAsia="Arial" w:hAnsi="Arial"/>
          <w:b/>
          <w:bCs/>
          <w:color w:val="581C87"/>
          <w:sz w:val="32"/>
          <w:szCs w:val="32"/>
        </w:rPr>
        <w:t xml:space="preserve">3. Severity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000"/>
        <w:gridCol w:w="2760"/>
      </w:tblGrid>
      <w:tr>
        <w:trPr>
          <w:tblHeader/>
        </w:trPr>
        <w:tc>
          <w:tcPr>
            <w:tcW w:type="dxa" w:w="1800"/>
            <w:tcBorders>
              <w:top w:val="single" w:color="D1D5DB" w:sz="1"/>
              <w:left w:val="single" w:color="D1D5DB" w:sz="1"/>
              <w:bottom w:val="single" w:color="D1D5DB" w:sz="1"/>
              <w:right w:val="single" w:color="D1D5DB" w:sz="1"/>
            </w:tcBorders>
            <w:shd w:fill="581C87" w:val="clear"/>
            <w:tcMar>
              <w:top w:type="dxa" w:w="60"/>
              <w:left w:type="dxa" w:w="100"/>
              <w:bottom w:type="dxa" w:w="60"/>
              <w:right w:type="dxa" w:w="100"/>
            </w:tcMar>
            <w:vAlign w:val="center"/>
          </w:tcPr>
          <w:p>
            <w:r>
              <w:rPr>
                <w:rFonts w:ascii="Arial" w:cs="Arial" w:eastAsia="Arial" w:hAnsi="Arial"/>
                <w:b/>
                <w:bCs/>
                <w:color w:val="FFFFFF"/>
                <w:sz w:val="20"/>
                <w:szCs w:val="20"/>
              </w:rPr>
              <w:t xml:space="preserve">Severity</w:t>
            </w:r>
          </w:p>
        </w:tc>
        <w:tc>
          <w:tcPr>
            <w:tcW w:type="dxa" w:w="2800"/>
            <w:tcBorders>
              <w:top w:val="single" w:color="D1D5DB" w:sz="1"/>
              <w:left w:val="single" w:color="D1D5DB" w:sz="1"/>
              <w:bottom w:val="single" w:color="D1D5DB" w:sz="1"/>
              <w:right w:val="single" w:color="D1D5DB" w:sz="1"/>
            </w:tcBorders>
            <w:shd w:fill="581C87" w:val="clear"/>
            <w:tcMar>
              <w:top w:type="dxa" w:w="60"/>
              <w:left w:type="dxa" w:w="100"/>
              <w:bottom w:type="dxa" w:w="60"/>
              <w:right w:type="dxa" w:w="100"/>
            </w:tcMar>
            <w:vAlign w:val="center"/>
          </w:tcPr>
          <w:p>
            <w:r>
              <w:rPr>
                <w:rFonts w:ascii="Arial" w:cs="Arial" w:eastAsia="Arial" w:hAnsi="Arial"/>
                <w:b/>
                <w:bCs/>
                <w:color w:val="FFFFFF"/>
                <w:sz w:val="20"/>
                <w:szCs w:val="20"/>
              </w:rPr>
              <w:t xml:space="preserve">Definition</w:t>
            </w:r>
          </w:p>
        </w:tc>
        <w:tc>
          <w:tcPr>
            <w:tcW w:type="dxa" w:w="2000"/>
            <w:tcBorders>
              <w:top w:val="single" w:color="D1D5DB" w:sz="1"/>
              <w:left w:val="single" w:color="D1D5DB" w:sz="1"/>
              <w:bottom w:val="single" w:color="D1D5DB" w:sz="1"/>
              <w:right w:val="single" w:color="D1D5DB" w:sz="1"/>
            </w:tcBorders>
            <w:shd w:fill="581C87"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Response SLA</w:t>
            </w:r>
          </w:p>
        </w:tc>
        <w:tc>
          <w:tcPr>
            <w:tcW w:type="dxa" w:w="2760"/>
            <w:tcBorders>
              <w:top w:val="single" w:color="D1D5DB" w:sz="1"/>
              <w:left w:val="single" w:color="D1D5DB" w:sz="1"/>
              <w:bottom w:val="single" w:color="D1D5DB" w:sz="1"/>
              <w:right w:val="single" w:color="D1D5DB" w:sz="1"/>
            </w:tcBorders>
            <w:shd w:fill="581C87" w:val="clear"/>
            <w:tcMar>
              <w:top w:type="dxa" w:w="60"/>
              <w:left w:type="dxa" w:w="100"/>
              <w:bottom w:type="dxa" w:w="60"/>
              <w:right w:type="dxa" w:w="100"/>
            </w:tcMar>
            <w:vAlign w:val="center"/>
          </w:tcPr>
          <w:p>
            <w:r>
              <w:rPr>
                <w:rFonts w:ascii="Arial" w:cs="Arial" w:eastAsia="Arial" w:hAnsi="Arial"/>
                <w:b/>
                <w:bCs/>
                <w:color w:val="FFFFFF"/>
                <w:sz w:val="20"/>
                <w:szCs w:val="20"/>
              </w:rPr>
              <w:t xml:space="preserve">Resolution SLA</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P1 - Critical</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Dashboard is down, data is incorrect/misleading, or security issue</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Same business day</w:t>
            </w:r>
          </w:p>
        </w:tc>
        <w:tc>
          <w:tcPr>
            <w:tcW w:type="dxa" w:w="2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24 hours</w:t>
            </w:r>
          </w:p>
        </w:tc>
      </w:tr>
      <w:tr>
        <w:trPr>
          <w:tblHeader w:val="false"/>
        </w:trP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P2 - High</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Major feature broken, key KPI not updating, significant display error</w:t>
            </w:r>
          </w:p>
        </w:tc>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1 business day</w:t>
            </w:r>
          </w:p>
        </w:tc>
        <w:tc>
          <w:tcPr>
            <w:tcW w:type="dxa" w:w="27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3 business days</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P3 - Medium</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Minor feature issue, cosmetic problem, non-critical data discrepancy</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2 business days</w:t>
            </w:r>
          </w:p>
        </w:tc>
        <w:tc>
          <w:tcPr>
            <w:tcW w:type="dxa" w:w="2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5 business days</w:t>
            </w:r>
          </w:p>
        </w:tc>
      </w:tr>
      <w:tr>
        <w:trPr>
          <w:tblHeader w:val="false"/>
        </w:trP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P4 - Low</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Enhancement request, nice-to-have change, future improvement</w:t>
            </w:r>
          </w:p>
        </w:tc>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3 business days</w:t>
            </w:r>
          </w:p>
        </w:tc>
        <w:tc>
          <w:tcPr>
            <w:tcW w:type="dxa" w:w="27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Next maintenance cycle (up to 30 days)</w:t>
            </w:r>
          </w:p>
        </w:tc>
      </w:tr>
    </w:tbl>
    <w:p>
      <w:pPr>
        <w:spacing w:after="40"/>
      </w:pPr>
    </w:p>
    <w:p>
      <w:pPr>
        <w:spacing w:after="120"/>
      </w:pPr>
      <w:r>
        <w:rPr>
          <w:rFonts w:ascii="Arial" w:cs="Arial" w:eastAsia="Arial" w:hAnsi="Arial"/>
          <w:color w:val="374151"/>
          <w:sz w:val="21"/>
          <w:szCs w:val="21"/>
        </w:rPr>
        <w:t xml:space="preserve">Response SLA = acknowledgment with initial assessment. Resolution SLA = change deployed and confirmed by client.</w:t>
      </w:r>
    </w:p>
    <w:p>
      <w:r>
        <w:br w:type="page"/>
      </w:r>
    </w:p>
    <w:p>
      <w:pPr>
        <w:pStyle w:val="Heading1"/>
        <w:spacing w:after="200" w:before="360"/>
      </w:pPr>
      <w:r>
        <w:rPr>
          <w:rFonts w:ascii="Arial" w:cs="Arial" w:eastAsia="Arial" w:hAnsi="Arial"/>
          <w:b/>
          <w:bCs/>
          <w:color w:val="581C87"/>
          <w:sz w:val="32"/>
          <w:szCs w:val="32"/>
        </w:rPr>
        <w:t xml:space="preserve">4. CR Workflow</w:t>
      </w:r>
    </w:p>
    <w:p>
      <w:pPr>
        <w:spacing w:after="120"/>
      </w:pPr>
      <w:r>
        <w:rPr>
          <w:rFonts w:ascii="Arial" w:cs="Arial" w:eastAsia="Arial" w:hAnsi="Arial"/>
          <w:color w:val="374151"/>
          <w:sz w:val="21"/>
          <w:szCs w:val="21"/>
        </w:rPr>
        <w:t xml:space="preserve">The CR lifecycle has 6 stages:</w:t>
      </w:r>
    </w:p>
    <w:p>
      <w:pPr>
        <w:spacing w:after="40"/>
      </w:pPr>
    </w:p>
    <w:p>
      <w:pPr>
        <w:pStyle w:val="ListParagraph"/>
        <w:numPr>
          <w:ilvl w:val="0"/>
          <w:numId w:val="2"/>
        </w:numPr>
        <w:spacing w:after="80"/>
      </w:pPr>
      <w:r>
        <w:rPr>
          <w:rFonts w:ascii="Arial" w:cs="Arial" w:eastAsia="Arial" w:hAnsi="Arial"/>
          <w:color w:val="374151"/>
          <w:sz w:val="21"/>
          <w:szCs w:val="21"/>
        </w:rPr>
        <w:t xml:space="preserve">SUBMITTED: Client fills out the CR submission form (online) or sends a request via WhatsApp/email. Ofir logs it in the CR Tracker spreadsheet.</w:t>
      </w:r>
    </w:p>
    <w:p>
      <w:pPr>
        <w:pStyle w:val="ListParagraph"/>
        <w:numPr>
          <w:ilvl w:val="0"/>
          <w:numId w:val="2"/>
        </w:numPr>
        <w:spacing w:after="80"/>
      </w:pPr>
      <w:r>
        <w:rPr>
          <w:rFonts w:ascii="Arial" w:cs="Arial" w:eastAsia="Arial" w:hAnsi="Arial"/>
          <w:color w:val="374151"/>
          <w:sz w:val="21"/>
          <w:szCs w:val="21"/>
        </w:rPr>
        <w:t xml:space="preserve">TRIAGED: Ofir classifies the CR by category and severity within the Response SLA. If it is a Minor Adjustment, Ofir can approve and assign directly (skip to step 4).</w:t>
      </w:r>
    </w:p>
    <w:p>
      <w:pPr>
        <w:pStyle w:val="ListParagraph"/>
        <w:numPr>
          <w:ilvl w:val="0"/>
          <w:numId w:val="2"/>
        </w:numPr>
        <w:spacing w:after="80"/>
      </w:pPr>
      <w:r>
        <w:rPr>
          <w:rFonts w:ascii="Arial" w:cs="Arial" w:eastAsia="Arial" w:hAnsi="Arial"/>
          <w:color w:val="374151"/>
          <w:sz w:val="21"/>
          <w:szCs w:val="21"/>
        </w:rPr>
        <w:t xml:space="preserve">QUOTED: For KPI/Data Changes (beyond the 2/month quota), Feature Additions, and Structural Rebuilds, Ofir prepares a cost estimate and timeline. Client receives a quote for approval.</w:t>
      </w:r>
    </w:p>
    <w:p>
      <w:pPr>
        <w:pStyle w:val="ListParagraph"/>
        <w:numPr>
          <w:ilvl w:val="0"/>
          <w:numId w:val="2"/>
        </w:numPr>
        <w:spacing w:after="80"/>
      </w:pPr>
      <w:r>
        <w:rPr>
          <w:rFonts w:ascii="Arial" w:cs="Arial" w:eastAsia="Arial" w:hAnsi="Arial"/>
          <w:color w:val="374151"/>
          <w:sz w:val="21"/>
          <w:szCs w:val="21"/>
        </w:rPr>
        <w:t xml:space="preserve">APPROVED: Client approves the quote (or the CR is auto-approved for included changes). CR status moves to In Progress.</w:t>
      </w:r>
    </w:p>
    <w:p>
      <w:pPr>
        <w:pStyle w:val="ListParagraph"/>
        <w:numPr>
          <w:ilvl w:val="0"/>
          <w:numId w:val="2"/>
        </w:numPr>
        <w:spacing w:after="80"/>
      </w:pPr>
      <w:r>
        <w:rPr>
          <w:rFonts w:ascii="Arial" w:cs="Arial" w:eastAsia="Arial" w:hAnsi="Arial"/>
          <w:color w:val="374151"/>
          <w:sz w:val="21"/>
          <w:szCs w:val="21"/>
        </w:rPr>
        <w:t xml:space="preserve">DELIVERED: Change is built, tested against live data, and deployed. Ofir notifies the client and requests confirmation.</w:t>
      </w:r>
    </w:p>
    <w:p>
      <w:pPr>
        <w:pStyle w:val="ListParagraph"/>
        <w:numPr>
          <w:ilvl w:val="0"/>
          <w:numId w:val="2"/>
        </w:numPr>
        <w:spacing w:after="80"/>
      </w:pPr>
      <w:r>
        <w:rPr>
          <w:rFonts w:ascii="Arial" w:cs="Arial" w:eastAsia="Arial" w:hAnsi="Arial"/>
          <w:color w:val="374151"/>
          <w:sz w:val="21"/>
          <w:szCs w:val="21"/>
        </w:rPr>
        <w:t xml:space="preserve">CLOSED: Client confirms the change is correct. CR is marked Closed in the tracker. If the client does not confirm within 5 business days, CR auto-closes.</w:t>
      </w:r>
    </w:p>
    <w:p>
      <w:pPr>
        <w:spacing w:after="40"/>
      </w:pPr>
    </w:p>
    <w:p>
      <w:pPr>
        <w:pStyle w:val="Heading2"/>
        <w:spacing w:after="140" w:before="280"/>
      </w:pPr>
      <w:r>
        <w:rPr>
          <w:rFonts w:ascii="Arial" w:cs="Arial" w:eastAsia="Arial" w:hAnsi="Arial"/>
          <w:b/>
          <w:bCs/>
          <w:color w:val="7C3AED"/>
          <w:sz w:val="26"/>
          <w:szCs w:val="26"/>
        </w:rPr>
        <w:t xml:space="preserve">4.1 Rejection / Cancellation</w:t>
      </w:r>
    </w:p>
    <w:p>
      <w:pPr>
        <w:pStyle w:val="ListParagraph"/>
        <w:numPr>
          <w:ilvl w:val="0"/>
          <w:numId w:val="3"/>
        </w:numPr>
        <w:spacing w:after="60"/>
      </w:pPr>
      <w:r>
        <w:rPr>
          <w:rFonts w:ascii="Arial" w:cs="Arial" w:eastAsia="Arial" w:hAnsi="Arial"/>
          <w:color w:val="374151"/>
          <w:sz w:val="21"/>
          <w:szCs w:val="21"/>
        </w:rPr>
        <w:t xml:space="preserve">Client can cancel a CR at any stage before Delivered. No charge unless work has already begun on a quoted CR (in which case, charge for hours spent).</w:t>
      </w:r>
    </w:p>
    <w:p>
      <w:pPr>
        <w:pStyle w:val="ListParagraph"/>
        <w:numPr>
          <w:ilvl w:val="0"/>
          <w:numId w:val="3"/>
        </w:numPr>
        <w:spacing w:after="60"/>
      </w:pPr>
      <w:r>
        <w:rPr>
          <w:rFonts w:ascii="Arial" w:cs="Arial" w:eastAsia="Arial" w:hAnsi="Arial"/>
          <w:color w:val="374151"/>
          <w:sz w:val="21"/>
          <w:szCs w:val="21"/>
        </w:rPr>
        <w:t xml:space="preserve">Ofir can reject a CR if it is technically infeasible or out of scope. Must provide a written reason and suggest alternatives.</w:t>
      </w:r>
    </w:p>
    <w:p>
      <w:pPr>
        <w:pStyle w:val="Heading2"/>
        <w:spacing w:after="140" w:before="280"/>
      </w:pPr>
      <w:r>
        <w:rPr>
          <w:rFonts w:ascii="Arial" w:cs="Arial" w:eastAsia="Arial" w:hAnsi="Arial"/>
          <w:b/>
          <w:bCs/>
          <w:color w:val="7C3AED"/>
          <w:sz w:val="26"/>
          <w:szCs w:val="26"/>
        </w:rPr>
        <w:t xml:space="preserve">4.2 Escalation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rPr>
          <w:tblHeader/>
        </w:trPr>
        <w:tc>
          <w:tcPr>
            <w:tcW w:type="dxa" w:w="3500"/>
            <w:tcBorders>
              <w:top w:val="single" w:color="D1D5DB" w:sz="1"/>
              <w:left w:val="single" w:color="D1D5DB" w:sz="1"/>
              <w:bottom w:val="single" w:color="D1D5DB" w:sz="1"/>
              <w:right w:val="single" w:color="D1D5DB" w:sz="1"/>
            </w:tcBorders>
            <w:shd w:fill="581C87" w:val="clear"/>
            <w:tcMar>
              <w:top w:type="dxa" w:w="60"/>
              <w:left w:type="dxa" w:w="100"/>
              <w:bottom w:type="dxa" w:w="60"/>
              <w:right w:type="dxa" w:w="100"/>
            </w:tcMar>
            <w:vAlign w:val="center"/>
          </w:tcPr>
          <w:p>
            <w:r>
              <w:rPr>
                <w:rFonts w:ascii="Arial" w:cs="Arial" w:eastAsia="Arial" w:hAnsi="Arial"/>
                <w:b/>
                <w:bCs/>
                <w:color w:val="FFFFFF"/>
                <w:sz w:val="20"/>
                <w:szCs w:val="20"/>
              </w:rPr>
              <w:t xml:space="preserve">Trigger</w:t>
            </w:r>
          </w:p>
        </w:tc>
        <w:tc>
          <w:tcPr>
            <w:tcW w:type="dxa" w:w="3500"/>
            <w:tcBorders>
              <w:top w:val="single" w:color="D1D5DB" w:sz="1"/>
              <w:left w:val="single" w:color="D1D5DB" w:sz="1"/>
              <w:bottom w:val="single" w:color="D1D5DB" w:sz="1"/>
              <w:right w:val="single" w:color="D1D5DB" w:sz="1"/>
            </w:tcBorders>
            <w:shd w:fill="581C87"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w:t>
            </w:r>
          </w:p>
        </w:tc>
        <w:tc>
          <w:tcPr>
            <w:tcW w:type="dxa" w:w="2360"/>
            <w:tcBorders>
              <w:top w:val="single" w:color="D1D5DB" w:sz="1"/>
              <w:left w:val="single" w:color="D1D5DB" w:sz="1"/>
              <w:bottom w:val="single" w:color="D1D5DB" w:sz="1"/>
              <w:right w:val="single" w:color="D1D5DB" w:sz="1"/>
            </w:tcBorders>
            <w:shd w:fill="581C87" w:val="clear"/>
            <w:tcMar>
              <w:top w:type="dxa" w:w="60"/>
              <w:left w:type="dxa" w:w="100"/>
              <w:bottom w:type="dxa" w:w="60"/>
              <w:right w:type="dxa" w:w="100"/>
            </w:tcMar>
            <w:vAlign w:val="center"/>
          </w:tcPr>
          <w:p>
            <w:r>
              <w:rPr>
                <w:rFonts w:ascii="Arial" w:cs="Arial" w:eastAsia="Arial" w:hAnsi="Arial"/>
                <w:b/>
                <w:bCs/>
                <w:color w:val="FFFFFF"/>
                <w:sz w:val="20"/>
                <w:szCs w:val="20"/>
              </w:rPr>
              <w:t xml:space="preserve">Owner</w:t>
            </w:r>
          </w:p>
        </w:tc>
      </w:tr>
      <w:tr>
        <w:trPr>
          <w:tblHeader w:val="false"/>
        </w:trPr>
        <w:tc>
          <w:tcPr>
            <w:tcW w:type="dxa" w:w="3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CR sits in Triaged &gt; 2 business days without quote</w:t>
            </w:r>
          </w:p>
        </w:tc>
        <w:tc>
          <w:tcPr>
            <w:tcW w:type="dxa" w:w="3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Ofir escalates to Arye</w:t>
            </w:r>
          </w:p>
        </w:tc>
        <w:tc>
          <w:tcPr>
            <w:tcW w:type="dxa" w:w="2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Arye</w:t>
            </w:r>
          </w:p>
        </w:tc>
      </w:tr>
      <w:tr>
        <w:trPr>
          <w:tblHeader w:val="false"/>
        </w:trPr>
        <w:tc>
          <w:tcPr>
            <w:tcW w:type="dxa" w:w="3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Client disputes a quote</w:t>
            </w:r>
          </w:p>
        </w:tc>
        <w:tc>
          <w:tcPr>
            <w:tcW w:type="dxa" w:w="3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Ofir loops in Arye for negotiation</w:t>
            </w:r>
          </w:p>
        </w:tc>
        <w:tc>
          <w:tcPr>
            <w:tcW w:type="dxa" w:w="2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Arye</w:t>
            </w:r>
          </w:p>
        </w:tc>
      </w:tr>
      <w:tr>
        <w:trPr>
          <w:tblHeader w:val="false"/>
        </w:trPr>
        <w:tc>
          <w:tcPr>
            <w:tcW w:type="dxa" w:w="3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P1 severity not resolved within 24 hours</w:t>
            </w:r>
          </w:p>
        </w:tc>
        <w:tc>
          <w:tcPr>
            <w:tcW w:type="dxa" w:w="3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Arye takes direct ownership</w:t>
            </w:r>
          </w:p>
        </w:tc>
        <w:tc>
          <w:tcPr>
            <w:tcW w:type="dxa" w:w="2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Arye</w:t>
            </w:r>
          </w:p>
        </w:tc>
      </w:tr>
      <w:tr>
        <w:trPr>
          <w:tblHeader w:val="false"/>
        </w:trPr>
        <w:tc>
          <w:tcPr>
            <w:tcW w:type="dxa" w:w="3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3+ CRs from same client in one month</w:t>
            </w:r>
          </w:p>
        </w:tc>
        <w:tc>
          <w:tcPr>
            <w:tcW w:type="dxa" w:w="3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Ofir schedules a review call to discuss upsell or scope adjustment</w:t>
            </w:r>
          </w:p>
        </w:tc>
        <w:tc>
          <w:tcPr>
            <w:tcW w:type="dxa" w:w="2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Ofir</w:t>
            </w:r>
          </w:p>
        </w:tc>
      </w:tr>
    </w:tbl>
    <w:p>
      <w:pPr>
        <w:spacing w:after="40"/>
      </w:pPr>
    </w:p>
    <w:p>
      <w:pPr>
        <w:pStyle w:val="Heading1"/>
        <w:spacing w:after="200" w:before="360"/>
      </w:pPr>
      <w:r>
        <w:rPr>
          <w:rFonts w:ascii="Arial" w:cs="Arial" w:eastAsia="Arial" w:hAnsi="Arial"/>
          <w:b/>
          <w:bCs/>
          <w:color w:val="581C87"/>
          <w:sz w:val="32"/>
          <w:szCs w:val="32"/>
        </w:rPr>
        <w:t xml:space="preserve">5. Pricing Rules</w:t>
      </w:r>
    </w:p>
    <w:p>
      <w:pPr>
        <w:pStyle w:val="Heading2"/>
        <w:spacing w:after="140" w:before="280"/>
      </w:pPr>
      <w:r>
        <w:rPr>
          <w:rFonts w:ascii="Arial" w:cs="Arial" w:eastAsia="Arial" w:hAnsi="Arial"/>
          <w:b/>
          <w:bCs/>
          <w:color w:val="7C3AED"/>
          <w:sz w:val="26"/>
          <w:szCs w:val="26"/>
        </w:rPr>
        <w:t xml:space="preserve">5.1 What is Included in Monthly Maintenance</w:t>
      </w:r>
    </w:p>
    <w:p>
      <w:pPr>
        <w:pStyle w:val="ListParagraph"/>
        <w:numPr>
          <w:ilvl w:val="0"/>
          <w:numId w:val="3"/>
        </w:numPr>
        <w:spacing w:after="60"/>
      </w:pPr>
      <w:r>
        <w:rPr>
          <w:rFonts w:ascii="Arial" w:cs="Arial" w:eastAsia="Arial" w:hAnsi="Arial"/>
          <w:color w:val="374151"/>
          <w:sz w:val="21"/>
          <w:szCs w:val="21"/>
        </w:rPr>
        <w:t xml:space="preserve">All Minor Adjustments (unlimited)</w:t>
      </w:r>
    </w:p>
    <w:p>
      <w:pPr>
        <w:pStyle w:val="ListParagraph"/>
        <w:numPr>
          <w:ilvl w:val="0"/>
          <w:numId w:val="3"/>
        </w:numPr>
        <w:spacing w:after="60"/>
      </w:pPr>
      <w:r>
        <w:rPr>
          <w:rFonts w:ascii="Arial" w:cs="Arial" w:eastAsia="Arial" w:hAnsi="Arial"/>
          <w:color w:val="374151"/>
          <w:sz w:val="21"/>
          <w:szCs w:val="21"/>
        </w:rPr>
        <w:t xml:space="preserve">Up to 2 KPI / Data Changes per month</w:t>
      </w:r>
    </w:p>
    <w:p>
      <w:pPr>
        <w:pStyle w:val="ListParagraph"/>
        <w:numPr>
          <w:ilvl w:val="0"/>
          <w:numId w:val="3"/>
        </w:numPr>
        <w:spacing w:after="60"/>
      </w:pPr>
      <w:r>
        <w:rPr>
          <w:rFonts w:ascii="Arial" w:cs="Arial" w:eastAsia="Arial" w:hAnsi="Arial"/>
          <w:color w:val="374151"/>
          <w:sz w:val="21"/>
          <w:szCs w:val="21"/>
        </w:rPr>
        <w:t xml:space="preserve">Bug fixes (anything that worked before and stopped working)</w:t>
      </w:r>
    </w:p>
    <w:p>
      <w:pPr>
        <w:pStyle w:val="ListParagraph"/>
        <w:numPr>
          <w:ilvl w:val="0"/>
          <w:numId w:val="3"/>
        </w:numPr>
        <w:spacing w:after="60"/>
      </w:pPr>
      <w:r>
        <w:rPr>
          <w:rFonts w:ascii="Arial" w:cs="Arial" w:eastAsia="Arial" w:hAnsi="Arial"/>
          <w:color w:val="374151"/>
          <w:sz w:val="21"/>
          <w:szCs w:val="21"/>
        </w:rPr>
        <w:t xml:space="preserve">Data refresh issues and CRM connection troubleshooting</w:t>
      </w:r>
    </w:p>
    <w:p>
      <w:pPr>
        <w:pStyle w:val="Heading2"/>
        <w:spacing w:after="140" w:before="280"/>
      </w:pPr>
      <w:r>
        <w:rPr>
          <w:rFonts w:ascii="Arial" w:cs="Arial" w:eastAsia="Arial" w:hAnsi="Arial"/>
          <w:b/>
          <w:bCs/>
          <w:color w:val="7C3AED"/>
          <w:sz w:val="26"/>
          <w:szCs w:val="26"/>
        </w:rPr>
        <w:t xml:space="preserve">5.2 What is Billable</w:t>
      </w:r>
    </w:p>
    <w:p>
      <w:pPr>
        <w:pStyle w:val="ListParagraph"/>
        <w:numPr>
          <w:ilvl w:val="0"/>
          <w:numId w:val="3"/>
        </w:numPr>
        <w:spacing w:after="60"/>
      </w:pPr>
      <w:r>
        <w:rPr>
          <w:rFonts w:ascii="Arial" w:cs="Arial" w:eastAsia="Arial" w:hAnsi="Arial"/>
          <w:color w:val="374151"/>
          <w:sz w:val="21"/>
          <w:szCs w:val="21"/>
        </w:rPr>
        <w:t xml:space="preserve">KPI / Data Changes beyond the 2/month quota: 200 NIS each</w:t>
      </w:r>
    </w:p>
    <w:p>
      <w:pPr>
        <w:pStyle w:val="ListParagraph"/>
        <w:numPr>
          <w:ilvl w:val="0"/>
          <w:numId w:val="3"/>
        </w:numPr>
        <w:spacing w:after="60"/>
      </w:pPr>
      <w:r>
        <w:rPr>
          <w:rFonts w:ascii="Arial" w:cs="Arial" w:eastAsia="Arial" w:hAnsi="Arial"/>
          <w:color w:val="374151"/>
          <w:sz w:val="21"/>
          <w:szCs w:val="21"/>
        </w:rPr>
        <w:t xml:space="preserve">Feature Additions: quoted individually, typically 500-1,500 NIS depending on complexity</w:t>
      </w:r>
    </w:p>
    <w:p>
      <w:pPr>
        <w:pStyle w:val="ListParagraph"/>
        <w:numPr>
          <w:ilvl w:val="0"/>
          <w:numId w:val="3"/>
        </w:numPr>
        <w:spacing w:after="60"/>
      </w:pPr>
      <w:r>
        <w:rPr>
          <w:rFonts w:ascii="Arial" w:cs="Arial" w:eastAsia="Arial" w:hAnsi="Arial"/>
          <w:color w:val="374151"/>
          <w:sz w:val="21"/>
          <w:szCs w:val="21"/>
        </w:rPr>
        <w:t xml:space="preserve">Structural Rebuilds: quoted as a mini-project, typically 1,500-3,000 NIS</w:t>
      </w:r>
    </w:p>
    <w:p>
      <w:pPr>
        <w:pStyle w:val="ListParagraph"/>
        <w:numPr>
          <w:ilvl w:val="0"/>
          <w:numId w:val="3"/>
        </w:numPr>
        <w:spacing w:after="60"/>
      </w:pPr>
      <w:r>
        <w:rPr>
          <w:rFonts w:ascii="Arial" w:cs="Arial" w:eastAsia="Arial" w:hAnsi="Arial"/>
          <w:color w:val="374151"/>
          <w:sz w:val="21"/>
          <w:szCs w:val="21"/>
        </w:rPr>
        <w:t xml:space="preserve">Rush delivery (faster than standard SLA): 50% surcharge</w:t>
      </w:r>
    </w:p>
    <w:p>
      <w:pPr>
        <w:pStyle w:val="Heading2"/>
        <w:spacing w:after="140" w:before="280"/>
      </w:pPr>
      <w:r>
        <w:rPr>
          <w:rFonts w:ascii="Arial" w:cs="Arial" w:eastAsia="Arial" w:hAnsi="Arial"/>
          <w:b/>
          <w:bCs/>
          <w:color w:val="7C3AED"/>
          <w:sz w:val="26"/>
          <w:szCs w:val="26"/>
        </w:rPr>
        <w:t xml:space="preserve">5.3 Billing</w:t>
      </w:r>
    </w:p>
    <w:p>
      <w:pPr>
        <w:pStyle w:val="ListParagraph"/>
        <w:numPr>
          <w:ilvl w:val="0"/>
          <w:numId w:val="3"/>
        </w:numPr>
        <w:spacing w:after="60"/>
      </w:pPr>
      <w:r>
        <w:rPr>
          <w:rFonts w:ascii="Arial" w:cs="Arial" w:eastAsia="Arial" w:hAnsi="Arial"/>
          <w:color w:val="374151"/>
          <w:sz w:val="21"/>
          <w:szCs w:val="21"/>
        </w:rPr>
        <w:t xml:space="preserve">Billable CRs are invoiced at end of month, bundled with the monthly maintenance fee.</w:t>
      </w:r>
    </w:p>
    <w:p>
      <w:pPr>
        <w:pStyle w:val="ListParagraph"/>
        <w:numPr>
          <w:ilvl w:val="0"/>
          <w:numId w:val="3"/>
        </w:numPr>
        <w:spacing w:after="60"/>
      </w:pPr>
      <w:r>
        <w:rPr>
          <w:rFonts w:ascii="Arial" w:cs="Arial" w:eastAsia="Arial" w:hAnsi="Arial"/>
          <w:color w:val="374151"/>
          <w:sz w:val="21"/>
          <w:szCs w:val="21"/>
        </w:rPr>
        <w:t xml:space="preserve">Quotes are valid for 30 days. After that, re-quote required.</w:t>
      </w:r>
    </w:p>
    <w:p>
      <w:pPr>
        <w:pStyle w:val="ListParagraph"/>
        <w:numPr>
          <w:ilvl w:val="0"/>
          <w:numId w:val="3"/>
        </w:numPr>
        <w:spacing w:after="60"/>
      </w:pPr>
      <w:r>
        <w:rPr>
          <w:rFonts w:ascii="Arial" w:cs="Arial" w:eastAsia="Arial" w:hAnsi="Arial"/>
          <w:color w:val="374151"/>
          <w:sz w:val="21"/>
          <w:szCs w:val="21"/>
        </w:rPr>
        <w:t xml:space="preserve">Pre-paid CR bundles available for high-volume clients: 5 KPI changes for 800 NIS (20% discount).</w:t>
      </w:r>
    </w:p>
    <w:p>
      <w:r>
        <w:br w:type="page"/>
      </w:r>
    </w:p>
    <w:p>
      <w:pPr>
        <w:pStyle w:val="Heading1"/>
        <w:spacing w:after="200" w:before="360"/>
      </w:pPr>
      <w:r>
        <w:rPr>
          <w:rFonts w:ascii="Arial" w:cs="Arial" w:eastAsia="Arial" w:hAnsi="Arial"/>
          <w:b/>
          <w:bCs/>
          <w:color w:val="581C87"/>
          <w:sz w:val="32"/>
          <w:szCs w:val="32"/>
        </w:rPr>
        <w:t xml:space="preserve">6.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D1D5DB" w:sz="1"/>
              <w:left w:val="single" w:color="D1D5DB" w:sz="1"/>
              <w:bottom w:val="single" w:color="D1D5DB" w:sz="1"/>
              <w:right w:val="single" w:color="D1D5DB" w:sz="1"/>
            </w:tcBorders>
            <w:shd w:fill="581C87"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000"/>
            <w:tcBorders>
              <w:top w:val="single" w:color="D1D5DB" w:sz="1"/>
              <w:left w:val="single" w:color="D1D5DB" w:sz="1"/>
              <w:bottom w:val="single" w:color="D1D5DB" w:sz="1"/>
              <w:right w:val="single" w:color="D1D5DB" w:sz="1"/>
            </w:tcBorders>
            <w:shd w:fill="581C87" w:val="clear"/>
            <w:tcMar>
              <w:top w:type="dxa" w:w="60"/>
              <w:left w:type="dxa" w:w="100"/>
              <w:bottom w:type="dxa" w:w="60"/>
              <w:right w:type="dxa" w:w="100"/>
            </w:tcMar>
            <w:vAlign w:val="center"/>
          </w:tcPr>
          <w:p>
            <w:r>
              <w:rPr>
                <w:rFonts w:ascii="Arial" w:cs="Arial" w:eastAsia="Arial" w:hAnsi="Arial"/>
                <w:b/>
                <w:bCs/>
                <w:color w:val="FFFFFF"/>
                <w:sz w:val="20"/>
                <w:szCs w:val="20"/>
              </w:rPr>
              <w:t xml:space="preserve">Person</w:t>
            </w:r>
          </w:p>
        </w:tc>
        <w:tc>
          <w:tcPr>
            <w:tcW w:type="dxa" w:w="5360"/>
            <w:tcBorders>
              <w:top w:val="single" w:color="D1D5DB" w:sz="1"/>
              <w:left w:val="single" w:color="D1D5DB" w:sz="1"/>
              <w:bottom w:val="single" w:color="D1D5DB" w:sz="1"/>
              <w:right w:val="single" w:color="D1D5DB" w:sz="1"/>
            </w:tcBorders>
            <w:shd w:fill="581C87" w:val="clear"/>
            <w:tcMar>
              <w:top w:type="dxa" w:w="60"/>
              <w:left w:type="dxa" w:w="100"/>
              <w:bottom w:type="dxa" w:w="60"/>
              <w:right w:type="dxa" w:w="100"/>
            </w:tcMar>
            <w:vAlign w:val="center"/>
          </w:tcPr>
          <w:p>
            <w:r>
              <w:rPr>
                <w:rFonts w:ascii="Arial" w:cs="Arial" w:eastAsia="Arial" w:hAnsi="Arial"/>
                <w:b/>
                <w:bCs/>
                <w:color w:val="FFFFFF"/>
                <w:sz w:val="20"/>
                <w:szCs w:val="20"/>
              </w:rPr>
              <w:t xml:space="preserve">CR Responsibilities</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CR Manager</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Ofir Levi</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Receives CRs, logs in tracker, triages (category + severity), prepares quotes, communicates with client, confirms delivery</w:t>
            </w:r>
          </w:p>
        </w:tc>
      </w:tr>
      <w:tr>
        <w:trPr>
          <w:tblHeader w:val="false"/>
        </w:trP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CR Executor</w:t>
            </w:r>
          </w:p>
        </w:tc>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Arye / Claude-assisted</w:t>
            </w:r>
          </w:p>
        </w:tc>
        <w:tc>
          <w:tcPr>
            <w:tcW w:type="dxa" w:w="5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Builds the change, tests against live data, deploys. Provides time estimate for quotes</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Escalation / Approval</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Arye Glikman</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Approves quotes &gt; 1,000 NIS, handles client disputes, owns P1 escalations</w:t>
            </w:r>
          </w:p>
        </w:tc>
      </w:tr>
    </w:tbl>
    <w:p>
      <w:pPr>
        <w:spacing w:after="40"/>
      </w:pPr>
    </w:p>
    <w:p>
      <w:pPr>
        <w:pStyle w:val="Heading1"/>
        <w:spacing w:after="200" w:before="360"/>
      </w:pPr>
      <w:r>
        <w:rPr>
          <w:rFonts w:ascii="Arial" w:cs="Arial" w:eastAsia="Arial" w:hAnsi="Arial"/>
          <w:b/>
          <w:bCs/>
          <w:color w:val="581C87"/>
          <w:sz w:val="32"/>
          <w:szCs w:val="32"/>
        </w:rPr>
        <w:t xml:space="preserve">7. Monthly CR Report</w:t>
      </w:r>
    </w:p>
    <w:p>
      <w:pPr>
        <w:spacing w:after="120"/>
      </w:pPr>
      <w:r>
        <w:rPr>
          <w:rFonts w:ascii="Arial" w:cs="Arial" w:eastAsia="Arial" w:hAnsi="Arial"/>
          <w:color w:val="374151"/>
          <w:sz w:val="21"/>
          <w:szCs w:val="21"/>
        </w:rPr>
        <w:t xml:space="preserve">Ofir generates a monthly CR summary from the tracker. This feeds into client EBRs and internal planning:</w:t>
      </w:r>
    </w:p>
    <w:p>
      <w:pPr>
        <w:spacing w:after="40"/>
      </w:pPr>
    </w:p>
    <w:p>
      <w:pPr>
        <w:pStyle w:val="ListParagraph"/>
        <w:numPr>
          <w:ilvl w:val="0"/>
          <w:numId w:val="3"/>
        </w:numPr>
        <w:spacing w:after="60"/>
      </w:pPr>
      <w:r>
        <w:rPr>
          <w:rFonts w:ascii="Arial" w:cs="Arial" w:eastAsia="Arial" w:hAnsi="Arial"/>
          <w:color w:val="374151"/>
          <w:sz w:val="21"/>
          <w:szCs w:val="21"/>
        </w:rPr>
        <w:t xml:space="preserve">Total CRs received, by category and severity</w:t>
      </w:r>
    </w:p>
    <w:p>
      <w:pPr>
        <w:pStyle w:val="ListParagraph"/>
        <w:numPr>
          <w:ilvl w:val="0"/>
          <w:numId w:val="3"/>
        </w:numPr>
        <w:spacing w:after="60"/>
      </w:pPr>
      <w:r>
        <w:rPr>
          <w:rFonts w:ascii="Arial" w:cs="Arial" w:eastAsia="Arial" w:hAnsi="Arial"/>
          <w:color w:val="374151"/>
          <w:sz w:val="21"/>
          <w:szCs w:val="21"/>
        </w:rPr>
        <w:t xml:space="preserve">Average resolution time vs. SLA targets</w:t>
      </w:r>
    </w:p>
    <w:p>
      <w:pPr>
        <w:pStyle w:val="ListParagraph"/>
        <w:numPr>
          <w:ilvl w:val="0"/>
          <w:numId w:val="3"/>
        </w:numPr>
        <w:spacing w:after="60"/>
      </w:pPr>
      <w:r>
        <w:rPr>
          <w:rFonts w:ascii="Arial" w:cs="Arial" w:eastAsia="Arial" w:hAnsi="Arial"/>
          <w:color w:val="374151"/>
          <w:sz w:val="21"/>
          <w:szCs w:val="21"/>
        </w:rPr>
        <w:t xml:space="preserve">Revenue from billable CRs</w:t>
      </w:r>
    </w:p>
    <w:p>
      <w:pPr>
        <w:pStyle w:val="ListParagraph"/>
        <w:numPr>
          <w:ilvl w:val="0"/>
          <w:numId w:val="3"/>
        </w:numPr>
        <w:spacing w:after="60"/>
      </w:pPr>
      <w:r>
        <w:rPr>
          <w:rFonts w:ascii="Arial" w:cs="Arial" w:eastAsia="Arial" w:hAnsi="Arial"/>
          <w:color w:val="374151"/>
          <w:sz w:val="21"/>
          <w:szCs w:val="21"/>
        </w:rPr>
        <w:t xml:space="preserve">Top requesting clients (volume and revenue)</w:t>
      </w:r>
    </w:p>
    <w:p>
      <w:pPr>
        <w:pStyle w:val="ListParagraph"/>
        <w:numPr>
          <w:ilvl w:val="0"/>
          <w:numId w:val="3"/>
        </w:numPr>
        <w:spacing w:after="60"/>
      </w:pPr>
      <w:r>
        <w:rPr>
          <w:rFonts w:ascii="Arial" w:cs="Arial" w:eastAsia="Arial" w:hAnsi="Arial"/>
          <w:color w:val="374151"/>
          <w:sz w:val="21"/>
          <w:szCs w:val="21"/>
        </w:rPr>
        <w:t xml:space="preserve">Common request patterns (signals for template improvements or tier upsells)</w:t>
      </w:r>
    </w:p>
    <w:p>
      <w:pPr>
        <w:spacing w:after="40"/>
      </w:pPr>
    </w:p>
    <w:p>
      <w:pPr>
        <w:spacing w:after="120"/>
      </w:pPr>
      <w:r>
        <w:rPr>
          <w:rFonts w:ascii="Arial" w:cs="Arial" w:eastAsia="Arial" w:hAnsi="Arial"/>
          <w:color w:val="374151"/>
          <w:sz w:val="21"/>
          <w:szCs w:val="21"/>
        </w:rPr>
        <w:t xml:space="preserve">A high volume of Feature Addition CRs from a single client is a strong upsell signal to move them to a higher tier. A high volume of the same KPI Change across clients signals a template gap to fix at the product level.</w:t>
      </w:r>
    </w:p>
    <w:p>
      <w:pPr>
        <w:pStyle w:val="Heading1"/>
        <w:spacing w:after="200" w:before="360"/>
      </w:pPr>
      <w:r>
        <w:rPr>
          <w:rFonts w:ascii="Arial" w:cs="Arial" w:eastAsia="Arial" w:hAnsi="Arial"/>
          <w:b/>
          <w:bCs/>
          <w:color w:val="581C87"/>
          <w:sz w:val="32"/>
          <w:szCs w:val="32"/>
        </w:rPr>
        <w:t xml:space="preserve">8. Client Communication Templates</w:t>
      </w:r>
    </w:p>
    <w:p>
      <w:pPr>
        <w:pStyle w:val="Heading2"/>
        <w:spacing w:after="140" w:before="280"/>
      </w:pPr>
      <w:r>
        <w:rPr>
          <w:rFonts w:ascii="Arial" w:cs="Arial" w:eastAsia="Arial" w:hAnsi="Arial"/>
          <w:b/>
          <w:bCs/>
          <w:color w:val="7C3AED"/>
          <w:sz w:val="26"/>
          <w:szCs w:val="26"/>
        </w:rPr>
        <w:t xml:space="preserve">8.1 CR Acknowledgment</w:t>
      </w:r>
    </w:p>
    <w:p>
      <w:pPr>
        <w:spacing w:after="120"/>
      </w:pPr>
      <w:r>
        <w:rPr>
          <w:rFonts w:ascii="Arial" w:cs="Arial" w:eastAsia="Arial" w:hAnsi="Arial"/>
          <w:color w:val="374151"/>
          <w:sz w:val="21"/>
          <w:szCs w:val="21"/>
        </w:rPr>
        <w:t xml:space="preserve">"Hi [Name], we received your change request for [description]. We have classified it as [category] with [severity] priority. Expected response: [SLA]. Ofir will follow up with next steps."</w:t>
      </w:r>
    </w:p>
    <w:p>
      <w:pPr>
        <w:pStyle w:val="Heading2"/>
        <w:spacing w:after="140" w:before="280"/>
      </w:pPr>
      <w:r>
        <w:rPr>
          <w:rFonts w:ascii="Arial" w:cs="Arial" w:eastAsia="Arial" w:hAnsi="Arial"/>
          <w:b/>
          <w:bCs/>
          <w:color w:val="7C3AED"/>
          <w:sz w:val="26"/>
          <w:szCs w:val="26"/>
        </w:rPr>
        <w:t xml:space="preserve">8.2 Quote</w:t>
      </w:r>
    </w:p>
    <w:p>
      <w:pPr>
        <w:spacing w:after="120"/>
      </w:pPr>
      <w:r>
        <w:rPr>
          <w:rFonts w:ascii="Arial" w:cs="Arial" w:eastAsia="Arial" w:hAnsi="Arial"/>
          <w:color w:val="374151"/>
          <w:sz w:val="21"/>
          <w:szCs w:val="21"/>
        </w:rPr>
        <w:t xml:space="preserve">"Hi [Name], regarding your request to [description]: this falls under [category]. Estimated effort: [X] hours. Cost: [Y] NIS. Timeline: [Z] business days after approval. Please confirm to proceed."</w:t>
      </w:r>
    </w:p>
    <w:p>
      <w:pPr>
        <w:pStyle w:val="Heading2"/>
        <w:spacing w:after="140" w:before="280"/>
      </w:pPr>
      <w:r>
        <w:rPr>
          <w:rFonts w:ascii="Arial" w:cs="Arial" w:eastAsia="Arial" w:hAnsi="Arial"/>
          <w:b/>
          <w:bCs/>
          <w:color w:val="7C3AED"/>
          <w:sz w:val="26"/>
          <w:szCs w:val="26"/>
        </w:rPr>
        <w:t xml:space="preserve">8.3 Delivery Confirmation</w:t>
      </w:r>
    </w:p>
    <w:p>
      <w:pPr>
        <w:spacing w:after="120"/>
      </w:pPr>
      <w:r>
        <w:rPr>
          <w:rFonts w:ascii="Arial" w:cs="Arial" w:eastAsia="Arial" w:hAnsi="Arial"/>
          <w:color w:val="374151"/>
          <w:sz w:val="21"/>
          <w:szCs w:val="21"/>
        </w:rPr>
        <w:t xml:space="preserve">"Hi [Name], your change request [CR-ID] has been deployed. [Brief description of what changed]. Please review and confirm everything looks correct. If we do not hear back within 5 business days, we will consider this approved."</w:t>
      </w:r>
    </w:p>
    <w:p>
      <w:pPr>
        <w:spacing w:after="40"/>
      </w:pPr>
    </w:p>
    <w:p>
      <w:pPr>
        <w:pBdr>
          <w:top w:val="single" w:color="7C3AED" w:sz="6" w:space="1"/>
        </w:pBdr>
        <w:spacing w:after="100" w:before="300"/>
      </w:pPr>
    </w:p>
    <w:p>
      <w:pPr>
        <w:jc w:val="center"/>
      </w:pPr>
      <w:r>
        <w:rPr>
          <w:rFonts w:ascii="Arial" w:cs="Arial" w:eastAsia="Arial" w:hAnsi="Arial"/>
          <w:i/>
          <w:iCs/>
          <w:color w:val="374151"/>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1"/>
      </w:pBdr>
      <w:tabs>
        <w:tab w:val="right" w:pos="9026"/>
      </w:tabs>
    </w:pPr>
    <w:r>
      <w:rPr>
        <w:rFonts w:ascii="Arial" w:cs="Arial" w:eastAsia="Arial" w:hAnsi="Arial"/>
        <w:color w:val="374151"/>
        <w:sz w:val="16"/>
        <w:szCs w:val="16"/>
      </w:rPr>
      <w:t xml:space="preserve">Confidential</w:t>
    </w:r>
    <w:r>
      <w:t xml:space="preserve">	</w:t>
    </w: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3AED" w:sz="4" w:space="1"/>
      </w:pBdr>
    </w:pPr>
    <w:r>
      <w:rPr>
        <w:rFonts w:ascii="Arial" w:cs="Arial" w:eastAsia="Arial" w:hAnsi="Arial"/>
        <w:b/>
        <w:bCs/>
        <w:color w:val="581C87"/>
        <w:sz w:val="18"/>
        <w:szCs w:val="18"/>
      </w:rPr>
      <w:t xml:space="preserve">DashBoard  </w:t>
    </w:r>
    <w:r>
      <w:rPr>
        <w:rFonts w:ascii="Arial" w:cs="Arial" w:eastAsia="Arial" w:hAnsi="Arial"/>
        <w:color w:val="374151"/>
        <w:sz w:val="18"/>
        <w:szCs w:val="18"/>
      </w:rPr>
      <w:t xml:space="preserve">Change Request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581C87"/>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7C3AE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2026-07-07T05:39:32.534Z</dcterms:created>
  <dcterms:modified xsi:type="dcterms:W3CDTF">2026-07-07T05:39:32.534Z</dcterms:modified>
</cp:coreProperties>
</file>

<file path=docProps/custom.xml><?xml version="1.0" encoding="utf-8"?>
<Properties xmlns="http://schemas.openxmlformats.org/officeDocument/2006/custom-properties" xmlns:vt="http://schemas.openxmlformats.org/officeDocument/2006/docPropsVTypes"/>
</file>