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rFonts w:ascii="Arial" w:cs="Arial" w:eastAsia="Arial" w:hAnsi="Arial"/>
          <w:b/>
          <w:bCs/>
          <w:color w:val="581C87"/>
          <w:sz w:val="72"/>
          <w:szCs w:val="72"/>
        </w:rPr>
        <w:t xml:space="preserve">DashBoard</w:t>
      </w:r>
    </w:p>
    <w:p>
      <w:pPr>
        <w:spacing w:after="200"/>
        <w:jc w:val="center"/>
      </w:pPr>
      <w:r>
        <w:rPr>
          <w:rFonts w:ascii="Arial" w:cs="Arial" w:eastAsia="Arial" w:hAnsi="Arial"/>
          <w:color w:val="7C3AED"/>
          <w:sz w:val="36"/>
          <w:szCs w:val="36"/>
        </w:rPr>
        <w:t xml:space="preserve">High-Level Design Document</w:t>
      </w:r>
    </w:p>
    <w:p>
      <w:pPr>
        <w:spacing w:after="80"/>
        <w:jc w:val="center"/>
      </w:pPr>
      <w:r>
        <w:rPr>
          <w:rFonts w:ascii="Arial" w:cs="Arial" w:eastAsia="Arial" w:hAnsi="Arial"/>
          <w:color w:val="374151"/>
          <w:sz w:val="24"/>
          <w:szCs w:val="24"/>
        </w:rPr>
        <w:t xml:space="preserve">Business Dashboards for Israeli SMBs</w:t>
      </w:r>
    </w:p>
    <w:p>
      <w:pPr>
        <w:pBdr>
          <w:bottom w:val="single" w:color="7C3AED" w:sz="6" w:space="1"/>
        </w:pBdr>
        <w:spacing w:before="600"/>
      </w:pPr>
    </w:p>
    <w:p>
      <w:pPr>
        <w:spacing w:before="400"/>
      </w:pPr>
    </w:p>
    <w:p>
      <w:pPr>
        <w:jc w:val="center"/>
      </w:pPr>
      <w:r>
        <w:rPr>
          <w:rFonts w:ascii="Arial" w:cs="Arial" w:eastAsia="Arial" w:hAnsi="Arial"/>
          <w:color w:val="374151"/>
          <w:sz w:val="22"/>
          <w:szCs w:val="22"/>
        </w:rPr>
        <w:t xml:space="preserve">Version 1.0  |  July 2026</w:t>
      </w:r>
    </w:p>
    <w:p>
      <w:pPr>
        <w:spacing w:after="80"/>
        <w:jc w:val="center"/>
      </w:pPr>
      <w:r>
        <w:rPr>
          <w:rFonts w:ascii="Arial" w:cs="Arial" w:eastAsia="Arial" w:hAnsi="Arial"/>
          <w:color w:val="374151"/>
          <w:sz w:val="22"/>
          <w:szCs w:val="22"/>
        </w:rPr>
        <w:t xml:space="preserve">Arye Glikman  |  Ofir Levi  |  Meital Shashua</w:t>
      </w:r>
    </w:p>
    <w:p>
      <w:pPr>
        <w:jc w:val="center"/>
      </w:pPr>
      <w:r>
        <w:rPr>
          <w:rFonts w:ascii="Arial" w:cs="Arial" w:eastAsia="Arial" w:hAnsi="Arial"/>
          <w:b/>
          <w:bCs/>
          <w:color w:val="DB2777"/>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581C87"/>
          <w:sz w:val="32"/>
          <w:szCs w:val="32"/>
        </w:rPr>
        <w:t xml:space="preserve">1. Executive Summary</w:t>
      </w:r>
    </w:p>
    <w:p>
      <w:pPr>
        <w:spacing w:after="120"/>
      </w:pPr>
      <w:r>
        <w:rPr>
          <w:rFonts w:ascii="Arial" w:cs="Arial" w:eastAsia="Arial" w:hAnsi="Arial"/>
          <w:color w:val="374151"/>
          <w:sz w:val="21"/>
          <w:szCs w:val="21"/>
        </w:rPr>
        <w:t xml:space="preserve">DashBoard is a managed dashboard service that transforms raw CRM data from Israeli SMB platforms (ScallaCRM, ArBox, and others) into visual, actionable business dashboards. We target the gap between basic CRM reporting and enterprise BI tools - serving small and medium businesses that collect data but cannot analyze it.</w:t>
      </w:r>
    </w:p>
    <w:p>
      <w:pPr>
        <w:spacing w:after="40"/>
      </w:pPr>
    </w:p>
    <w:p>
      <w:pPr>
        <w:spacing w:after="80"/>
      </w:pPr>
      <w:r>
        <w:rPr>
          <w:rFonts w:ascii="Arial" w:cs="Arial" w:eastAsia="Arial" w:hAnsi="Arial"/>
          <w:b/>
          <w:bCs/>
          <w:color w:val="374151"/>
          <w:sz w:val="21"/>
          <w:szCs w:val="21"/>
        </w:rPr>
        <w:t xml:space="preserve">Business Model: </w:t>
      </w:r>
      <w:r>
        <w:rPr>
          <w:rFonts w:ascii="Arial" w:cs="Arial" w:eastAsia="Arial" w:hAnsi="Arial"/>
          <w:color w:val="374151"/>
          <w:sz w:val="21"/>
          <w:szCs w:val="21"/>
        </w:rPr>
        <w:t xml:space="preserve">Setup fee (1,500-3,000 NIS) + monthly maintenance (350-599 NIS/mo)</w:t>
      </w:r>
    </w:p>
    <w:p>
      <w:pPr>
        <w:spacing w:after="80"/>
      </w:pPr>
      <w:r>
        <w:rPr>
          <w:rFonts w:ascii="Arial" w:cs="Arial" w:eastAsia="Arial" w:hAnsi="Arial"/>
          <w:b/>
          <w:bCs/>
          <w:color w:val="374151"/>
          <w:sz w:val="21"/>
          <w:szCs w:val="21"/>
        </w:rPr>
        <w:t xml:space="preserve">Target Market: </w:t>
      </w:r>
      <w:r>
        <w:rPr>
          <w:rFonts w:ascii="Arial" w:cs="Arial" w:eastAsia="Arial" w:hAnsi="Arial"/>
          <w:color w:val="374151"/>
          <w:sz w:val="21"/>
          <w:szCs w:val="21"/>
        </w:rPr>
        <w:t xml:space="preserve">8,000-15,000+ Israeli SMBs using ScallaCRM and ArBox</w:t>
      </w:r>
    </w:p>
    <w:p>
      <w:pPr>
        <w:spacing w:after="80"/>
      </w:pPr>
      <w:r>
        <w:rPr>
          <w:rFonts w:ascii="Arial" w:cs="Arial" w:eastAsia="Arial" w:hAnsi="Arial"/>
          <w:b/>
          <w:bCs/>
          <w:color w:val="374151"/>
          <w:sz w:val="21"/>
          <w:szCs w:val="21"/>
        </w:rPr>
        <w:t xml:space="preserve">Technical Approach: </w:t>
      </w:r>
      <w:r>
        <w:rPr>
          <w:rFonts w:ascii="Arial" w:cs="Arial" w:eastAsia="Arial" w:hAnsi="Arial"/>
          <w:color w:val="374151"/>
          <w:sz w:val="21"/>
          <w:szCs w:val="21"/>
        </w:rPr>
        <w:t xml:space="preserve">Server-side CRM data aggregation, pre-built vertical templates, Hebrew-first responsive dashboards</w:t>
      </w:r>
    </w:p>
    <w:p>
      <w:pPr>
        <w:spacing w:after="80"/>
      </w:pPr>
      <w:r>
        <w:rPr>
          <w:rFonts w:ascii="Arial" w:cs="Arial" w:eastAsia="Arial" w:hAnsi="Arial"/>
          <w:b/>
          <w:bCs/>
          <w:color w:val="374151"/>
          <w:sz w:val="21"/>
          <w:szCs w:val="21"/>
        </w:rPr>
        <w:t xml:space="preserve">Differentiator: </w:t>
      </w:r>
      <w:r>
        <w:rPr>
          <w:rFonts w:ascii="Arial" w:cs="Arial" w:eastAsia="Arial" w:hAnsi="Arial"/>
          <w:color w:val="374151"/>
          <w:sz w:val="21"/>
          <w:szCs w:val="21"/>
        </w:rPr>
        <w:t xml:space="preserve">No competitor offers CRM-specific managed dashboards for the Israeli SMB market</w:t>
      </w:r>
    </w:p>
    <w:p>
      <w:r>
        <w:br w:type="page"/>
      </w:r>
    </w:p>
    <w:p>
      <w:pPr>
        <w:pStyle w:val="Heading1"/>
        <w:spacing w:after="200" w:before="360"/>
      </w:pPr>
      <w:r>
        <w:rPr>
          <w:rFonts w:ascii="Arial" w:cs="Arial" w:eastAsia="Arial" w:hAnsi="Arial"/>
          <w:b/>
          <w:bCs/>
          <w:color w:val="581C87"/>
          <w:sz w:val="32"/>
          <w:szCs w:val="32"/>
        </w:rPr>
        <w:t xml:space="preserve">2. System Architecture</w:t>
      </w:r>
    </w:p>
    <w:p>
      <w:pPr>
        <w:pStyle w:val="Heading2"/>
        <w:spacing w:after="140" w:before="280"/>
      </w:pPr>
      <w:r>
        <w:rPr>
          <w:rFonts w:ascii="Arial" w:cs="Arial" w:eastAsia="Arial" w:hAnsi="Arial"/>
          <w:b/>
          <w:bCs/>
          <w:color w:val="7C3AED"/>
          <w:sz w:val="26"/>
          <w:szCs w:val="26"/>
        </w:rPr>
        <w:t xml:space="preserve">2.1 Architecture Overview</w:t>
      </w:r>
    </w:p>
    <w:p>
      <w:pPr>
        <w:spacing w:after="120"/>
      </w:pPr>
      <w:r>
        <w:rPr>
          <w:rFonts w:ascii="Arial" w:cs="Arial" w:eastAsia="Arial" w:hAnsi="Arial"/>
          <w:color w:val="374151"/>
          <w:sz w:val="21"/>
          <w:szCs w:val="21"/>
        </w:rPr>
        <w:t xml:space="preserve">The system follows a three-tier architecture: Data Ingestion Layer (server-side CRM connectors), Data Processing &amp; Storage Layer (aggregation engine + data store), and Presentation Layer (dashboard front-end). This separation ensures CRM API constraints (CORS, rate limits, authentication) are handled server-side, while dashboards remain lightweight and fast.</w:t>
      </w:r>
    </w:p>
    <w:p>
      <w:pPr>
        <w:pStyle w:val="Heading2"/>
        <w:spacing w:after="140" w:before="280"/>
      </w:pPr>
      <w:r>
        <w:rPr>
          <w:rFonts w:ascii="Arial" w:cs="Arial" w:eastAsia="Arial" w:hAnsi="Arial"/>
          <w:b/>
          <w:bCs/>
          <w:color w:val="7C3AED"/>
          <w:sz w:val="26"/>
          <w:szCs w:val="26"/>
        </w:rPr>
        <w:t xml:space="preserve">2.2 Component Diagram</w:t>
      </w:r>
    </w:p>
    <w:p>
      <w:pPr>
        <w:spacing w:after="120"/>
      </w:pPr>
      <w:r>
        <w:rPr>
          <w:rFonts w:ascii="Arial" w:cs="Arial" w:eastAsia="Arial" w:hAnsi="Arial"/>
          <w:color w:val="374151"/>
          <w:sz w:val="21"/>
          <w:szCs w:val="21"/>
        </w:rPr>
        <w:t xml:space="preserve">The architecture consists of the following major components: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D1D5DB" w:sz="1"/>
              <w:left w:val="single" w:color="D1D5DB" w:sz="1"/>
              <w:bottom w:val="single" w:color="D1D5DB" w:sz="1"/>
              <w:right w:val="single" w:color="D1D5DB" w:sz="1"/>
            </w:tcBorders>
            <w:shd w:fill="581C87"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1800"/>
            <w:tcBorders>
              <w:top w:val="single" w:color="D1D5DB" w:sz="1"/>
              <w:left w:val="single" w:color="D1D5DB" w:sz="1"/>
              <w:bottom w:val="single" w:color="D1D5DB" w:sz="1"/>
              <w:right w:val="single" w:color="D1D5DB" w:sz="1"/>
            </w:tcBorders>
            <w:shd w:fill="581C87" w:val="clear"/>
            <w:tcMar>
              <w:top w:type="dxa" w:w="60"/>
              <w:left w:type="dxa" w:w="100"/>
              <w:bottom w:type="dxa" w:w="60"/>
              <w:right w:type="dxa" w:w="100"/>
            </w:tcMar>
            <w:vAlign w:val="center"/>
          </w:tcPr>
          <w:p>
            <w:r>
              <w:rPr>
                <w:rFonts w:ascii="Arial" w:cs="Arial" w:eastAsia="Arial" w:hAnsi="Arial"/>
                <w:b/>
                <w:bCs/>
                <w:color w:val="FFFFFF"/>
                <w:sz w:val="20"/>
                <w:szCs w:val="20"/>
              </w:rPr>
              <w:t xml:space="preserve">Technology</w:t>
            </w:r>
          </w:p>
        </w:tc>
        <w:tc>
          <w:tcPr>
            <w:tcW w:type="dxa" w:w="5560"/>
            <w:tcBorders>
              <w:top w:val="single" w:color="D1D5DB" w:sz="1"/>
              <w:left w:val="single" w:color="D1D5DB" w:sz="1"/>
              <w:bottom w:val="single" w:color="D1D5DB" w:sz="1"/>
              <w:right w:val="single" w:color="D1D5DB" w:sz="1"/>
            </w:tcBorders>
            <w:shd w:fill="581C87"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Responsibility</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CRM Connector Service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Node.js / Python</w:t>
            </w:r>
          </w:p>
        </w:tc>
        <w:tc>
          <w:tcPr>
            <w:tcW w:type="dxa" w:w="5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Authenticates with CRM APIs, fetches data on schedule, handles pagination and error retry</w:t>
            </w:r>
          </w:p>
        </w:tc>
      </w:tr>
      <w:tr>
        <w:trPr>
          <w:tblHeader w:val="false"/>
        </w:trP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Schema Discovery Engine</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Python scripts</w:t>
            </w:r>
          </w:p>
        </w:tc>
        <w:tc>
          <w:tcPr>
            <w:tcW w:type="dxa" w:w="5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Auto-discovers client field structures via GetModuleFields, maps custom fields to dashboard widgets</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Data Aggregation Engine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Python / Node.js</w:t>
            </w:r>
          </w:p>
        </w:tc>
        <w:tc>
          <w:tcPr>
            <w:tcW w:type="dxa" w:w="5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Transforms raw CRM records into KPI metrics, time-series data, and summary statistics</w:t>
            </w:r>
          </w:p>
        </w:tc>
      </w:tr>
      <w:tr>
        <w:trPr>
          <w:tblHeader w:val="false"/>
        </w:trP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Data Store</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PostgreSQL / SQLite</w:t>
            </w:r>
          </w:p>
        </w:tc>
        <w:tc>
          <w:tcPr>
            <w:tcW w:type="dxa" w:w="5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Persists aggregated metrics, caches raw data, stores client configuration</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Dashboard Renderer</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HTML/CSS/JS + Chart.js</w:t>
            </w:r>
          </w:p>
        </w:tc>
        <w:tc>
          <w:tcPr>
            <w:tcW w:type="dxa" w:w="5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Renders interactive, responsive, Hebrew RTL dashboards from aggregated data</w:t>
            </w:r>
          </w:p>
        </w:tc>
      </w:tr>
      <w:tr>
        <w:trPr>
          <w:tblHeader w:val="false"/>
        </w:trP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Admin Panel</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Web app</w:t>
            </w:r>
          </w:p>
        </w:tc>
        <w:tc>
          <w:tcPr>
            <w:tcW w:type="dxa" w:w="5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Client onboarding, CRM credential management, dashboard configuration, template selection</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Scheduler / Cron</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Node-cron / systemd</w:t>
            </w:r>
          </w:p>
        </w:tc>
        <w:tc>
          <w:tcPr>
            <w:tcW w:type="dxa" w:w="5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Triggers data refresh cycles (configurable per client: hourly, daily, real-time)</w:t>
            </w:r>
          </w:p>
        </w:tc>
      </w:tr>
    </w:tbl>
    <w:p>
      <w:pPr>
        <w:pStyle w:val="Heading2"/>
        <w:spacing w:after="140" w:before="280"/>
      </w:pPr>
      <w:r>
        <w:rPr>
          <w:rFonts w:ascii="Arial" w:cs="Arial" w:eastAsia="Arial" w:hAnsi="Arial"/>
          <w:b/>
          <w:bCs/>
          <w:color w:val="7C3AED"/>
          <w:sz w:val="26"/>
          <w:szCs w:val="26"/>
        </w:rPr>
        <w:t xml:space="preserve">2.3 Data Flow</w:t>
      </w:r>
    </w:p>
    <w:p>
      <w:pPr>
        <w:spacing w:after="40"/>
      </w:pPr>
    </w:p>
    <w:p>
      <w:pPr>
        <w:pStyle w:val="ListParagraph"/>
        <w:numPr>
          <w:ilvl w:val="0"/>
          <w:numId w:val="2"/>
        </w:numPr>
        <w:spacing w:after="80"/>
      </w:pPr>
      <w:r>
        <w:rPr>
          <w:rFonts w:ascii="Arial" w:cs="Arial" w:eastAsia="Arial" w:hAnsi="Arial"/>
          <w:color w:val="374151"/>
          <w:sz w:val="21"/>
          <w:szCs w:val="21"/>
        </w:rPr>
        <w:t xml:space="preserve">Client onboarding: Admin enters CRM credentials and selects dashboard template via Admin Panel.</w:t>
      </w:r>
    </w:p>
    <w:p>
      <w:pPr>
        <w:pStyle w:val="ListParagraph"/>
        <w:numPr>
          <w:ilvl w:val="0"/>
          <w:numId w:val="2"/>
        </w:numPr>
        <w:spacing w:after="80"/>
      </w:pPr>
      <w:r>
        <w:rPr>
          <w:rFonts w:ascii="Arial" w:cs="Arial" w:eastAsia="Arial" w:hAnsi="Arial"/>
          <w:color w:val="374151"/>
          <w:sz w:val="21"/>
          <w:szCs w:val="21"/>
        </w:rPr>
        <w:t xml:space="preserve">Schema discovery: System calls GetModuleFields to auto-detect available modules, fields, and picklist values for the client's CRM instance.</w:t>
      </w:r>
    </w:p>
    <w:p>
      <w:pPr>
        <w:pStyle w:val="ListParagraph"/>
        <w:numPr>
          <w:ilvl w:val="0"/>
          <w:numId w:val="2"/>
        </w:numPr>
        <w:spacing w:after="80"/>
      </w:pPr>
      <w:r>
        <w:rPr>
          <w:rFonts w:ascii="Arial" w:cs="Arial" w:eastAsia="Arial" w:hAnsi="Arial"/>
          <w:color w:val="374151"/>
          <w:sz w:val="21"/>
          <w:szCs w:val="21"/>
        </w:rPr>
        <w:t xml:space="preserve">Data ingestion: Scheduler triggers CRM Connector to fetch records from configured modules (Leads, Contacts, Potentials, Invoices, etc.) via Listrecordsbymodule and SearchRecords.</w:t>
      </w:r>
    </w:p>
    <w:p>
      <w:pPr>
        <w:pStyle w:val="ListParagraph"/>
        <w:numPr>
          <w:ilvl w:val="0"/>
          <w:numId w:val="2"/>
        </w:numPr>
        <w:spacing w:after="80"/>
      </w:pPr>
      <w:r>
        <w:rPr>
          <w:rFonts w:ascii="Arial" w:cs="Arial" w:eastAsia="Arial" w:hAnsi="Arial"/>
          <w:color w:val="374151"/>
          <w:sz w:val="21"/>
          <w:szCs w:val="21"/>
        </w:rPr>
        <w:t xml:space="preserve">Aggregation: Raw records are processed into KPIs (revenue, conversion rate, churn, etc.) and stored in the Data Store with timestamps for trend analysis.</w:t>
      </w:r>
    </w:p>
    <w:p>
      <w:pPr>
        <w:pStyle w:val="ListParagraph"/>
        <w:numPr>
          <w:ilvl w:val="0"/>
          <w:numId w:val="2"/>
        </w:numPr>
        <w:spacing w:after="80"/>
      </w:pPr>
      <w:r>
        <w:rPr>
          <w:rFonts w:ascii="Arial" w:cs="Arial" w:eastAsia="Arial" w:hAnsi="Arial"/>
          <w:color w:val="374151"/>
          <w:sz w:val="21"/>
          <w:szCs w:val="21"/>
        </w:rPr>
        <w:t xml:space="preserve">Rendering: Dashboard front-end fetches aggregated data via REST API and renders charts, KPI cards, and tables using Chart.js.</w:t>
      </w:r>
    </w:p>
    <w:p>
      <w:pPr>
        <w:pStyle w:val="ListParagraph"/>
        <w:numPr>
          <w:ilvl w:val="0"/>
          <w:numId w:val="2"/>
        </w:numPr>
        <w:spacing w:after="120"/>
      </w:pPr>
      <w:r>
        <w:rPr>
          <w:rFonts w:ascii="Arial" w:cs="Arial" w:eastAsia="Arial" w:hAnsi="Arial"/>
          <w:color w:val="374151"/>
          <w:sz w:val="21"/>
          <w:szCs w:val="21"/>
        </w:rPr>
        <w:t xml:space="preserve">Alerting (Premium): Threshold-based alerts trigger email notifications when KPIs cross configured boundaries.</w:t>
      </w:r>
    </w:p>
    <w:p>
      <w:r>
        <w:br w:type="page"/>
      </w:r>
    </w:p>
    <w:p>
      <w:pPr>
        <w:pStyle w:val="Heading1"/>
        <w:spacing w:after="200" w:before="360"/>
      </w:pPr>
      <w:r>
        <w:rPr>
          <w:rFonts w:ascii="Arial" w:cs="Arial" w:eastAsia="Arial" w:hAnsi="Arial"/>
          <w:b/>
          <w:bCs/>
          <w:color w:val="581C87"/>
          <w:sz w:val="32"/>
          <w:szCs w:val="32"/>
        </w:rPr>
        <w:t xml:space="preserve">3. CRM Integration Layer</w:t>
      </w:r>
    </w:p>
    <w:p>
      <w:pPr>
        <w:pStyle w:val="Heading2"/>
        <w:spacing w:after="140" w:before="280"/>
      </w:pPr>
      <w:r>
        <w:rPr>
          <w:rFonts w:ascii="Arial" w:cs="Arial" w:eastAsia="Arial" w:hAnsi="Arial"/>
          <w:b/>
          <w:bCs/>
          <w:color w:val="7C3AED"/>
          <w:sz w:val="26"/>
          <w:szCs w:val="26"/>
        </w:rPr>
        <w:t xml:space="preserve">3.1 ScallaCRM Integration</w:t>
      </w:r>
    </w:p>
    <w:p>
      <w:pPr>
        <w:spacing w:after="120"/>
      </w:pPr>
      <w:r>
        <w:rPr>
          <w:rFonts w:ascii="Arial" w:cs="Arial" w:eastAsia="Arial" w:hAnsi="Arial"/>
          <w:color w:val="374151"/>
          <w:sz w:val="21"/>
          <w:szCs w:val="21"/>
        </w:rPr>
        <w:t xml:space="preserve">ScallaCRM is our primary integration target, serving general SMBs across sales, services, and retail verticals. The API has been fully validated against the live environment.</w:t>
      </w:r>
    </w:p>
    <w:p>
      <w:pPr>
        <w:spacing w:after="40"/>
      </w:pPr>
    </w:p>
    <w:p>
      <w:pPr>
        <w:pStyle w:val="Heading3"/>
        <w:spacing w:after="100" w:before="200"/>
      </w:pPr>
      <w:r>
        <w:rPr>
          <w:rFonts w:ascii="Arial" w:cs="Arial" w:eastAsia="Arial" w:hAnsi="Arial"/>
          <w:b/>
          <w:bCs/>
          <w:color w:val="374151"/>
          <w:sz w:val="22"/>
          <w:szCs w:val="22"/>
        </w:rPr>
        <w:t xml:space="preserve">Authentication Flow</w:t>
      </w:r>
    </w:p>
    <w:p>
      <w:pPr>
        <w:spacing w:after="120"/>
      </w:pPr>
      <w:r>
        <w:rPr>
          <w:rFonts w:ascii="Arial" w:cs="Arial" w:eastAsia="Arial" w:hAnsi="Arial"/>
          <w:color w:val="374151"/>
          <w:sz w:val="21"/>
          <w:szCs w:val="21"/>
        </w:rPr>
        <w:t xml:space="preserve">POST to API base with loginAndFetchModules operation, passing username and password. Response returns a sessionId (used as Bearer token) and unique_id. Every subsequent request requires _session + tenant_id parameters. An Access Key is also available for API key-based access.</w:t>
      </w:r>
    </w:p>
    <w:p>
      <w:pPr>
        <w:spacing w:after="40"/>
      </w:pPr>
    </w:p>
    <w:p>
      <w:pPr>
        <w:pStyle w:val="Heading3"/>
        <w:spacing w:after="100" w:before="200"/>
      </w:pPr>
      <w:r>
        <w:rPr>
          <w:rFonts w:ascii="Arial" w:cs="Arial" w:eastAsia="Arial" w:hAnsi="Arial"/>
          <w:b/>
          <w:bCs/>
          <w:color w:val="374151"/>
          <w:sz w:val="22"/>
          <w:szCs w:val="22"/>
        </w:rPr>
        <w:t xml:space="preserve">Validated API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rPr>
          <w:tblHeader/>
        </w:trPr>
        <w:tc>
          <w:tcPr>
            <w:tcW w:type="dxa" w:w="2800"/>
            <w:tcBorders>
              <w:top w:val="single" w:color="D1D5DB" w:sz="1"/>
              <w:left w:val="single" w:color="D1D5DB" w:sz="1"/>
              <w:bottom w:val="single" w:color="D1D5DB" w:sz="1"/>
              <w:right w:val="single" w:color="D1D5DB" w:sz="1"/>
            </w:tcBorders>
            <w:shd w:fill="581C87" w:val="clear"/>
            <w:tcMar>
              <w:top w:type="dxa" w:w="60"/>
              <w:left w:type="dxa" w:w="100"/>
              <w:bottom w:type="dxa" w:w="60"/>
              <w:right w:type="dxa" w:w="100"/>
            </w:tcMar>
            <w:vAlign w:val="center"/>
          </w:tcPr>
          <w:p>
            <w:r>
              <w:rPr>
                <w:rFonts w:ascii="Arial" w:cs="Arial" w:eastAsia="Arial" w:hAnsi="Arial"/>
                <w:b/>
                <w:bCs/>
                <w:color w:val="FFFFFF"/>
                <w:sz w:val="20"/>
                <w:szCs w:val="20"/>
              </w:rPr>
              <w:t xml:space="preserve">Operation</w:t>
            </w:r>
          </w:p>
        </w:tc>
        <w:tc>
          <w:tcPr>
            <w:tcW w:type="dxa" w:w="4560"/>
            <w:tcBorders>
              <w:top w:val="single" w:color="D1D5DB" w:sz="1"/>
              <w:left w:val="single" w:color="D1D5DB" w:sz="1"/>
              <w:bottom w:val="single" w:color="D1D5DB" w:sz="1"/>
              <w:right w:val="single" w:color="D1D5DB" w:sz="1"/>
            </w:tcBorders>
            <w:shd w:fill="581C87"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c>
          <w:tcPr>
            <w:tcW w:type="dxa" w:w="2000"/>
            <w:tcBorders>
              <w:top w:val="single" w:color="D1D5DB" w:sz="1"/>
              <w:left w:val="single" w:color="D1D5DB" w:sz="1"/>
              <w:bottom w:val="single" w:color="D1D5DB" w:sz="1"/>
              <w:right w:val="single" w:color="D1D5DB" w:sz="1"/>
            </w:tcBorders>
            <w:shd w:fill="581C87"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rPr>
          <w:tblHeader w:val="false"/>
        </w:trP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loginAndFetchModules</w:t>
            </w:r>
          </w:p>
        </w:tc>
        <w:tc>
          <w:tcPr>
            <w:tcW w:type="dxa" w:w="4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Authenticate and retrieve module list</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Validated</w:t>
            </w:r>
          </w:p>
        </w:tc>
      </w:tr>
      <w:tr>
        <w:trPr>
          <w:tblHeader w:val="false"/>
        </w:trPr>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GetModuleFields</w:t>
            </w:r>
          </w:p>
        </w:tc>
        <w:tc>
          <w:tcPr>
            <w:tcW w:type="dxa" w:w="4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Schema discovery - field names, types, labels, picklists</w:t>
            </w:r>
          </w:p>
        </w:tc>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Validated</w:t>
            </w:r>
          </w:p>
        </w:tc>
      </w:tr>
      <w:tr>
        <w:trPr>
          <w:tblHeader w:val="false"/>
        </w:trP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Listrecordsbymodule</w:t>
            </w:r>
          </w:p>
        </w:tc>
        <w:tc>
          <w:tcPr>
            <w:tcW w:type="dxa" w:w="4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List records from any module (paginated)</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Validated</w:t>
            </w:r>
          </w:p>
        </w:tc>
      </w:tr>
      <w:tr>
        <w:trPr>
          <w:tblHeader w:val="false"/>
        </w:trPr>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SearchRecords</w:t>
            </w:r>
          </w:p>
        </w:tc>
        <w:tc>
          <w:tcPr>
            <w:tcW w:type="dxa" w:w="4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Search with up to 5 field filters + comparison operators</w:t>
            </w:r>
          </w:p>
        </w:tc>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Validated</w:t>
            </w:r>
          </w:p>
        </w:tc>
      </w:tr>
      <w:tr>
        <w:trPr>
          <w:tblHeader w:val="false"/>
        </w:trP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Dashboard</w:t>
            </w:r>
          </w:p>
        </w:tc>
        <w:tc>
          <w:tcPr>
            <w:tcW w:type="dxa" w:w="4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Get existing dashboard widget configurations</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Validated</w:t>
            </w:r>
          </w:p>
        </w:tc>
      </w:tr>
    </w:tbl>
    <w:p>
      <w:pPr>
        <w:spacing w:after="40"/>
      </w:pPr>
    </w:p>
    <w:p>
      <w:pPr>
        <w:pStyle w:val="Heading3"/>
        <w:spacing w:after="100" w:before="200"/>
      </w:pPr>
      <w:r>
        <w:rPr>
          <w:rFonts w:ascii="Arial" w:cs="Arial" w:eastAsia="Arial" w:hAnsi="Arial"/>
          <w:b/>
          <w:bCs/>
          <w:color w:val="374151"/>
          <w:sz w:val="22"/>
          <w:szCs w:val="22"/>
        </w:rPr>
        <w:t xml:space="preserve">Available Modules (123 total)</w:t>
      </w:r>
    </w:p>
    <w:p>
      <w:pPr>
        <w:spacing w:after="120"/>
      </w:pPr>
      <w:r>
        <w:rPr>
          <w:rFonts w:ascii="Arial" w:cs="Arial" w:eastAsia="Arial" w:hAnsi="Arial"/>
          <w:color w:val="374151"/>
          <w:sz w:val="21"/>
          <w:szCs w:val="21"/>
        </w:rPr>
        <w:t xml:space="preserve">Confirmed with data: Leads, Contacts, Accounts, Potentials (Deals), Invoice, Quotes, Products, HelpDesk, Calendar, WhatsApp, SalesOrder, PurchaseOrder, Vendors, Campaigns, Documents, Fax, SMSNotifier, PBXManager, ServiceContracts, Assets, ModComments, ProjectMilestone, ProjectTask, Project, Emails.</w:t>
      </w:r>
    </w:p>
    <w:p>
      <w:pPr>
        <w:spacing w:after="40"/>
      </w:pPr>
    </w:p>
    <w:p>
      <w:pPr>
        <w:pStyle w:val="Heading3"/>
        <w:spacing w:after="100" w:before="200"/>
      </w:pPr>
      <w:r>
        <w:rPr>
          <w:rFonts w:ascii="Arial" w:cs="Arial" w:eastAsia="Arial" w:hAnsi="Arial"/>
          <w:b/>
          <w:bCs/>
          <w:color w:val="374151"/>
          <w:sz w:val="22"/>
          <w:szCs w:val="22"/>
        </w:rPr>
        <w:t xml:space="preserve">Technical Constraints</w:t>
      </w:r>
    </w:p>
    <w:p>
      <w:pPr>
        <w:pStyle w:val="ListParagraph"/>
        <w:numPr>
          <w:ilvl w:val="0"/>
          <w:numId w:val="3"/>
        </w:numPr>
        <w:spacing w:after="60"/>
      </w:pPr>
      <w:r>
        <w:rPr>
          <w:rFonts w:ascii="Arial" w:cs="Arial" w:eastAsia="Arial" w:hAnsi="Arial"/>
          <w:color w:val="374151"/>
          <w:sz w:val="21"/>
          <w:szCs w:val="21"/>
        </w:rPr>
        <w:t xml:space="preserve">CORS: API blocks cross-origin browser requests. All calls must be server-side.</w:t>
      </w:r>
    </w:p>
    <w:p>
      <w:pPr>
        <w:pStyle w:val="ListParagraph"/>
        <w:numPr>
          <w:ilvl w:val="0"/>
          <w:numId w:val="3"/>
        </w:numPr>
        <w:spacing w:after="60"/>
      </w:pPr>
      <w:r>
        <w:rPr>
          <w:rFonts w:ascii="Arial" w:cs="Arial" w:eastAsia="Arial" w:hAnsi="Arial"/>
          <w:color w:val="374151"/>
          <w:sz w:val="21"/>
          <w:szCs w:val="21"/>
        </w:rPr>
        <w:t xml:space="preserve">No webhooks: Must poll for data updates (cron-based refresh).</w:t>
      </w:r>
    </w:p>
    <w:p>
      <w:pPr>
        <w:pStyle w:val="ListParagraph"/>
        <w:numPr>
          <w:ilvl w:val="0"/>
          <w:numId w:val="3"/>
        </w:numPr>
        <w:spacing w:after="60"/>
      </w:pPr>
      <w:r>
        <w:rPr>
          <w:rFonts w:ascii="Arial" w:cs="Arial" w:eastAsia="Arial" w:hAnsi="Arial"/>
          <w:color w:val="374151"/>
          <w:sz w:val="21"/>
          <w:szCs w:val="21"/>
        </w:rPr>
        <w:t xml:space="preserve">No server-side aggregation: Grouping/aggregation must be computed client-side after fetching raw records.</w:t>
      </w:r>
    </w:p>
    <w:p>
      <w:pPr>
        <w:pStyle w:val="ListParagraph"/>
        <w:numPr>
          <w:ilvl w:val="0"/>
          <w:numId w:val="3"/>
        </w:numPr>
        <w:spacing w:after="120"/>
      </w:pPr>
      <w:r>
        <w:rPr>
          <w:rFonts w:ascii="Arial" w:cs="Arial" w:eastAsia="Arial" w:hAnsi="Arial"/>
          <w:color w:val="374151"/>
          <w:sz w:val="21"/>
          <w:szCs w:val="21"/>
        </w:rPr>
        <w:t xml:space="preserve">tenant_id discovery: Demo account uses a known tenant ID; real client tenant_id resolution needs validation with production credentials.</w:t>
      </w:r>
    </w:p>
    <w:p>
      <w:pPr>
        <w:pStyle w:val="Heading2"/>
        <w:spacing w:after="140" w:before="280"/>
      </w:pPr>
      <w:r>
        <w:rPr>
          <w:rFonts w:ascii="Arial" w:cs="Arial" w:eastAsia="Arial" w:hAnsi="Arial"/>
          <w:b/>
          <w:bCs/>
          <w:color w:val="7C3AED"/>
          <w:sz w:val="26"/>
          <w:szCs w:val="26"/>
        </w:rPr>
        <w:t xml:space="preserve">3.2 ArBox Integration</w:t>
      </w:r>
    </w:p>
    <w:p>
      <w:pPr>
        <w:spacing w:after="120"/>
      </w:pPr>
      <w:r>
        <w:rPr>
          <w:rFonts w:ascii="Arial" w:cs="Arial" w:eastAsia="Arial" w:hAnsi="Arial"/>
          <w:color w:val="374151"/>
          <w:sz w:val="21"/>
          <w:szCs w:val="21"/>
        </w:rPr>
        <w:t xml:space="preserve">ArBox serves the fitness and wellness vertical (gyms, studios, trainers). API uses key-based authentication with endpoints covering businesses, members, classes, schedules, and payments. ArBox also integrates with Zapier, Make, Stripe, and Facebook.</w:t>
      </w:r>
    </w:p>
    <w:p>
      <w:pPr>
        <w:spacing w:after="40"/>
      </w:pPr>
    </w:p>
    <w:p>
      <w:pPr>
        <w:pStyle w:val="Heading3"/>
        <w:spacing w:after="100" w:before="200"/>
      </w:pPr>
      <w:r>
        <w:rPr>
          <w:rFonts w:ascii="Arial" w:cs="Arial" w:eastAsia="Arial" w:hAnsi="Arial"/>
          <w:b/>
          <w:bCs/>
          <w:color w:val="374151"/>
          <w:sz w:val="22"/>
          <w:szCs w:val="22"/>
        </w:rPr>
        <w:t xml:space="preserve">Key Data Points for Dashboards</w:t>
      </w:r>
    </w:p>
    <w:p>
      <w:pPr>
        <w:pStyle w:val="ListParagraph"/>
        <w:numPr>
          <w:ilvl w:val="0"/>
          <w:numId w:val="3"/>
        </w:numPr>
        <w:spacing w:after="60"/>
      </w:pPr>
      <w:r>
        <w:rPr>
          <w:rFonts w:ascii="Arial" w:cs="Arial" w:eastAsia="Arial" w:hAnsi="Arial"/>
          <w:color w:val="374151"/>
          <w:sz w:val="21"/>
          <w:szCs w:val="21"/>
        </w:rPr>
        <w:t xml:space="preserve">Active members / subscribers count and trends</w:t>
      </w:r>
    </w:p>
    <w:p>
      <w:pPr>
        <w:pStyle w:val="ListParagraph"/>
        <w:numPr>
          <w:ilvl w:val="0"/>
          <w:numId w:val="3"/>
        </w:numPr>
        <w:spacing w:after="60"/>
      </w:pPr>
      <w:r>
        <w:rPr>
          <w:rFonts w:ascii="Arial" w:cs="Arial" w:eastAsia="Arial" w:hAnsi="Arial"/>
          <w:color w:val="374151"/>
          <w:sz w:val="21"/>
          <w:szCs w:val="21"/>
        </w:rPr>
        <w:t xml:space="preserve">Class utilization rates and attendance</w:t>
      </w:r>
    </w:p>
    <w:p>
      <w:pPr>
        <w:pStyle w:val="ListParagraph"/>
        <w:numPr>
          <w:ilvl w:val="0"/>
          <w:numId w:val="3"/>
        </w:numPr>
        <w:spacing w:after="60"/>
      </w:pPr>
      <w:r>
        <w:rPr>
          <w:rFonts w:ascii="Arial" w:cs="Arial" w:eastAsia="Arial" w:hAnsi="Arial"/>
          <w:color w:val="374151"/>
          <w:sz w:val="21"/>
          <w:szCs w:val="21"/>
        </w:rPr>
        <w:t xml:space="preserve">Revenue per member, membership churn, LTV</w:t>
      </w:r>
    </w:p>
    <w:p>
      <w:pPr>
        <w:pStyle w:val="ListParagraph"/>
        <w:numPr>
          <w:ilvl w:val="0"/>
          <w:numId w:val="3"/>
        </w:numPr>
        <w:spacing w:after="120"/>
      </w:pPr>
      <w:r>
        <w:rPr>
          <w:rFonts w:ascii="Arial" w:cs="Arial" w:eastAsia="Arial" w:hAnsi="Arial"/>
          <w:color w:val="374151"/>
          <w:sz w:val="21"/>
          <w:szCs w:val="21"/>
        </w:rPr>
        <w:t xml:space="preserve">Payment status and collection rates</w:t>
      </w:r>
    </w:p>
    <w:p>
      <w:pPr>
        <w:pStyle w:val="Heading2"/>
        <w:spacing w:after="140" w:before="280"/>
      </w:pPr>
      <w:r>
        <w:rPr>
          <w:rFonts w:ascii="Arial" w:cs="Arial" w:eastAsia="Arial" w:hAnsi="Arial"/>
          <w:b/>
          <w:bCs/>
          <w:color w:val="7C3AED"/>
          <w:sz w:val="26"/>
          <w:szCs w:val="26"/>
        </w:rPr>
        <w:t xml:space="preserve">3.3 Future CRM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500"/>
        <w:gridCol w:w="3060"/>
      </w:tblGrid>
      <w:tr>
        <w:trPr>
          <w:tblHeader/>
        </w:trPr>
        <w:tc>
          <w:tcPr>
            <w:tcW w:type="dxa" w:w="2200"/>
            <w:tcBorders>
              <w:top w:val="single" w:color="D1D5DB" w:sz="1"/>
              <w:left w:val="single" w:color="D1D5DB" w:sz="1"/>
              <w:bottom w:val="single" w:color="D1D5DB" w:sz="1"/>
              <w:right w:val="single" w:color="D1D5DB" w:sz="1"/>
            </w:tcBorders>
            <w:shd w:fill="581C87" w:val="clear"/>
            <w:tcMar>
              <w:top w:type="dxa" w:w="60"/>
              <w:left w:type="dxa" w:w="100"/>
              <w:bottom w:type="dxa" w:w="60"/>
              <w:right w:type="dxa" w:w="100"/>
            </w:tcMar>
            <w:vAlign w:val="center"/>
          </w:tcPr>
          <w:p>
            <w:r>
              <w:rPr>
                <w:rFonts w:ascii="Arial" w:cs="Arial" w:eastAsia="Arial" w:hAnsi="Arial"/>
                <w:b/>
                <w:bCs/>
                <w:color w:val="FFFFFF"/>
                <w:sz w:val="20"/>
                <w:szCs w:val="20"/>
              </w:rPr>
              <w:t xml:space="preserve">Platform</w:t>
            </w:r>
          </w:p>
        </w:tc>
        <w:tc>
          <w:tcPr>
            <w:tcW w:type="dxa" w:w="2600"/>
            <w:tcBorders>
              <w:top w:val="single" w:color="D1D5DB" w:sz="1"/>
              <w:left w:val="single" w:color="D1D5DB" w:sz="1"/>
              <w:bottom w:val="single" w:color="D1D5DB" w:sz="1"/>
              <w:right w:val="single" w:color="D1D5DB" w:sz="1"/>
            </w:tcBorders>
            <w:shd w:fill="581C87"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 Vertical</w:t>
            </w:r>
          </w:p>
        </w:tc>
        <w:tc>
          <w:tcPr>
            <w:tcW w:type="dxa" w:w="1500"/>
            <w:tcBorders>
              <w:top w:val="single" w:color="D1D5DB" w:sz="1"/>
              <w:left w:val="single" w:color="D1D5DB" w:sz="1"/>
              <w:bottom w:val="single" w:color="D1D5DB" w:sz="1"/>
              <w:right w:val="single" w:color="D1D5DB" w:sz="1"/>
            </w:tcBorders>
            <w:shd w:fill="581C87"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3060"/>
            <w:tcBorders>
              <w:top w:val="single" w:color="D1D5DB" w:sz="1"/>
              <w:left w:val="single" w:color="D1D5DB" w:sz="1"/>
              <w:bottom w:val="single" w:color="D1D5DB" w:sz="1"/>
              <w:right w:val="single" w:color="D1D5DB" w:sz="1"/>
            </w:tcBorders>
            <w:shd w:fill="581C87" w:val="clear"/>
            <w:tcMar>
              <w:top w:type="dxa" w:w="60"/>
              <w:left w:type="dxa" w:w="100"/>
              <w:bottom w:type="dxa" w:w="60"/>
              <w:right w:type="dxa" w:w="100"/>
            </w:tcMar>
            <w:vAlign w:val="center"/>
          </w:tcPr>
          <w:p>
            <w:r>
              <w:rPr>
                <w:rFonts w:ascii="Arial" w:cs="Arial" w:eastAsia="Arial" w:hAnsi="Arial"/>
                <w:b/>
                <w:bCs/>
                <w:color w:val="FFFFFF"/>
                <w:sz w:val="20"/>
                <w:szCs w:val="20"/>
              </w:rPr>
              <w:t xml:space="preserve">Integration Complexity</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Monday.com</w:t>
            </w:r>
          </w:p>
        </w:tc>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Project-driven SMBs</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Phase 2</w:t>
            </w:r>
          </w:p>
        </w:tc>
        <w:tc>
          <w:tcPr>
            <w:tcW w:type="dxa" w:w="3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Medium - REST API, OAuth2</w:t>
            </w:r>
          </w:p>
        </w:tc>
      </w:tr>
      <w:tr>
        <w:trPr>
          <w:tblHeader w:val="false"/>
        </w:trP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HubSpot</w:t>
            </w:r>
          </w:p>
        </w:tc>
        <w:tc>
          <w:tcPr>
            <w:tcW w:type="dxa" w:w="2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Marketing-driven SMBs</w:t>
            </w:r>
          </w:p>
        </w:tc>
        <w:tc>
          <w:tcPr>
            <w:tcW w:type="dxa" w:w="1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Phase 2</w:t>
            </w:r>
          </w:p>
        </w:tc>
        <w:tc>
          <w:tcPr>
            <w:tcW w:type="dxa" w:w="30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Low - well-documented API, free tier</w:t>
            </w:r>
          </w:p>
        </w:tc>
      </w:tr>
    </w:tbl>
    <w:p>
      <w:r>
        <w:br w:type="page"/>
      </w:r>
    </w:p>
    <w:p>
      <w:pPr>
        <w:pStyle w:val="Heading1"/>
        <w:spacing w:after="200" w:before="360"/>
      </w:pPr>
      <w:r>
        <w:rPr>
          <w:rFonts w:ascii="Arial" w:cs="Arial" w:eastAsia="Arial" w:hAnsi="Arial"/>
          <w:b/>
          <w:bCs/>
          <w:color w:val="581C87"/>
          <w:sz w:val="32"/>
          <w:szCs w:val="32"/>
        </w:rPr>
        <w:t xml:space="preserve">4. Dashboard Product Design</w:t>
      </w:r>
    </w:p>
    <w:p>
      <w:pPr>
        <w:pStyle w:val="Heading2"/>
        <w:spacing w:after="140" w:before="280"/>
      </w:pPr>
      <w:r>
        <w:rPr>
          <w:rFonts w:ascii="Arial" w:cs="Arial" w:eastAsia="Arial" w:hAnsi="Arial"/>
          <w:b/>
          <w:bCs/>
          <w:color w:val="7C3AED"/>
          <w:sz w:val="26"/>
          <w:szCs w:val="26"/>
        </w:rPr>
        <w:t xml:space="preserve">4.1 Design Principles</w:t>
      </w:r>
    </w:p>
    <w:p>
      <w:pPr>
        <w:pStyle w:val="ListParagraph"/>
        <w:numPr>
          <w:ilvl w:val="0"/>
          <w:numId w:val="3"/>
        </w:numPr>
        <w:spacing w:after="80"/>
      </w:pPr>
      <w:r>
        <w:rPr>
          <w:rFonts w:ascii="Arial" w:cs="Arial" w:eastAsia="Arial" w:hAnsi="Arial"/>
          <w:color w:val="374151"/>
          <w:sz w:val="21"/>
          <w:szCs w:val="21"/>
        </w:rPr>
        <w:t xml:space="preserve">Hebrew RTL-first: All text, charts, and layouts are designed right-to-left as the primary orientation.</w:t>
      </w:r>
    </w:p>
    <w:p>
      <w:pPr>
        <w:pStyle w:val="ListParagraph"/>
        <w:numPr>
          <w:ilvl w:val="0"/>
          <w:numId w:val="3"/>
        </w:numPr>
        <w:spacing w:after="80"/>
      </w:pPr>
      <w:r>
        <w:rPr>
          <w:rFonts w:ascii="Arial" w:cs="Arial" w:eastAsia="Arial" w:hAnsi="Arial"/>
          <w:color w:val="374151"/>
          <w:sz w:val="21"/>
          <w:szCs w:val="21"/>
        </w:rPr>
        <w:t xml:space="preserve">Mobile-responsive: Dashboard adapts from desktop widescreen to mobile portrait. SMB owners check metrics on their phones.</w:t>
      </w:r>
    </w:p>
    <w:p>
      <w:pPr>
        <w:pStyle w:val="ListParagraph"/>
        <w:numPr>
          <w:ilvl w:val="0"/>
          <w:numId w:val="3"/>
        </w:numPr>
        <w:spacing w:after="80"/>
      </w:pPr>
      <w:r>
        <w:rPr>
          <w:rFonts w:ascii="Arial" w:cs="Arial" w:eastAsia="Arial" w:hAnsi="Arial"/>
          <w:color w:val="374151"/>
          <w:sz w:val="21"/>
          <w:szCs w:val="21"/>
        </w:rPr>
        <w:t xml:space="preserve">Self-contained: Each dashboard is a single HTML file with embedded CSS/JS and Chart.js - easy to host, share, and maintain.</w:t>
      </w:r>
    </w:p>
    <w:p>
      <w:pPr>
        <w:pStyle w:val="ListParagraph"/>
        <w:numPr>
          <w:ilvl w:val="0"/>
          <w:numId w:val="3"/>
        </w:numPr>
        <w:spacing w:after="80"/>
      </w:pPr>
      <w:r>
        <w:rPr>
          <w:rFonts w:ascii="Arial" w:cs="Arial" w:eastAsia="Arial" w:hAnsi="Arial"/>
          <w:color w:val="374151"/>
          <w:sz w:val="21"/>
          <w:szCs w:val="21"/>
        </w:rPr>
        <w:t xml:space="preserve">Glanceable: KPI cards at the top for instant health check; drill-down charts below for analysis. No clutter.</w:t>
      </w:r>
    </w:p>
    <w:p>
      <w:pPr>
        <w:pStyle w:val="ListParagraph"/>
        <w:numPr>
          <w:ilvl w:val="0"/>
          <w:numId w:val="3"/>
        </w:numPr>
        <w:spacing w:after="120"/>
      </w:pPr>
      <w:r>
        <w:rPr>
          <w:rFonts w:ascii="Arial" w:cs="Arial" w:eastAsia="Arial" w:hAnsi="Arial"/>
          <w:color w:val="374151"/>
          <w:sz w:val="21"/>
          <w:szCs w:val="21"/>
        </w:rPr>
        <w:t xml:space="preserve">Branded: DashBoard purple gradient theme applied consistently across all client dashboards.</w:t>
      </w:r>
    </w:p>
    <w:p>
      <w:pPr>
        <w:pStyle w:val="Heading2"/>
        <w:spacing w:after="140" w:before="280"/>
      </w:pPr>
      <w:r>
        <w:rPr>
          <w:rFonts w:ascii="Arial" w:cs="Arial" w:eastAsia="Arial" w:hAnsi="Arial"/>
          <w:b/>
          <w:bCs/>
          <w:color w:val="7C3AED"/>
          <w:sz w:val="26"/>
          <w:szCs w:val="26"/>
        </w:rPr>
        <w:t xml:space="preserve">4.2 Dashboard Component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tcBorders>
              <w:top w:val="single" w:color="D1D5DB" w:sz="1"/>
              <w:left w:val="single" w:color="D1D5DB" w:sz="1"/>
              <w:bottom w:val="single" w:color="D1D5DB" w:sz="1"/>
              <w:right w:val="single" w:color="D1D5DB" w:sz="1"/>
            </w:tcBorders>
            <w:shd w:fill="581C87"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4360"/>
            <w:tcBorders>
              <w:top w:val="single" w:color="D1D5DB" w:sz="1"/>
              <w:left w:val="single" w:color="D1D5DB" w:sz="1"/>
              <w:bottom w:val="single" w:color="D1D5DB" w:sz="1"/>
              <w:right w:val="single" w:color="D1D5DB" w:sz="1"/>
            </w:tcBorders>
            <w:shd w:fill="581C87"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3000"/>
            <w:tcBorders>
              <w:top w:val="single" w:color="D1D5DB" w:sz="1"/>
              <w:left w:val="single" w:color="D1D5DB" w:sz="1"/>
              <w:bottom w:val="single" w:color="D1D5DB" w:sz="1"/>
              <w:right w:val="single" w:color="D1D5DB" w:sz="1"/>
            </w:tcBorders>
            <w:shd w:fill="581C87" w:val="clear"/>
            <w:tcMar>
              <w:top w:type="dxa" w:w="60"/>
              <w:left w:type="dxa" w:w="100"/>
              <w:bottom w:type="dxa" w:w="60"/>
              <w:right w:type="dxa" w:w="100"/>
            </w:tcMar>
            <w:vAlign w:val="center"/>
          </w:tcPr>
          <w:p>
            <w:r>
              <w:rPr>
                <w:rFonts w:ascii="Arial" w:cs="Arial" w:eastAsia="Arial" w:hAnsi="Arial"/>
                <w:b/>
                <w:bCs/>
                <w:color w:val="FFFFFF"/>
                <w:sz w:val="20"/>
                <w:szCs w:val="20"/>
              </w:rPr>
              <w:t xml:space="preserve">Data Source</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KPI Card</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Large number + trend arrow + % change vs. prior period</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Aggregated time-series</w:t>
            </w:r>
          </w:p>
        </w:tc>
      </w:tr>
      <w:tr>
        <w:trPr>
          <w:tblHeader w:val="false"/>
        </w:trP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Line Chart</w:t>
            </w:r>
          </w:p>
        </w:tc>
        <w:tc>
          <w:tcPr>
            <w:tcW w:type="dxa" w:w="4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Multi-series time trends (revenue, leads, churn over months)</w:t>
            </w:r>
          </w:p>
        </w:tc>
        <w:tc>
          <w:tcPr>
            <w:tcW w:type="dxa" w:w="3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Monthly aggregations</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Bar Chart</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Category comparisons (revenue by product, leads by source)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Grouped aggregations</w:t>
            </w:r>
          </w:p>
        </w:tc>
      </w:tr>
      <w:tr>
        <w:trPr>
          <w:tblHeader w:val="false"/>
        </w:trP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Donut / Pie</w:t>
            </w:r>
          </w:p>
        </w:tc>
        <w:tc>
          <w:tcPr>
            <w:tcW w:type="dxa" w:w="4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Distribution views (lead sources, deal stages)</w:t>
            </w:r>
          </w:p>
        </w:tc>
        <w:tc>
          <w:tcPr>
            <w:tcW w:type="dxa" w:w="3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Categorical counts</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Data Table</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Sortable, filterable tabular data with search</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Raw or lightly processed records</w:t>
            </w:r>
          </w:p>
        </w:tc>
      </w:tr>
      <w:tr>
        <w:trPr>
          <w:tblHeader w:val="false"/>
        </w:trP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Funnel</w:t>
            </w:r>
          </w:p>
        </w:tc>
        <w:tc>
          <w:tcPr>
            <w:tcW w:type="dxa" w:w="4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Pipeline stage progression with conversion rates</w:t>
            </w:r>
          </w:p>
        </w:tc>
        <w:tc>
          <w:tcPr>
            <w:tcW w:type="dxa" w:w="3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Stage-based counts</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Heatmap</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Day/hour activity patterns (class attendance, call volume)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Timestamp-binned counts</w:t>
            </w:r>
          </w:p>
        </w:tc>
      </w:tr>
      <w:tr>
        <w:trPr>
          <w:tblHeader w:val="false"/>
        </w:trP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Alert Banner</w:t>
            </w:r>
          </w:p>
        </w:tc>
        <w:tc>
          <w:tcPr>
            <w:tcW w:type="dxa" w:w="4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Threshold-triggered warnings (churn spike, revenue drop)</w:t>
            </w:r>
          </w:p>
        </w:tc>
        <w:tc>
          <w:tcPr>
            <w:tcW w:type="dxa" w:w="3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Computed vs. threshold</w:t>
            </w:r>
          </w:p>
        </w:tc>
      </w:tr>
    </w:tbl>
    <w:p>
      <w:pPr>
        <w:pStyle w:val="Heading2"/>
        <w:spacing w:after="140" w:before="280"/>
      </w:pPr>
      <w:r>
        <w:rPr>
          <w:rFonts w:ascii="Arial" w:cs="Arial" w:eastAsia="Arial" w:hAnsi="Arial"/>
          <w:b/>
          <w:bCs/>
          <w:color w:val="7C3AED"/>
          <w:sz w:val="26"/>
          <w:szCs w:val="26"/>
        </w:rPr>
        <w:t xml:space="preserve">4.3 Vertical Templates</w:t>
      </w:r>
    </w:p>
    <w:p>
      <w:pPr>
        <w:spacing w:after="120"/>
      </w:pPr>
      <w:r>
        <w:rPr>
          <w:rFonts w:ascii="Arial" w:cs="Arial" w:eastAsia="Arial" w:hAnsi="Arial"/>
          <w:color w:val="374151"/>
          <w:sz w:val="21"/>
          <w:szCs w:val="21"/>
        </w:rPr>
        <w:t xml:space="preserve">Pre-built dashboard templates reduce setup time from 6-10 hours to 2-3 hours. Each template includes a fixed set of KPI cards, charts, and tables tuned to the vertical.</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060"/>
        <w:gridCol w:w="2500"/>
      </w:tblGrid>
      <w:tr>
        <w:trPr>
          <w:tblHeader/>
        </w:trPr>
        <w:tc>
          <w:tcPr>
            <w:tcW w:type="dxa" w:w="2200"/>
            <w:tcBorders>
              <w:top w:val="single" w:color="D1D5DB" w:sz="1"/>
              <w:left w:val="single" w:color="D1D5DB" w:sz="1"/>
              <w:bottom w:val="single" w:color="D1D5DB" w:sz="1"/>
              <w:right w:val="single" w:color="D1D5DB" w:sz="1"/>
            </w:tcBorders>
            <w:shd w:fill="581C87" w:val="clear"/>
            <w:tcMar>
              <w:top w:type="dxa" w:w="60"/>
              <w:left w:type="dxa" w:w="100"/>
              <w:bottom w:type="dxa" w:w="60"/>
              <w:right w:type="dxa" w:w="100"/>
            </w:tcMar>
            <w:vAlign w:val="center"/>
          </w:tcPr>
          <w:p>
            <w:r>
              <w:rPr>
                <w:rFonts w:ascii="Arial" w:cs="Arial" w:eastAsia="Arial" w:hAnsi="Arial"/>
                <w:b/>
                <w:bCs/>
                <w:color w:val="FFFFFF"/>
                <w:sz w:val="20"/>
                <w:szCs w:val="20"/>
              </w:rPr>
              <w:t xml:space="preserve">Template</w:t>
            </w:r>
          </w:p>
        </w:tc>
        <w:tc>
          <w:tcPr>
            <w:tcW w:type="dxa" w:w="1600"/>
            <w:tcBorders>
              <w:top w:val="single" w:color="D1D5DB" w:sz="1"/>
              <w:left w:val="single" w:color="D1D5DB" w:sz="1"/>
              <w:bottom w:val="single" w:color="D1D5DB" w:sz="1"/>
              <w:right w:val="single" w:color="D1D5DB" w:sz="1"/>
            </w:tcBorders>
            <w:shd w:fill="581C87"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 CRM</w:t>
            </w:r>
          </w:p>
        </w:tc>
        <w:tc>
          <w:tcPr>
            <w:tcW w:type="dxa" w:w="3060"/>
            <w:tcBorders>
              <w:top w:val="single" w:color="D1D5DB" w:sz="1"/>
              <w:left w:val="single" w:color="D1D5DB" w:sz="1"/>
              <w:bottom w:val="single" w:color="D1D5DB" w:sz="1"/>
              <w:right w:val="single" w:color="D1D5DB" w:sz="1"/>
            </w:tcBorders>
            <w:shd w:fill="581C87" w:val="clear"/>
            <w:tcMar>
              <w:top w:type="dxa" w:w="60"/>
              <w:left w:type="dxa" w:w="100"/>
              <w:bottom w:type="dxa" w:w="60"/>
              <w:right w:type="dxa" w:w="100"/>
            </w:tcMar>
            <w:vAlign w:val="center"/>
          </w:tcPr>
          <w:p>
            <w:r>
              <w:rPr>
                <w:rFonts w:ascii="Arial" w:cs="Arial" w:eastAsia="Arial" w:hAnsi="Arial"/>
                <w:b/>
                <w:bCs/>
                <w:color w:val="FFFFFF"/>
                <w:sz w:val="20"/>
                <w:szCs w:val="20"/>
              </w:rPr>
              <w:t xml:space="preserve">Key KPIs</w:t>
            </w:r>
          </w:p>
        </w:tc>
        <w:tc>
          <w:tcPr>
            <w:tcW w:type="dxa" w:w="2500"/>
            <w:tcBorders>
              <w:top w:val="single" w:color="D1D5DB" w:sz="1"/>
              <w:left w:val="single" w:color="D1D5DB" w:sz="1"/>
              <w:bottom w:val="single" w:color="D1D5DB" w:sz="1"/>
              <w:right w:val="single" w:color="D1D5DB" w:sz="1"/>
            </w:tcBorders>
            <w:shd w:fill="581C87" w:val="clear"/>
            <w:tcMar>
              <w:top w:type="dxa" w:w="60"/>
              <w:left w:type="dxa" w:w="100"/>
              <w:bottom w:type="dxa" w:w="60"/>
              <w:right w:type="dxa" w:w="100"/>
            </w:tcMar>
            <w:vAlign w:val="center"/>
          </w:tcPr>
          <w:p>
            <w:r>
              <w:rPr>
                <w:rFonts w:ascii="Arial" w:cs="Arial" w:eastAsia="Arial" w:hAnsi="Arial"/>
                <w:b/>
                <w:bCs/>
                <w:color w:val="FFFFFF"/>
                <w:sz w:val="20"/>
                <w:szCs w:val="20"/>
              </w:rPr>
              <w:t xml:space="preserve">Key Charts</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Fitness &amp; Wellness</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ArBox</w:t>
            </w:r>
          </w:p>
        </w:tc>
        <w:tc>
          <w:tcPr>
            <w:tcW w:type="dxa" w:w="3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Active members, churn rate, revenue/member, class utilization</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Member trend, class heatmap, revenue funnel</w:t>
            </w:r>
          </w:p>
        </w:tc>
      </w:tr>
      <w:tr>
        <w:trPr>
          <w:tblHeader w:val="false"/>
        </w:trP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Kids &amp; Education</w:t>
            </w:r>
          </w:p>
        </w:tc>
        <w:tc>
          <w:tcPr>
            <w:tcW w:type="dxa" w:w="1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Scalla</w:t>
            </w:r>
          </w:p>
        </w:tc>
        <w:tc>
          <w:tcPr>
            <w:tcW w:type="dxa" w:w="30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Enrollment, attendance rate, revenue/class, seasonal trends</w:t>
            </w:r>
          </w:p>
        </w:tc>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Enrollment trend, revenue by program, attendance heatmap</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Professional Services</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Scalla</w:t>
            </w:r>
          </w:p>
        </w:tc>
        <w:tc>
          <w:tcPr>
            <w:tcW w:type="dxa" w:w="3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Lead pipeline, conversion rate, revenue, client LTV</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Pipeline funnel, revenue trend, lead source donut</w:t>
            </w:r>
          </w:p>
        </w:tc>
      </w:tr>
      <w:tr>
        <w:trPr>
          <w:tblHeader w:val="false"/>
        </w:trP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Retail &amp; E-commerce</w:t>
            </w:r>
          </w:p>
        </w:tc>
        <w:tc>
          <w:tcPr>
            <w:tcW w:type="dxa" w:w="1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Scalla</w:t>
            </w:r>
          </w:p>
        </w:tc>
        <w:tc>
          <w:tcPr>
            <w:tcW w:type="dxa" w:w="30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Sales volume, AOV, repeat purchase rate, top products</w:t>
            </w:r>
          </w:p>
        </w:tc>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Sales trend, product bar chart, customer retention</w:t>
            </w:r>
          </w:p>
        </w:tc>
      </w:tr>
    </w:tbl>
    <w:p>
      <w:pPr>
        <w:pStyle w:val="Heading2"/>
        <w:spacing w:after="140" w:before="280"/>
      </w:pPr>
      <w:r>
        <w:rPr>
          <w:rFonts w:ascii="Arial" w:cs="Arial" w:eastAsia="Arial" w:hAnsi="Arial"/>
          <w:b/>
          <w:bCs/>
          <w:color w:val="7C3AED"/>
          <w:sz w:val="26"/>
          <w:szCs w:val="26"/>
        </w:rPr>
        <w:t xml:space="preserve">4.4 User Flows</w:t>
      </w:r>
    </w:p>
    <w:p>
      <w:pPr>
        <w:pStyle w:val="Heading3"/>
        <w:spacing w:after="100" w:before="200"/>
      </w:pPr>
      <w:r>
        <w:rPr>
          <w:rFonts w:ascii="Arial" w:cs="Arial" w:eastAsia="Arial" w:hAnsi="Arial"/>
          <w:b/>
          <w:bCs/>
          <w:color w:val="374151"/>
          <w:sz w:val="22"/>
          <w:szCs w:val="22"/>
        </w:rPr>
        <w:t xml:space="preserve">Client Onboarding Flow</w:t>
      </w:r>
    </w:p>
    <w:p>
      <w:pPr>
        <w:pStyle w:val="ListParagraph"/>
        <w:numPr>
          <w:ilvl w:val="0"/>
          <w:numId w:val="2"/>
        </w:numPr>
        <w:spacing w:after="60"/>
      </w:pPr>
      <w:r>
        <w:rPr>
          <w:rFonts w:ascii="Arial" w:cs="Arial" w:eastAsia="Arial" w:hAnsi="Arial"/>
          <w:color w:val="374151"/>
          <w:sz w:val="21"/>
          <w:szCs w:val="21"/>
        </w:rPr>
        <w:t xml:space="preserve">Client fills out the DashBoard Intake Form (bilingual Hebrew/English web form).</w:t>
      </w:r>
    </w:p>
    <w:p>
      <w:pPr>
        <w:pStyle w:val="ListParagraph"/>
        <w:numPr>
          <w:ilvl w:val="0"/>
          <w:numId w:val="2"/>
        </w:numPr>
        <w:spacing w:after="60"/>
      </w:pPr>
      <w:r>
        <w:rPr>
          <w:rFonts w:ascii="Arial" w:cs="Arial" w:eastAsia="Arial" w:hAnsi="Arial"/>
          <w:color w:val="374151"/>
          <w:sz w:val="21"/>
          <w:szCs w:val="21"/>
        </w:rPr>
        <w:t xml:space="preserve">Ofir reviews the submission: CRM system, selected KPIs, prerequisite checklist.</w:t>
      </w:r>
    </w:p>
    <w:p>
      <w:pPr>
        <w:pStyle w:val="ListParagraph"/>
        <w:numPr>
          <w:ilvl w:val="0"/>
          <w:numId w:val="2"/>
        </w:numPr>
        <w:spacing w:after="60"/>
      </w:pPr>
      <w:r>
        <w:rPr>
          <w:rFonts w:ascii="Arial" w:cs="Arial" w:eastAsia="Arial" w:hAnsi="Arial"/>
          <w:color w:val="374151"/>
          <w:sz w:val="21"/>
          <w:szCs w:val="21"/>
        </w:rPr>
        <w:t xml:space="preserve">Client provides CRM API credentials (API key or login credentials).</w:t>
      </w:r>
    </w:p>
    <w:p>
      <w:pPr>
        <w:pStyle w:val="ListParagraph"/>
        <w:numPr>
          <w:ilvl w:val="0"/>
          <w:numId w:val="2"/>
        </w:numPr>
        <w:spacing w:after="60"/>
      </w:pPr>
      <w:r>
        <w:rPr>
          <w:rFonts w:ascii="Arial" w:cs="Arial" w:eastAsia="Arial" w:hAnsi="Arial"/>
          <w:color w:val="374151"/>
          <w:sz w:val="21"/>
          <w:szCs w:val="21"/>
        </w:rPr>
        <w:t xml:space="preserve">System runs schema discovery to auto-detect available fields and modules.</w:t>
      </w:r>
    </w:p>
    <w:p>
      <w:pPr>
        <w:pStyle w:val="ListParagraph"/>
        <w:numPr>
          <w:ilvl w:val="0"/>
          <w:numId w:val="2"/>
        </w:numPr>
        <w:spacing w:after="60"/>
      </w:pPr>
      <w:r>
        <w:rPr>
          <w:rFonts w:ascii="Arial" w:cs="Arial" w:eastAsia="Arial" w:hAnsi="Arial"/>
          <w:color w:val="374151"/>
          <w:sz w:val="21"/>
          <w:szCs w:val="21"/>
        </w:rPr>
        <w:t xml:space="preserve">Vertical template is applied and customized based on client's selected KPIs.</w:t>
      </w:r>
    </w:p>
    <w:p>
      <w:pPr>
        <w:pStyle w:val="ListParagraph"/>
        <w:numPr>
          <w:ilvl w:val="0"/>
          <w:numId w:val="2"/>
        </w:numPr>
        <w:spacing w:after="60"/>
      </w:pPr>
      <w:r>
        <w:rPr>
          <w:rFonts w:ascii="Arial" w:cs="Arial" w:eastAsia="Arial" w:hAnsi="Arial"/>
          <w:color w:val="374151"/>
          <w:sz w:val="21"/>
          <w:szCs w:val="21"/>
        </w:rPr>
        <w:t xml:space="preserve">Dashboard is built, tested with live data, and delivered to the client.</w:t>
      </w:r>
    </w:p>
    <w:p>
      <w:pPr>
        <w:pStyle w:val="ListParagraph"/>
        <w:numPr>
          <w:ilvl w:val="0"/>
          <w:numId w:val="2"/>
        </w:numPr>
        <w:spacing w:after="120"/>
      </w:pPr>
      <w:r>
        <w:rPr>
          <w:rFonts w:ascii="Arial" w:cs="Arial" w:eastAsia="Arial" w:hAnsi="Arial"/>
          <w:color w:val="374151"/>
          <w:sz w:val="21"/>
          <w:szCs w:val="21"/>
        </w:rPr>
        <w:t xml:space="preserve">Client training session (30-60 min) on reading and using the dashboard.</w:t>
      </w:r>
    </w:p>
    <w:p>
      <w:r>
        <w:br w:type="page"/>
      </w:r>
    </w:p>
    <w:p>
      <w:pPr>
        <w:pStyle w:val="Heading1"/>
        <w:spacing w:after="200" w:before="360"/>
      </w:pPr>
      <w:r>
        <w:rPr>
          <w:rFonts w:ascii="Arial" w:cs="Arial" w:eastAsia="Arial" w:hAnsi="Arial"/>
          <w:b/>
          <w:bCs/>
          <w:color w:val="581C87"/>
          <w:sz w:val="32"/>
          <w:szCs w:val="32"/>
        </w:rPr>
        <w:t xml:space="preserve">5.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D1D5DB" w:sz="1"/>
              <w:left w:val="single" w:color="D1D5DB" w:sz="1"/>
              <w:bottom w:val="single" w:color="D1D5DB" w:sz="1"/>
              <w:right w:val="single" w:color="D1D5DB" w:sz="1"/>
            </w:tcBorders>
            <w:shd w:fill="581C87" w:val="clear"/>
            <w:tcMar>
              <w:top w:type="dxa" w:w="60"/>
              <w:left w:type="dxa" w:w="100"/>
              <w:bottom w:type="dxa" w:w="60"/>
              <w:right w:type="dxa" w:w="100"/>
            </w:tcMar>
            <w:vAlign w:val="center"/>
          </w:tcPr>
          <w:p>
            <w:r>
              <w:rPr>
                <w:rFonts w:ascii="Arial" w:cs="Arial" w:eastAsia="Arial" w:hAnsi="Arial"/>
                <w:b/>
                <w:bCs/>
                <w:color w:val="FFFFFF"/>
                <w:sz w:val="20"/>
                <w:szCs w:val="20"/>
              </w:rPr>
              <w:t xml:space="preserve">Layer</w:t>
            </w:r>
          </w:p>
        </w:tc>
        <w:tc>
          <w:tcPr>
            <w:tcW w:type="dxa" w:w="2800"/>
            <w:tcBorders>
              <w:top w:val="single" w:color="D1D5DB" w:sz="1"/>
              <w:left w:val="single" w:color="D1D5DB" w:sz="1"/>
              <w:bottom w:val="single" w:color="D1D5DB" w:sz="1"/>
              <w:right w:val="single" w:color="D1D5DB" w:sz="1"/>
            </w:tcBorders>
            <w:shd w:fill="581C87" w:val="clear"/>
            <w:tcMar>
              <w:top w:type="dxa" w:w="60"/>
              <w:left w:type="dxa" w:w="100"/>
              <w:bottom w:type="dxa" w:w="60"/>
              <w:right w:type="dxa" w:w="100"/>
            </w:tcMar>
            <w:vAlign w:val="center"/>
          </w:tcPr>
          <w:p>
            <w:r>
              <w:rPr>
                <w:rFonts w:ascii="Arial" w:cs="Arial" w:eastAsia="Arial" w:hAnsi="Arial"/>
                <w:b/>
                <w:bCs/>
                <w:color w:val="FFFFFF"/>
                <w:sz w:val="20"/>
                <w:szCs w:val="20"/>
              </w:rPr>
              <w:t xml:space="preserve">Technology</w:t>
            </w:r>
          </w:p>
        </w:tc>
        <w:tc>
          <w:tcPr>
            <w:tcW w:type="dxa" w:w="4760"/>
            <w:tcBorders>
              <w:top w:val="single" w:color="D1D5DB" w:sz="1"/>
              <w:left w:val="single" w:color="D1D5DB" w:sz="1"/>
              <w:bottom w:val="single" w:color="D1D5DB" w:sz="1"/>
              <w:right w:val="single" w:color="D1D5DB" w:sz="1"/>
            </w:tcBorders>
            <w:shd w:fill="581C87" w:val="clear"/>
            <w:tcMar>
              <w:top w:type="dxa" w:w="60"/>
              <w:left w:type="dxa" w:w="100"/>
              <w:bottom w:type="dxa" w:w="60"/>
              <w:right w:type="dxa" w:w="100"/>
            </w:tcMar>
            <w:vAlign w:val="center"/>
          </w:tcPr>
          <w:p>
            <w:r>
              <w:rPr>
                <w:rFonts w:ascii="Arial" w:cs="Arial" w:eastAsia="Arial" w:hAnsi="Arial"/>
                <w:b/>
                <w:bCs/>
                <w:color w:val="FFFFFF"/>
                <w:sz w:val="20"/>
                <w:szCs w:val="20"/>
              </w:rPr>
              <w:t xml:space="preserve">Rationale</w:t>
            </w:r>
          </w:p>
        </w:tc>
      </w:tr>
      <w:tr>
        <w:trPr>
          <w:tblHeader w:val="false"/>
        </w:trP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Front-end</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HTML/CSS/JS + Chart.js</w:t>
            </w:r>
          </w:p>
        </w:tc>
        <w:tc>
          <w:tcPr>
            <w:tcW w:type="dxa" w:w="4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Proven with prototype; self-contained single-file delivery; Hebrew RTL native support; no build tools needed</w:t>
            </w:r>
          </w:p>
        </w:tc>
      </w:tr>
      <w:tr>
        <w:trPr>
          <w:tblHeader w:val="false"/>
        </w:trP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Fonts</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Heebo (Google Fonts)</w:t>
            </w:r>
          </w:p>
        </w:tc>
        <w:tc>
          <w:tcPr>
            <w:tcW w:type="dxa" w:w="47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Hebrew-optimized web font; clean, modern, excellent readability</w:t>
            </w:r>
          </w:p>
        </w:tc>
      </w:tr>
      <w:tr>
        <w:trPr>
          <w:tblHeader w:val="false"/>
        </w:trP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Charting</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Chart.js 4.x</w:t>
            </w:r>
          </w:p>
        </w:tc>
        <w:tc>
          <w:tcPr>
            <w:tcW w:type="dxa" w:w="4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Lightweight, responsive, RTL-compatible, well-documented, free</w:t>
            </w:r>
          </w:p>
        </w:tc>
      </w:tr>
      <w:tr>
        <w:trPr>
          <w:tblHeader w:val="false"/>
        </w:trP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Back-end</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Node.js or Python (FastAPI)</w:t>
            </w:r>
          </w:p>
        </w:tc>
        <w:tc>
          <w:tcPr>
            <w:tcW w:type="dxa" w:w="47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Lightweight server for CRM proxying, data aggregation, and API serving</w:t>
            </w:r>
          </w:p>
        </w:tc>
      </w:tr>
      <w:tr>
        <w:trPr>
          <w:tblHeader w:val="false"/>
        </w:trP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Data Store</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PostgreSQL (prod) / SQLite (pilot)</w:t>
            </w:r>
          </w:p>
        </w:tc>
        <w:tc>
          <w:tcPr>
            <w:tcW w:type="dxa" w:w="4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SQLite for rapid pilot phase; PostgreSQL for scale. Both support JSON columns for flexible schema</w:t>
            </w:r>
          </w:p>
        </w:tc>
      </w:tr>
      <w:tr>
        <w:trPr>
          <w:tblHeader w:val="false"/>
        </w:trP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Scheduler</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node-cron / systemd timers</w:t>
            </w:r>
          </w:p>
        </w:tc>
        <w:tc>
          <w:tcPr>
            <w:tcW w:type="dxa" w:w="47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Simple, reliable scheduling for periodic CRM data pulls</w:t>
            </w:r>
          </w:p>
        </w:tc>
      </w:tr>
      <w:tr>
        <w:trPr>
          <w:tblHeader w:val="false"/>
        </w:trP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Hosting</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Netlify (static) + VPS (API)</w:t>
            </w:r>
          </w:p>
        </w:tc>
        <w:tc>
          <w:tcPr>
            <w:tcW w:type="dxa" w:w="4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Netlify for dashboard HTML delivery; small VPS for server-side CRM connector and data store</w:t>
            </w:r>
          </w:p>
        </w:tc>
      </w:tr>
      <w:tr>
        <w:trPr>
          <w:tblHeader w:val="false"/>
        </w:trP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Auth</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Simple token-based</w:t>
            </w:r>
          </w:p>
        </w:tc>
        <w:tc>
          <w:tcPr>
            <w:tcW w:type="dxa" w:w="47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Lightweight auth for dashboard access; no complex IAM needed at SMB scale</w:t>
            </w:r>
          </w:p>
        </w:tc>
      </w:tr>
      <w:tr>
        <w:trPr>
          <w:tblHeader w:val="false"/>
        </w:trP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Monitoring</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Basic logging + email alerts</w:t>
            </w:r>
          </w:p>
        </w:tc>
        <w:tc>
          <w:tcPr>
            <w:tcW w:type="dxa" w:w="4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Log CRM API failures; email alerts on data refresh failures or KPI threshold breaches</w:t>
            </w:r>
          </w:p>
        </w:tc>
      </w:tr>
    </w:tbl>
    <w:p>
      <w:pPr>
        <w:spacing w:after="40"/>
      </w:pPr>
    </w:p>
    <w:p>
      <w:pPr>
        <w:pStyle w:val="Heading1"/>
        <w:spacing w:after="200" w:before="360"/>
      </w:pPr>
      <w:r>
        <w:rPr>
          <w:rFonts w:ascii="Arial" w:cs="Arial" w:eastAsia="Arial" w:hAnsi="Arial"/>
          <w:b/>
          <w:bCs/>
          <w:color w:val="581C87"/>
          <w:sz w:val="32"/>
          <w:szCs w:val="32"/>
        </w:rPr>
        <w:t xml:space="preserve">6. Security &amp; Data Handling</w:t>
      </w:r>
    </w:p>
    <w:p>
      <w:pPr>
        <w:pStyle w:val="Heading2"/>
        <w:spacing w:after="140" w:before="280"/>
      </w:pPr>
      <w:r>
        <w:rPr>
          <w:rFonts w:ascii="Arial" w:cs="Arial" w:eastAsia="Arial" w:hAnsi="Arial"/>
          <w:b/>
          <w:bCs/>
          <w:color w:val="7C3AED"/>
          <w:sz w:val="26"/>
          <w:szCs w:val="26"/>
        </w:rPr>
        <w:t xml:space="preserve">6.1 CRM Credential Management</w:t>
      </w:r>
    </w:p>
    <w:p>
      <w:pPr>
        <w:pStyle w:val="ListParagraph"/>
        <w:numPr>
          <w:ilvl w:val="0"/>
          <w:numId w:val="3"/>
        </w:numPr>
        <w:spacing w:after="60"/>
      </w:pPr>
      <w:r>
        <w:rPr>
          <w:rFonts w:ascii="Arial" w:cs="Arial" w:eastAsia="Arial" w:hAnsi="Arial"/>
          <w:color w:val="374151"/>
          <w:sz w:val="21"/>
          <w:szCs w:val="21"/>
        </w:rPr>
        <w:t xml:space="preserve">Client CRM credentials (API keys, session tokens) are stored encrypted at rest.</w:t>
      </w:r>
    </w:p>
    <w:p>
      <w:pPr>
        <w:pStyle w:val="ListParagraph"/>
        <w:numPr>
          <w:ilvl w:val="0"/>
          <w:numId w:val="3"/>
        </w:numPr>
        <w:spacing w:after="60"/>
      </w:pPr>
      <w:r>
        <w:rPr>
          <w:rFonts w:ascii="Arial" w:cs="Arial" w:eastAsia="Arial" w:hAnsi="Arial"/>
          <w:color w:val="374151"/>
          <w:sz w:val="21"/>
          <w:szCs w:val="21"/>
        </w:rPr>
        <w:t xml:space="preserve">Credentials are never exposed in dashboard front-end code or browser network traffic.</w:t>
      </w:r>
    </w:p>
    <w:p>
      <w:pPr>
        <w:pStyle w:val="ListParagraph"/>
        <w:numPr>
          <w:ilvl w:val="0"/>
          <w:numId w:val="3"/>
        </w:numPr>
        <w:spacing w:after="120"/>
      </w:pPr>
      <w:r>
        <w:rPr>
          <w:rFonts w:ascii="Arial" w:cs="Arial" w:eastAsia="Arial" w:hAnsi="Arial"/>
          <w:color w:val="374151"/>
          <w:sz w:val="21"/>
          <w:szCs w:val="21"/>
        </w:rPr>
        <w:t xml:space="preserve">All CRM API calls are server-side only (enforced by CORS constraints).</w:t>
      </w:r>
    </w:p>
    <w:p>
      <w:pPr>
        <w:pStyle w:val="Heading2"/>
        <w:spacing w:after="140" w:before="280"/>
      </w:pPr>
      <w:r>
        <w:rPr>
          <w:rFonts w:ascii="Arial" w:cs="Arial" w:eastAsia="Arial" w:hAnsi="Arial"/>
          <w:b/>
          <w:bCs/>
          <w:color w:val="7C3AED"/>
          <w:sz w:val="26"/>
          <w:szCs w:val="26"/>
        </w:rPr>
        <w:t xml:space="preserve">6.2 Data Privacy</w:t>
      </w:r>
    </w:p>
    <w:p>
      <w:pPr>
        <w:pStyle w:val="ListParagraph"/>
        <w:numPr>
          <w:ilvl w:val="0"/>
          <w:numId w:val="3"/>
        </w:numPr>
        <w:spacing w:after="60"/>
      </w:pPr>
      <w:r>
        <w:rPr>
          <w:rFonts w:ascii="Arial" w:cs="Arial" w:eastAsia="Arial" w:hAnsi="Arial"/>
          <w:color w:val="374151"/>
          <w:sz w:val="21"/>
          <w:szCs w:val="21"/>
        </w:rPr>
        <w:t xml:space="preserve">Each client's data is isolated (separate database schema or tenant-scoped queries).</w:t>
      </w:r>
    </w:p>
    <w:p>
      <w:pPr>
        <w:pStyle w:val="ListParagraph"/>
        <w:numPr>
          <w:ilvl w:val="0"/>
          <w:numId w:val="3"/>
        </w:numPr>
        <w:spacing w:after="60"/>
      </w:pPr>
      <w:r>
        <w:rPr>
          <w:rFonts w:ascii="Arial" w:cs="Arial" w:eastAsia="Arial" w:hAnsi="Arial"/>
          <w:color w:val="374151"/>
          <w:sz w:val="21"/>
          <w:szCs w:val="21"/>
        </w:rPr>
        <w:t xml:space="preserve">Dashboards are accessible only via unique, client-specific URLs with token-based access.</w:t>
      </w:r>
    </w:p>
    <w:p>
      <w:pPr>
        <w:pStyle w:val="ListParagraph"/>
        <w:numPr>
          <w:ilvl w:val="0"/>
          <w:numId w:val="3"/>
        </w:numPr>
        <w:spacing w:after="60"/>
      </w:pPr>
      <w:r>
        <w:rPr>
          <w:rFonts w:ascii="Arial" w:cs="Arial" w:eastAsia="Arial" w:hAnsi="Arial"/>
          <w:color w:val="374151"/>
          <w:sz w:val="21"/>
          <w:szCs w:val="21"/>
        </w:rPr>
        <w:t xml:space="preserve">PII is minimized in aggregated data: dashboards show counts and metrics, not individual customer records (unless explicitly requested).</w:t>
      </w:r>
    </w:p>
    <w:p>
      <w:pPr>
        <w:pStyle w:val="ListParagraph"/>
        <w:numPr>
          <w:ilvl w:val="0"/>
          <w:numId w:val="3"/>
        </w:numPr>
        <w:spacing w:after="120"/>
      </w:pPr>
      <w:r>
        <w:rPr>
          <w:rFonts w:ascii="Arial" w:cs="Arial" w:eastAsia="Arial" w:hAnsi="Arial"/>
          <w:color w:val="374151"/>
          <w:sz w:val="21"/>
          <w:szCs w:val="21"/>
        </w:rPr>
        <w:t xml:space="preserve">Israeli Privacy Protection Law compliance: clear data processing agreements with each client.</w:t>
      </w:r>
    </w:p>
    <w:p>
      <w:r>
        <w:br w:type="page"/>
      </w:r>
    </w:p>
    <w:p>
      <w:pPr>
        <w:pStyle w:val="Heading1"/>
        <w:spacing w:after="200" w:before="360"/>
      </w:pPr>
      <w:r>
        <w:rPr>
          <w:rFonts w:ascii="Arial" w:cs="Arial" w:eastAsia="Arial" w:hAnsi="Arial"/>
          <w:b/>
          <w:bCs/>
          <w:color w:val="581C87"/>
          <w:sz w:val="32"/>
          <w:szCs w:val="32"/>
        </w:rPr>
        <w:t xml:space="preserve">7. Business Model &amp; Pricing</w:t>
      </w:r>
    </w:p>
    <w:p>
      <w:pPr>
        <w:pStyle w:val="Heading2"/>
        <w:spacing w:after="140" w:before="280"/>
      </w:pPr>
      <w:r>
        <w:rPr>
          <w:rFonts w:ascii="Arial" w:cs="Arial" w:eastAsia="Arial" w:hAnsi="Arial"/>
          <w:b/>
          <w:bCs/>
          <w:color w:val="7C3AED"/>
          <w:sz w:val="26"/>
          <w:szCs w:val="26"/>
        </w:rPr>
        <w:t xml:space="preserve">7.1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1900"/>
        <w:gridCol w:w="4360"/>
      </w:tblGrid>
      <w:tr>
        <w:trPr>
          <w:tblHeader/>
        </w:trPr>
        <w:tc>
          <w:tcPr>
            <w:tcW w:type="dxa" w:w="1400"/>
            <w:tcBorders>
              <w:top w:val="single" w:color="D1D5DB" w:sz="1"/>
              <w:left w:val="single" w:color="D1D5DB" w:sz="1"/>
              <w:bottom w:val="single" w:color="D1D5DB" w:sz="1"/>
              <w:right w:val="single" w:color="D1D5DB" w:sz="1"/>
            </w:tcBorders>
            <w:shd w:fill="581C87" w:val="clear"/>
            <w:tcMar>
              <w:top w:type="dxa" w:w="60"/>
              <w:left w:type="dxa" w:w="100"/>
              <w:bottom w:type="dxa" w:w="60"/>
              <w:right w:type="dxa" w:w="100"/>
            </w:tcMar>
            <w:vAlign w:val="center"/>
          </w:tcPr>
          <w:p>
            <w:r>
              <w:rPr>
                <w:rFonts w:ascii="Arial" w:cs="Arial" w:eastAsia="Arial" w:hAnsi="Arial"/>
                <w:b/>
                <w:bCs/>
                <w:color w:val="FFFFFF"/>
                <w:sz w:val="20"/>
                <w:szCs w:val="20"/>
              </w:rPr>
              <w:t xml:space="preserve">Tier</w:t>
            </w:r>
          </w:p>
        </w:tc>
        <w:tc>
          <w:tcPr>
            <w:tcW w:type="dxa" w:w="1700"/>
            <w:tcBorders>
              <w:top w:val="single" w:color="D1D5DB" w:sz="1"/>
              <w:left w:val="single" w:color="D1D5DB" w:sz="1"/>
              <w:bottom w:val="single" w:color="D1D5DB" w:sz="1"/>
              <w:right w:val="single" w:color="D1D5DB" w:sz="1"/>
            </w:tcBorders>
            <w:shd w:fill="581C87" w:val="clear"/>
            <w:tcMar>
              <w:top w:type="dxa" w:w="60"/>
              <w:left w:type="dxa" w:w="100"/>
              <w:bottom w:type="dxa" w:w="60"/>
              <w:right w:type="dxa" w:w="100"/>
            </w:tcMar>
            <w:vAlign w:val="center"/>
          </w:tcPr>
          <w:p>
            <w:r>
              <w:rPr>
                <w:rFonts w:ascii="Arial" w:cs="Arial" w:eastAsia="Arial" w:hAnsi="Arial"/>
                <w:b/>
                <w:bCs/>
                <w:color w:val="FFFFFF"/>
                <w:sz w:val="20"/>
                <w:szCs w:val="20"/>
              </w:rPr>
              <w:t xml:space="preserve">Setup Fee</w:t>
            </w:r>
          </w:p>
        </w:tc>
        <w:tc>
          <w:tcPr>
            <w:tcW w:type="dxa" w:w="1900"/>
            <w:tcBorders>
              <w:top w:val="single" w:color="D1D5DB" w:sz="1"/>
              <w:left w:val="single" w:color="D1D5DB" w:sz="1"/>
              <w:bottom w:val="single" w:color="D1D5DB" w:sz="1"/>
              <w:right w:val="single" w:color="D1D5DB" w:sz="1"/>
            </w:tcBorders>
            <w:shd w:fill="581C87" w:val="clear"/>
            <w:tcMar>
              <w:top w:type="dxa" w:w="60"/>
              <w:left w:type="dxa" w:w="100"/>
              <w:bottom w:type="dxa" w:w="60"/>
              <w:right w:type="dxa" w:w="100"/>
            </w:tcMar>
            <w:vAlign w:val="center"/>
          </w:tcPr>
          <w:p>
            <w:r>
              <w:rPr>
                <w:rFonts w:ascii="Arial" w:cs="Arial" w:eastAsia="Arial" w:hAnsi="Arial"/>
                <w:b/>
                <w:bCs/>
                <w:color w:val="FFFFFF"/>
                <w:sz w:val="20"/>
                <w:szCs w:val="20"/>
              </w:rPr>
              <w:t xml:space="preserve">Monthly Fee</w:t>
            </w:r>
          </w:p>
        </w:tc>
        <w:tc>
          <w:tcPr>
            <w:tcW w:type="dxa" w:w="4360"/>
            <w:tcBorders>
              <w:top w:val="single" w:color="D1D5DB" w:sz="1"/>
              <w:left w:val="single" w:color="D1D5DB" w:sz="1"/>
              <w:bottom w:val="single" w:color="D1D5DB" w:sz="1"/>
              <w:right w:val="single" w:color="D1D5DB" w:sz="1"/>
            </w:tcBorders>
            <w:shd w:fill="581C87" w:val="clear"/>
            <w:tcMar>
              <w:top w:type="dxa" w:w="60"/>
              <w:left w:type="dxa" w:w="100"/>
              <w:bottom w:type="dxa" w:w="60"/>
              <w:right w:type="dxa" w:w="100"/>
            </w:tcMar>
            <w:vAlign w:val="center"/>
          </w:tcPr>
          <w:p>
            <w:r>
              <w:rPr>
                <w:rFonts w:ascii="Arial" w:cs="Arial" w:eastAsia="Arial" w:hAnsi="Arial"/>
                <w:b/>
                <w:bCs/>
                <w:color w:val="FFFFFF"/>
                <w:sz w:val="20"/>
                <w:szCs w:val="20"/>
              </w:rPr>
              <w:t xml:space="preserve">Includes</w:t>
            </w:r>
          </w:p>
        </w:tc>
      </w:tr>
      <w:tr>
        <w:trPr>
          <w:tblHeader w:val="false"/>
        </w:trPr>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Starter</w:t>
            </w:r>
          </w:p>
        </w:tc>
        <w:tc>
          <w:tcPr>
            <w:tcW w:type="dxa" w:w="1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1,500 NIS</w:t>
            </w:r>
          </w:p>
        </w:tc>
        <w:tc>
          <w:tcPr>
            <w:tcW w:type="dxa" w:w="1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349 NIS/mo</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Single dashboard, up to 5 KPI cards, 2 charts</w:t>
            </w:r>
          </w:p>
        </w:tc>
      </w:tr>
      <w:tr>
        <w:trPr>
          <w:tblHeader w:val="false"/>
        </w:trPr>
        <w:tc>
          <w:tcPr>
            <w:tcW w:type="dxa" w:w="1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Business</w:t>
            </w:r>
          </w:p>
        </w:tc>
        <w:tc>
          <w:tcPr>
            <w:tcW w:type="dxa" w:w="17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2,500 NIS</w:t>
            </w:r>
          </w:p>
        </w:tc>
        <w:tc>
          <w:tcPr>
            <w:tcW w:type="dxa" w:w="19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499 NIS/mo</w:t>
            </w:r>
          </w:p>
        </w:tc>
        <w:tc>
          <w:tcPr>
            <w:tcW w:type="dxa" w:w="4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Multi-view dashboard, 10 KPIs, 5 charts, 1 data table, filters</w:t>
            </w:r>
          </w:p>
        </w:tc>
      </w:tr>
      <w:tr>
        <w:trPr>
          <w:tblHeader w:val="false"/>
        </w:trPr>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Premium</w:t>
            </w:r>
          </w:p>
        </w:tc>
        <w:tc>
          <w:tcPr>
            <w:tcW w:type="dxa" w:w="1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3,000 NIS</w:t>
            </w:r>
          </w:p>
        </w:tc>
        <w:tc>
          <w:tcPr>
            <w:tcW w:type="dxa" w:w="1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599 NIS/mo</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Full custom build, unlimited views, alerts, scheduled email reports</w:t>
            </w:r>
          </w:p>
        </w:tc>
      </w:tr>
    </w:tbl>
    <w:p>
      <w:pPr>
        <w:pStyle w:val="Heading2"/>
        <w:spacing w:after="140" w:before="280"/>
      </w:pPr>
      <w:r>
        <w:rPr>
          <w:rFonts w:ascii="Arial" w:cs="Arial" w:eastAsia="Arial" w:hAnsi="Arial"/>
          <w:b/>
          <w:bCs/>
          <w:color w:val="7C3AED"/>
          <w:sz w:val="26"/>
          <w:szCs w:val="26"/>
        </w:rPr>
        <w:t xml:space="preserve">7.2 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D1D5DB" w:sz="1"/>
              <w:left w:val="single" w:color="D1D5DB" w:sz="1"/>
              <w:bottom w:val="single" w:color="D1D5DB" w:sz="1"/>
              <w:right w:val="single" w:color="D1D5DB" w:sz="1"/>
            </w:tcBorders>
            <w:shd w:fill="581C87" w:val="clear"/>
            <w:tcMar>
              <w:top w:type="dxa" w:w="60"/>
              <w:left w:type="dxa" w:w="100"/>
              <w:bottom w:type="dxa" w:w="60"/>
              <w:right w:type="dxa" w:w="100"/>
            </w:tcMar>
            <w:vAlign w:val="center"/>
          </w:tcPr>
          <w:p>
            <w:r>
              <w:rPr>
                <w:rFonts w:ascii="Arial" w:cs="Arial" w:eastAsia="Arial" w:hAnsi="Arial"/>
                <w:b/>
                <w:bCs/>
                <w:color w:val="FFFFFF"/>
                <w:sz w:val="20"/>
                <w:szCs w:val="20"/>
              </w:rPr>
              <w:t xml:space="preserve">Metric</w:t>
            </w:r>
          </w:p>
        </w:tc>
        <w:tc>
          <w:tcPr>
            <w:tcW w:type="dxa" w:w="2120"/>
            <w:tcBorders>
              <w:top w:val="single" w:color="D1D5DB" w:sz="1"/>
              <w:left w:val="single" w:color="D1D5DB" w:sz="1"/>
              <w:bottom w:val="single" w:color="D1D5DB" w:sz="1"/>
              <w:right w:val="single" w:color="D1D5DB" w:sz="1"/>
            </w:tcBorders>
            <w:shd w:fill="581C87" w:val="clear"/>
            <w:tcMar>
              <w:top w:type="dxa" w:w="60"/>
              <w:left w:type="dxa" w:w="100"/>
              <w:bottom w:type="dxa" w:w="60"/>
              <w:right w:type="dxa" w:w="100"/>
            </w:tcMar>
            <w:vAlign w:val="center"/>
          </w:tcPr>
          <w:p>
            <w:r>
              <w:rPr>
                <w:rFonts w:ascii="Arial" w:cs="Arial" w:eastAsia="Arial" w:hAnsi="Arial"/>
                <w:b/>
                <w:bCs/>
                <w:color w:val="FFFFFF"/>
                <w:sz w:val="20"/>
                <w:szCs w:val="20"/>
              </w:rPr>
              <w:t xml:space="preserve">Starter</w:t>
            </w:r>
          </w:p>
        </w:tc>
        <w:tc>
          <w:tcPr>
            <w:tcW w:type="dxa" w:w="2120"/>
            <w:tcBorders>
              <w:top w:val="single" w:color="D1D5DB" w:sz="1"/>
              <w:left w:val="single" w:color="D1D5DB" w:sz="1"/>
              <w:bottom w:val="single" w:color="D1D5DB" w:sz="1"/>
              <w:right w:val="single" w:color="D1D5DB" w:sz="1"/>
            </w:tcBorders>
            <w:shd w:fill="581C87" w:val="clear"/>
            <w:tcMar>
              <w:top w:type="dxa" w:w="60"/>
              <w:left w:type="dxa" w:w="100"/>
              <w:bottom w:type="dxa" w:w="60"/>
              <w:right w:type="dxa" w:w="100"/>
            </w:tcMar>
            <w:vAlign w:val="center"/>
          </w:tcPr>
          <w:p>
            <w:r>
              <w:rPr>
                <w:rFonts w:ascii="Arial" w:cs="Arial" w:eastAsia="Arial" w:hAnsi="Arial"/>
                <w:b/>
                <w:bCs/>
                <w:color w:val="FFFFFF"/>
                <w:sz w:val="20"/>
                <w:szCs w:val="20"/>
              </w:rPr>
              <w:t xml:space="preserve">Business</w:t>
            </w:r>
          </w:p>
        </w:tc>
        <w:tc>
          <w:tcPr>
            <w:tcW w:type="dxa" w:w="2120"/>
            <w:tcBorders>
              <w:top w:val="single" w:color="D1D5DB" w:sz="1"/>
              <w:left w:val="single" w:color="D1D5DB" w:sz="1"/>
              <w:bottom w:val="single" w:color="D1D5DB" w:sz="1"/>
              <w:right w:val="single" w:color="D1D5DB" w:sz="1"/>
            </w:tcBorders>
            <w:shd w:fill="581C87" w:val="clear"/>
            <w:tcMar>
              <w:top w:type="dxa" w:w="60"/>
              <w:left w:type="dxa" w:w="100"/>
              <w:bottom w:type="dxa" w:w="60"/>
              <w:right w:type="dxa" w:w="100"/>
            </w:tcMar>
            <w:vAlign w:val="center"/>
          </w:tcPr>
          <w:p>
            <w:r>
              <w:rPr>
                <w:rFonts w:ascii="Arial" w:cs="Arial" w:eastAsia="Arial" w:hAnsi="Arial"/>
                <w:b/>
                <w:bCs/>
                <w:color w:val="FFFFFF"/>
                <w:sz w:val="20"/>
                <w:szCs w:val="20"/>
              </w:rPr>
              <w:t xml:space="preserve">Premium</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Annual revenue (setup + 12mo)</w:t>
            </w:r>
          </w:p>
        </w:tc>
        <w:tc>
          <w:tcPr>
            <w:tcW w:type="dxa" w:w="2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5,688 NIS</w:t>
            </w:r>
          </w:p>
        </w:tc>
        <w:tc>
          <w:tcPr>
            <w:tcW w:type="dxa" w:w="2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8,488 NIS</w:t>
            </w:r>
          </w:p>
        </w:tc>
        <w:tc>
          <w:tcPr>
            <w:tcW w:type="dxa" w:w="2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10,188 NIS</w:t>
            </w:r>
          </w:p>
        </w:tc>
      </w:tr>
      <w:tr>
        <w:trPr>
          <w:tblHeader w:val="false"/>
        </w:trPr>
        <w:tc>
          <w:tcPr>
            <w:tcW w:type="dxa" w:w="3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Estimated setup time</w:t>
            </w:r>
          </w:p>
        </w:tc>
        <w:tc>
          <w:tcPr>
            <w:tcW w:type="dxa" w:w="2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4-6 hrs</w:t>
            </w:r>
          </w:p>
        </w:tc>
        <w:tc>
          <w:tcPr>
            <w:tcW w:type="dxa" w:w="2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6-10 hrs</w:t>
            </w:r>
          </w:p>
        </w:tc>
        <w:tc>
          <w:tcPr>
            <w:tcW w:type="dxa" w:w="2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10-15 hrs</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Monthly maintenance time</w:t>
            </w:r>
          </w:p>
        </w:tc>
        <w:tc>
          <w:tcPr>
            <w:tcW w:type="dxa" w:w="2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1 hr</w:t>
            </w:r>
          </w:p>
        </w:tc>
        <w:tc>
          <w:tcPr>
            <w:tcW w:type="dxa" w:w="2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1.5 hrs</w:t>
            </w:r>
          </w:p>
        </w:tc>
        <w:tc>
          <w:tcPr>
            <w:tcW w:type="dxa" w:w="2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2 hrs</w:t>
            </w:r>
          </w:p>
        </w:tc>
      </w:tr>
    </w:tbl>
    <w:p>
      <w:pPr>
        <w:pStyle w:val="Heading2"/>
        <w:spacing w:after="140" w:before="280"/>
      </w:pPr>
      <w:r>
        <w:rPr>
          <w:rFonts w:ascii="Arial" w:cs="Arial" w:eastAsia="Arial" w:hAnsi="Arial"/>
          <w:b/>
          <w:bCs/>
          <w:color w:val="7C3AED"/>
          <w:sz w:val="26"/>
          <w:szCs w:val="26"/>
        </w:rPr>
        <w:t xml:space="preserve">7.3 Year 1 Revenue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000"/>
        <w:gridCol w:w="3060"/>
      </w:tblGrid>
      <w:tr>
        <w:trPr>
          <w:tblHeader/>
        </w:trPr>
        <w:tc>
          <w:tcPr>
            <w:tcW w:type="dxa" w:w="2500"/>
            <w:tcBorders>
              <w:top w:val="single" w:color="D1D5DB" w:sz="1"/>
              <w:left w:val="single" w:color="D1D5DB" w:sz="1"/>
              <w:bottom w:val="single" w:color="D1D5DB" w:sz="1"/>
              <w:right w:val="single" w:color="D1D5DB" w:sz="1"/>
            </w:tcBorders>
            <w:shd w:fill="581C87" w:val="clear"/>
            <w:tcMar>
              <w:top w:type="dxa" w:w="60"/>
              <w:left w:type="dxa" w:w="100"/>
              <w:bottom w:type="dxa" w:w="60"/>
              <w:right w:type="dxa" w:w="100"/>
            </w:tcMar>
            <w:vAlign w:val="center"/>
          </w:tcPr>
          <w:p>
            <w:r>
              <w:rPr>
                <w:rFonts w:ascii="Arial" w:cs="Arial" w:eastAsia="Arial" w:hAnsi="Arial"/>
                <w:b/>
                <w:bCs/>
                <w:color w:val="FFFFFF"/>
                <w:sz w:val="20"/>
                <w:szCs w:val="20"/>
              </w:rPr>
              <w:t xml:space="preserve">Quarter</w:t>
            </w:r>
          </w:p>
        </w:tc>
        <w:tc>
          <w:tcPr>
            <w:tcW w:type="dxa" w:w="1800"/>
            <w:tcBorders>
              <w:top w:val="single" w:color="D1D5DB" w:sz="1"/>
              <w:left w:val="single" w:color="D1D5DB" w:sz="1"/>
              <w:bottom w:val="single" w:color="D1D5DB" w:sz="1"/>
              <w:right w:val="single" w:color="D1D5DB" w:sz="1"/>
            </w:tcBorders>
            <w:shd w:fill="581C87" w:val="clear"/>
            <w:tcMar>
              <w:top w:type="dxa" w:w="60"/>
              <w:left w:type="dxa" w:w="100"/>
              <w:bottom w:type="dxa" w:w="60"/>
              <w:right w:type="dxa" w:w="100"/>
            </w:tcMar>
            <w:vAlign w:val="center"/>
          </w:tcPr>
          <w:p>
            <w:r>
              <w:rPr>
                <w:rFonts w:ascii="Arial" w:cs="Arial" w:eastAsia="Arial" w:hAnsi="Arial"/>
                <w:b/>
                <w:bCs/>
                <w:color w:val="FFFFFF"/>
                <w:sz w:val="20"/>
                <w:szCs w:val="20"/>
              </w:rPr>
              <w:t xml:space="preserve">New Clients</w:t>
            </w:r>
          </w:p>
        </w:tc>
        <w:tc>
          <w:tcPr>
            <w:tcW w:type="dxa" w:w="2000"/>
            <w:tcBorders>
              <w:top w:val="single" w:color="D1D5DB" w:sz="1"/>
              <w:left w:val="single" w:color="D1D5DB" w:sz="1"/>
              <w:bottom w:val="single" w:color="D1D5DB" w:sz="1"/>
              <w:right w:val="single" w:color="D1D5DB" w:sz="1"/>
            </w:tcBorders>
            <w:shd w:fill="581C87" w:val="clear"/>
            <w:tcMar>
              <w:top w:type="dxa" w:w="60"/>
              <w:left w:type="dxa" w:w="100"/>
              <w:bottom w:type="dxa" w:w="60"/>
              <w:right w:type="dxa" w:w="100"/>
            </w:tcMar>
            <w:vAlign w:val="center"/>
          </w:tcPr>
          <w:p>
            <w:r>
              <w:rPr>
                <w:rFonts w:ascii="Arial" w:cs="Arial" w:eastAsia="Arial" w:hAnsi="Arial"/>
                <w:b/>
                <w:bCs/>
                <w:color w:val="FFFFFF"/>
                <w:sz w:val="20"/>
                <w:szCs w:val="20"/>
              </w:rPr>
              <w:t xml:space="preserve">Cumulative</w:t>
            </w:r>
          </w:p>
        </w:tc>
        <w:tc>
          <w:tcPr>
            <w:tcW w:type="dxa" w:w="3060"/>
            <w:tcBorders>
              <w:top w:val="single" w:color="D1D5DB" w:sz="1"/>
              <w:left w:val="single" w:color="D1D5DB" w:sz="1"/>
              <w:bottom w:val="single" w:color="D1D5DB" w:sz="1"/>
              <w:right w:val="single" w:color="D1D5DB" w:sz="1"/>
            </w:tcBorders>
            <w:shd w:fill="581C87" w:val="clear"/>
            <w:tcMar>
              <w:top w:type="dxa" w:w="60"/>
              <w:left w:type="dxa" w:w="100"/>
              <w:bottom w:type="dxa" w:w="60"/>
              <w:right w:type="dxa" w:w="100"/>
            </w:tcMar>
            <w:vAlign w:val="center"/>
          </w:tcPr>
          <w:p>
            <w:r>
              <w:rPr>
                <w:rFonts w:ascii="Arial" w:cs="Arial" w:eastAsia="Arial" w:hAnsi="Arial"/>
                <w:b/>
                <w:bCs/>
                <w:color w:val="FFFFFF"/>
                <w:sz w:val="20"/>
                <w:szCs w:val="20"/>
              </w:rPr>
              <w:t xml:space="preserve">Quarterly Revenue</w:t>
            </w:r>
          </w:p>
        </w:tc>
      </w:tr>
      <w:tr>
        <w:trPr>
          <w:tblHeader w:val="false"/>
        </w:trP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Q3 2026 (pilot)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5</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5</w:t>
            </w:r>
          </w:p>
        </w:tc>
        <w:tc>
          <w:tcPr>
            <w:tcW w:type="dxa" w:w="3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~20,000 NIS</w:t>
            </w:r>
          </w:p>
        </w:tc>
      </w:tr>
      <w:tr>
        <w:trPr>
          <w:tblHeader w:val="false"/>
        </w:trPr>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Q4 2026</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10</w:t>
            </w:r>
          </w:p>
        </w:tc>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15</w:t>
            </w:r>
          </w:p>
        </w:tc>
        <w:tc>
          <w:tcPr>
            <w:tcW w:type="dxa" w:w="30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~45,000 NIS</w:t>
            </w:r>
          </w:p>
        </w:tc>
      </w:tr>
      <w:tr>
        <w:trPr>
          <w:tblHeader w:val="false"/>
        </w:trP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Q1 2027</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15</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30</w:t>
            </w:r>
          </w:p>
        </w:tc>
        <w:tc>
          <w:tcPr>
            <w:tcW w:type="dxa" w:w="3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~75,000 NIS</w:t>
            </w:r>
          </w:p>
        </w:tc>
      </w:tr>
      <w:tr>
        <w:trPr>
          <w:tblHeader w:val="false"/>
        </w:trPr>
        <w:tc>
          <w:tcPr>
            <w:tcW w:type="dxa" w:w="25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Q2 2027</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20</w:t>
            </w:r>
          </w:p>
        </w:tc>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50</w:t>
            </w:r>
          </w:p>
        </w:tc>
        <w:tc>
          <w:tcPr>
            <w:tcW w:type="dxa" w:w="30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~110,000 NIS</w:t>
            </w:r>
          </w:p>
        </w:tc>
      </w:tr>
      <w:tr>
        <w:trPr>
          <w:tblHeader w:val="false"/>
        </w:trP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Year 1 Total</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50</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w:t>
            </w:r>
          </w:p>
        </w:tc>
        <w:tc>
          <w:tcPr>
            <w:tcW w:type="dxa" w:w="30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~250,000 NIS</w:t>
            </w:r>
          </w:p>
        </w:tc>
      </w:tr>
    </w:tbl>
    <w:p>
      <w:pPr>
        <w:spacing w:after="40"/>
      </w:pPr>
    </w:p>
    <w:p>
      <w:pPr>
        <w:pStyle w:val="Heading1"/>
        <w:spacing w:after="200" w:before="360"/>
      </w:pPr>
      <w:r>
        <w:rPr>
          <w:rFonts w:ascii="Arial" w:cs="Arial" w:eastAsia="Arial" w:hAnsi="Arial"/>
          <w:b/>
          <w:bCs/>
          <w:color w:val="581C87"/>
          <w:sz w:val="32"/>
          <w:szCs w:val="32"/>
        </w:rPr>
        <w:t xml:space="preserve">8. Team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D1D5DB" w:sz="1"/>
              <w:left w:val="single" w:color="D1D5DB" w:sz="1"/>
              <w:bottom w:val="single" w:color="D1D5DB" w:sz="1"/>
              <w:right w:val="single" w:color="D1D5DB" w:sz="1"/>
            </w:tcBorders>
            <w:shd w:fill="581C87" w:val="clear"/>
            <w:tcMar>
              <w:top w:type="dxa" w:w="60"/>
              <w:left w:type="dxa" w:w="100"/>
              <w:bottom w:type="dxa" w:w="60"/>
              <w:right w:type="dxa" w:w="100"/>
            </w:tcMar>
            <w:vAlign w:val="center"/>
          </w:tcPr>
          <w:p>
            <w:r>
              <w:rPr>
                <w:rFonts w:ascii="Arial" w:cs="Arial" w:eastAsia="Arial" w:hAnsi="Arial"/>
                <w:b/>
                <w:bCs/>
                <w:color w:val="FFFFFF"/>
                <w:sz w:val="20"/>
                <w:szCs w:val="20"/>
              </w:rPr>
              <w:t xml:space="preserve">Person</w:t>
            </w:r>
          </w:p>
        </w:tc>
        <w:tc>
          <w:tcPr>
            <w:tcW w:type="dxa" w:w="2800"/>
            <w:tcBorders>
              <w:top w:val="single" w:color="D1D5DB" w:sz="1"/>
              <w:left w:val="single" w:color="D1D5DB" w:sz="1"/>
              <w:bottom w:val="single" w:color="D1D5DB" w:sz="1"/>
              <w:right w:val="single" w:color="D1D5DB" w:sz="1"/>
            </w:tcBorders>
            <w:shd w:fill="581C87"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4560"/>
            <w:tcBorders>
              <w:top w:val="single" w:color="D1D5DB" w:sz="1"/>
              <w:left w:val="single" w:color="D1D5DB" w:sz="1"/>
              <w:bottom w:val="single" w:color="D1D5DB" w:sz="1"/>
              <w:right w:val="single" w:color="D1D5DB" w:sz="1"/>
            </w:tcBorders>
            <w:shd w:fill="581C87"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Responsibilities</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Arye Glikman</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Founder &amp; Mentor</w:t>
            </w:r>
          </w:p>
        </w:tc>
        <w:tc>
          <w:tcPr>
            <w:tcW w:type="dxa" w:w="4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Venture architect, strategic advisor, mentoring Ofir &amp; Meital on GTM execution, CRM partnerships</w:t>
            </w:r>
          </w:p>
        </w:tc>
      </w:tr>
      <w:tr>
        <w:trPr>
          <w:tblHeader w:val="false"/>
        </w:trP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Ofir Levi</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Head of Product &amp; Client Success</w:t>
            </w:r>
          </w:p>
        </w:tc>
        <w:tc>
          <w:tcPr>
            <w:tcW w:type="dxa" w:w="4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Dashboard requirements, KPI definition per vertical, client onboarding, ongoing account management</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Meital Shashua</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Head of Growth &amp; Marketing</w:t>
            </w:r>
          </w:p>
        </w:tc>
        <w:tc>
          <w:tcPr>
            <w:tcW w:type="dxa" w:w="4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Lead generation (paid + organic), social media, client acquisition campaigns, landing page optimization</w:t>
            </w:r>
          </w:p>
        </w:tc>
      </w:tr>
    </w:tbl>
    <w:p>
      <w:pPr>
        <w:spacing w:after="40"/>
      </w:pPr>
    </w:p>
    <w:p>
      <w:pPr>
        <w:spacing w:after="120"/>
      </w:pPr>
      <w:r>
        <w:rPr>
          <w:rFonts w:ascii="Arial" w:cs="Arial" w:eastAsia="Arial" w:hAnsi="Arial"/>
          <w:color w:val="374151"/>
          <w:sz w:val="21"/>
          <w:szCs w:val="21"/>
        </w:rPr>
        <w:t xml:space="preserve">Technical execution is handled via Claude-assisted development. No engineering hire needed at launch. Revisit at 30+ clients or when automation/scale demands it.</w:t>
      </w:r>
    </w:p>
    <w:p>
      <w:pPr>
        <w:pStyle w:val="Heading1"/>
        <w:spacing w:after="200" w:before="360"/>
      </w:pPr>
      <w:r>
        <w:rPr>
          <w:rFonts w:ascii="Arial" w:cs="Arial" w:eastAsia="Arial" w:hAnsi="Arial"/>
          <w:b/>
          <w:bCs/>
          <w:color w:val="581C87"/>
          <w:sz w:val="32"/>
          <w:szCs w:val="32"/>
        </w:rPr>
        <w:t xml:space="preserve">9. Go-to-Market Roadmap</w:t>
      </w:r>
    </w:p>
    <w:p>
      <w:pPr>
        <w:pStyle w:val="Heading2"/>
        <w:spacing w:after="140" w:before="280"/>
      </w:pPr>
      <w:r>
        <w:rPr>
          <w:rFonts w:ascii="Arial" w:cs="Arial" w:eastAsia="Arial" w:hAnsi="Arial"/>
          <w:b/>
          <w:bCs/>
          <w:color w:val="7C3AED"/>
          <w:sz w:val="26"/>
          <w:szCs w:val="26"/>
        </w:rPr>
        <w:t xml:space="preserve">Phase 1: Validate (July - August 2026)</w:t>
      </w:r>
    </w:p>
    <w:p>
      <w:pPr>
        <w:pStyle w:val="ListParagraph"/>
        <w:numPr>
          <w:ilvl w:val="0"/>
          <w:numId w:val="3"/>
        </w:numPr>
        <w:spacing w:after="60"/>
      </w:pPr>
      <w:r>
        <w:rPr>
          <w:rFonts w:ascii="Arial" w:cs="Arial" w:eastAsia="Arial" w:hAnsi="Arial"/>
          <w:color w:val="374151"/>
          <w:sz w:val="21"/>
          <w:szCs w:val="21"/>
        </w:rPr>
        <w:t xml:space="preserve">Build 3-5 pilot dashboards for real clients (free or discounted)</w:t>
      </w:r>
    </w:p>
    <w:p>
      <w:pPr>
        <w:pStyle w:val="ListParagraph"/>
        <w:numPr>
          <w:ilvl w:val="0"/>
          <w:numId w:val="3"/>
        </w:numPr>
        <w:spacing w:after="60"/>
      </w:pPr>
      <w:r>
        <w:rPr>
          <w:rFonts w:ascii="Arial" w:cs="Arial" w:eastAsia="Arial" w:hAnsi="Arial"/>
          <w:color w:val="374151"/>
          <w:sz w:val="21"/>
          <w:szCs w:val="21"/>
        </w:rPr>
        <w:t xml:space="preserve">Source pilots from personal network, Scalla/ArBox user communities, Facebook groups</w:t>
      </w:r>
    </w:p>
    <w:p>
      <w:pPr>
        <w:pStyle w:val="ListParagraph"/>
        <w:numPr>
          <w:ilvl w:val="0"/>
          <w:numId w:val="3"/>
        </w:numPr>
        <w:spacing w:after="120"/>
      </w:pPr>
      <w:r>
        <w:rPr>
          <w:rFonts w:ascii="Arial" w:cs="Arial" w:eastAsia="Arial" w:hAnsi="Arial"/>
          <w:color w:val="374151"/>
          <w:sz w:val="21"/>
          <w:szCs w:val="21"/>
        </w:rPr>
        <w:t xml:space="preserve">Goal: prove value, collect testimonials, refine templates</w:t>
      </w:r>
    </w:p>
    <w:p>
      <w:pPr>
        <w:pStyle w:val="Heading2"/>
        <w:spacing w:after="140" w:before="280"/>
      </w:pPr>
      <w:r>
        <w:rPr>
          <w:rFonts w:ascii="Arial" w:cs="Arial" w:eastAsia="Arial" w:hAnsi="Arial"/>
          <w:b/>
          <w:bCs/>
          <w:color w:val="7C3AED"/>
          <w:sz w:val="26"/>
          <w:szCs w:val="26"/>
        </w:rPr>
        <w:t xml:space="preserve">Phase 2: Launch (September - December 2026)</w:t>
      </w:r>
    </w:p>
    <w:p>
      <w:pPr>
        <w:pStyle w:val="ListParagraph"/>
        <w:numPr>
          <w:ilvl w:val="0"/>
          <w:numId w:val="3"/>
        </w:numPr>
        <w:spacing w:after="60"/>
      </w:pPr>
      <w:r>
        <w:rPr>
          <w:rFonts w:ascii="Arial" w:cs="Arial" w:eastAsia="Arial" w:hAnsi="Arial"/>
          <w:color w:val="374151"/>
          <w:sz w:val="21"/>
          <w:szCs w:val="21"/>
        </w:rPr>
        <w:t xml:space="preserve">Paid marketing: Facebook/Instagram ads targeting Israeli SMB owners (Meital leads)</w:t>
      </w:r>
    </w:p>
    <w:p>
      <w:pPr>
        <w:pStyle w:val="ListParagraph"/>
        <w:numPr>
          <w:ilvl w:val="0"/>
          <w:numId w:val="3"/>
        </w:numPr>
        <w:spacing w:after="60"/>
      </w:pPr>
      <w:r>
        <w:rPr>
          <w:rFonts w:ascii="Arial" w:cs="Arial" w:eastAsia="Arial" w:hAnsi="Arial"/>
          <w:color w:val="374151"/>
          <w:sz w:val="21"/>
          <w:szCs w:val="21"/>
        </w:rPr>
        <w:t xml:space="preserve">Content marketing: before/after case studies, "what your CRM data is telling you"</w:t>
      </w:r>
    </w:p>
    <w:p>
      <w:pPr>
        <w:pStyle w:val="ListParagraph"/>
        <w:numPr>
          <w:ilvl w:val="0"/>
          <w:numId w:val="3"/>
        </w:numPr>
        <w:spacing w:after="120"/>
      </w:pPr>
      <w:r>
        <w:rPr>
          <w:rFonts w:ascii="Arial" w:cs="Arial" w:eastAsia="Arial" w:hAnsi="Arial"/>
          <w:color w:val="374151"/>
          <w:sz w:val="21"/>
          <w:szCs w:val="21"/>
        </w:rPr>
        <w:t xml:space="preserve">Partnership play: approach Scalla and ArBox as a value-add partner (referrals for stickiness)</w:t>
      </w:r>
    </w:p>
    <w:p>
      <w:pPr>
        <w:pStyle w:val="Heading2"/>
        <w:spacing w:after="140" w:before="280"/>
      </w:pPr>
      <w:r>
        <w:rPr>
          <w:rFonts w:ascii="Arial" w:cs="Arial" w:eastAsia="Arial" w:hAnsi="Arial"/>
          <w:b/>
          <w:bCs/>
          <w:color w:val="7C3AED"/>
          <w:sz w:val="26"/>
          <w:szCs w:val="26"/>
        </w:rPr>
        <w:t xml:space="preserve">Phase 3: Scale (Q1 - Q2 2027)</w:t>
      </w:r>
    </w:p>
    <w:p>
      <w:pPr>
        <w:pStyle w:val="ListParagraph"/>
        <w:numPr>
          <w:ilvl w:val="0"/>
          <w:numId w:val="3"/>
        </w:numPr>
        <w:spacing w:after="60"/>
      </w:pPr>
      <w:r>
        <w:rPr>
          <w:rFonts w:ascii="Arial" w:cs="Arial" w:eastAsia="Arial" w:hAnsi="Arial"/>
          <w:color w:val="374151"/>
          <w:sz w:val="21"/>
          <w:szCs w:val="21"/>
        </w:rPr>
        <w:t xml:space="preserve">Template library per vertical reduces setup time from 6-10 hrs to 2-3 hrs</w:t>
      </w:r>
    </w:p>
    <w:p>
      <w:pPr>
        <w:pStyle w:val="ListParagraph"/>
        <w:numPr>
          <w:ilvl w:val="0"/>
          <w:numId w:val="3"/>
        </w:numPr>
        <w:spacing w:after="60"/>
      </w:pPr>
      <w:r>
        <w:rPr>
          <w:rFonts w:ascii="Arial" w:cs="Arial" w:eastAsia="Arial" w:hAnsi="Arial"/>
          <w:color w:val="374151"/>
          <w:sz w:val="21"/>
          <w:szCs w:val="21"/>
        </w:rPr>
        <w:t xml:space="preserve">Upsell existing clients to higher tiers</w:t>
      </w:r>
    </w:p>
    <w:p>
      <w:pPr>
        <w:pStyle w:val="ListParagraph"/>
        <w:numPr>
          <w:ilvl w:val="0"/>
          <w:numId w:val="3"/>
        </w:numPr>
        <w:spacing w:after="60"/>
      </w:pPr>
      <w:r>
        <w:rPr>
          <w:rFonts w:ascii="Arial" w:cs="Arial" w:eastAsia="Arial" w:hAnsi="Arial"/>
          <w:color w:val="374151"/>
          <w:sz w:val="21"/>
          <w:szCs w:val="21"/>
        </w:rPr>
        <w:t xml:space="preserve">Additional CRM integrations (Monday.com, HubSpot)</w:t>
      </w:r>
    </w:p>
    <w:p>
      <w:pPr>
        <w:pStyle w:val="ListParagraph"/>
        <w:numPr>
          <w:ilvl w:val="0"/>
          <w:numId w:val="3"/>
        </w:numPr>
        <w:spacing w:after="120"/>
      </w:pPr>
      <w:r>
        <w:rPr>
          <w:rFonts w:ascii="Arial" w:cs="Arial" w:eastAsia="Arial" w:hAnsi="Arial"/>
          <w:color w:val="374151"/>
          <w:sz w:val="21"/>
          <w:szCs w:val="21"/>
        </w:rPr>
        <w:t xml:space="preserve">Explore white-label offering for CRM vendors</w:t>
      </w:r>
    </w:p>
    <w:p>
      <w:pPr>
        <w:pStyle w:val="Heading1"/>
        <w:spacing w:after="200" w:before="360"/>
      </w:pPr>
      <w:r>
        <w:rPr>
          <w:rFonts w:ascii="Arial" w:cs="Arial" w:eastAsia="Arial" w:hAnsi="Arial"/>
          <w:b/>
          <w:bCs/>
          <w:color w:val="581C87"/>
          <w:sz w:val="32"/>
          <w:szCs w:val="32"/>
        </w:rPr>
        <w:t xml:space="preserve">10. Key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5360"/>
      </w:tblGrid>
      <w:tr>
        <w:trPr>
          <w:tblHeader/>
        </w:trPr>
        <w:tc>
          <w:tcPr>
            <w:tcW w:type="dxa" w:w="3000"/>
            <w:tcBorders>
              <w:top w:val="single" w:color="D1D5DB" w:sz="1"/>
              <w:left w:val="single" w:color="D1D5DB" w:sz="1"/>
              <w:bottom w:val="single" w:color="D1D5DB" w:sz="1"/>
              <w:right w:val="single" w:color="D1D5DB" w:sz="1"/>
            </w:tcBorders>
            <w:shd w:fill="581C87" w:val="clear"/>
            <w:tcMar>
              <w:top w:type="dxa" w:w="60"/>
              <w:left w:type="dxa" w:w="100"/>
              <w:bottom w:type="dxa" w:w="60"/>
              <w:right w:type="dxa" w:w="100"/>
            </w:tcMar>
            <w:vAlign w:val="center"/>
          </w:tcPr>
          <w:p>
            <w:r>
              <w:rPr>
                <w:rFonts w:ascii="Arial" w:cs="Arial" w:eastAsia="Arial" w:hAnsi="Arial"/>
                <w:b/>
                <w:bCs/>
                <w:color w:val="FFFFFF"/>
                <w:sz w:val="20"/>
                <w:szCs w:val="20"/>
              </w:rPr>
              <w:t xml:space="preserve">Risk</w:t>
            </w:r>
          </w:p>
        </w:tc>
        <w:tc>
          <w:tcPr>
            <w:tcW w:type="dxa" w:w="1000"/>
            <w:tcBorders>
              <w:top w:val="single" w:color="D1D5DB" w:sz="1"/>
              <w:left w:val="single" w:color="D1D5DB" w:sz="1"/>
              <w:bottom w:val="single" w:color="D1D5DB" w:sz="1"/>
              <w:right w:val="single" w:color="D1D5DB" w:sz="1"/>
            </w:tcBorders>
            <w:shd w:fill="581C87" w:val="clear"/>
            <w:tcMar>
              <w:top w:type="dxa" w:w="60"/>
              <w:left w:type="dxa" w:w="100"/>
              <w:bottom w:type="dxa" w:w="60"/>
              <w:right w:type="dxa" w:w="100"/>
            </w:tcMar>
            <w:vAlign w:val="center"/>
          </w:tcPr>
          <w:p>
            <w:r>
              <w:rPr>
                <w:rFonts w:ascii="Arial" w:cs="Arial" w:eastAsia="Arial" w:hAnsi="Arial"/>
                <w:b/>
                <w:bCs/>
                <w:color w:val="FFFFFF"/>
                <w:sz w:val="20"/>
                <w:szCs w:val="20"/>
              </w:rPr>
              <w:t xml:space="preserve">Impact</w:t>
            </w:r>
          </w:p>
        </w:tc>
        <w:tc>
          <w:tcPr>
            <w:tcW w:type="dxa" w:w="5360"/>
            <w:tcBorders>
              <w:top w:val="single" w:color="D1D5DB" w:sz="1"/>
              <w:left w:val="single" w:color="D1D5DB" w:sz="1"/>
              <w:bottom w:val="single" w:color="D1D5DB" w:sz="1"/>
              <w:right w:val="single" w:color="D1D5DB" w:sz="1"/>
            </w:tcBorders>
            <w:shd w:fill="581C87" w:val="clear"/>
            <w:tcMar>
              <w:top w:type="dxa" w:w="60"/>
              <w:left w:type="dxa" w:w="100"/>
              <w:bottom w:type="dxa" w:w="60"/>
              <w:right w:type="dxa" w:w="100"/>
            </w:tcMar>
            <w:vAlign w:val="center"/>
          </w:tcPr>
          <w:p>
            <w:r>
              <w:rPr>
                <w:rFonts w:ascii="Arial" w:cs="Arial" w:eastAsia="Arial" w:hAnsi="Arial"/>
                <w:b/>
                <w:bCs/>
                <w:color w:val="FFFFFF"/>
                <w:sz w:val="20"/>
                <w:szCs w:val="20"/>
              </w:rPr>
              <w:t xml:space="preserve">Mitigation</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CRM API changes or rate limits</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High</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Maintain close relationship with Scalla/ArBox teams; build abstraction layer to isolate API changes</w:t>
            </w:r>
          </w:p>
        </w:tc>
      </w:tr>
      <w:tr>
        <w:trPr>
          <w:tblHeader w:val="false"/>
        </w:trPr>
        <w:tc>
          <w:tcPr>
            <w:tcW w:type="dxa" w:w="3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Low willingness to pay</w:t>
            </w:r>
          </w:p>
        </w:tc>
        <w:tc>
          <w:tcPr>
            <w:tcW w:type="dxa" w:w="1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High</w:t>
            </w:r>
          </w:p>
        </w:tc>
        <w:tc>
          <w:tcPr>
            <w:tcW w:type="dxa" w:w="5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Validate with free pilots first; emphasize ROI with concrete before/after examples</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Client churn after setup</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Medium</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Monthly check-ins (Ofir), demonstrate ongoing value, add features over time</w:t>
            </w:r>
          </w:p>
        </w:tc>
      </w:tr>
      <w:tr>
        <w:trPr>
          <w:tblHeader w:val="false"/>
        </w:trPr>
        <w:tc>
          <w:tcPr>
            <w:tcW w:type="dxa" w:w="3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Claude dependency for builds</w:t>
            </w:r>
          </w:p>
        </w:tc>
        <w:tc>
          <w:tcPr>
            <w:tcW w:type="dxa" w:w="1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Medium</w:t>
            </w:r>
          </w:p>
        </w:tc>
        <w:tc>
          <w:tcPr>
            <w:tcW w:type="dxa" w:w="5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Build reusable templates; document processes so any team member can deliver</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Competitor enters market</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Medium</w:t>
            </w:r>
          </w:p>
        </w:tc>
        <w:tc>
          <w:tcPr>
            <w:tcW w:type="dxa" w:w="5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Move fast, lock in CRM partnerships, build vertical expertise moat</w:t>
            </w:r>
          </w:p>
        </w:tc>
      </w:tr>
      <w:tr>
        <w:trPr>
          <w:tblHeader w:val="false"/>
        </w:trPr>
        <w:tc>
          <w:tcPr>
            <w:tcW w:type="dxa" w:w="3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tenant_id resolution for real clients</w:t>
            </w:r>
          </w:p>
        </w:tc>
        <w:tc>
          <w:tcPr>
            <w:tcW w:type="dxa" w:w="1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Medium</w:t>
            </w:r>
          </w:p>
        </w:tc>
        <w:tc>
          <w:tcPr>
            <w:tcW w:type="dxa" w:w="5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Validate with first production Scalla client; build fallback discovery mechanism</w:t>
            </w:r>
          </w:p>
        </w:tc>
      </w:tr>
    </w:tbl>
    <w:p>
      <w:pPr>
        <w:spacing w:after="40"/>
      </w:pPr>
    </w:p>
    <w:p>
      <w:pPr>
        <w:pStyle w:val="Heading1"/>
        <w:spacing w:after="200" w:before="360"/>
      </w:pPr>
      <w:r>
        <w:rPr>
          <w:rFonts w:ascii="Arial" w:cs="Arial" w:eastAsia="Arial" w:hAnsi="Arial"/>
          <w:b/>
          <w:bCs/>
          <w:color w:val="581C87"/>
          <w:sz w:val="32"/>
          <w:szCs w:val="32"/>
        </w:rPr>
        <w:t xml:space="preserve">11. Success Metrics (6-Month Check)</w:t>
      </w:r>
    </w:p>
    <w:p>
      <w:pPr>
        <w:pStyle w:val="ListParagraph"/>
        <w:numPr>
          <w:ilvl w:val="0"/>
          <w:numId w:val="3"/>
        </w:numPr>
        <w:spacing w:after="60"/>
      </w:pPr>
      <w:r>
        <w:rPr>
          <w:rFonts w:ascii="Arial" w:cs="Arial" w:eastAsia="Arial" w:hAnsi="Arial"/>
          <w:color w:val="374151"/>
          <w:sz w:val="21"/>
          <w:szCs w:val="21"/>
        </w:rPr>
        <w:t xml:space="preserve">15+ paying clients</w:t>
      </w:r>
    </w:p>
    <w:p>
      <w:pPr>
        <w:pStyle w:val="ListParagraph"/>
        <w:numPr>
          <w:ilvl w:val="0"/>
          <w:numId w:val="3"/>
        </w:numPr>
        <w:spacing w:after="60"/>
      </w:pPr>
      <w:r>
        <w:rPr>
          <w:rFonts w:ascii="Arial" w:cs="Arial" w:eastAsia="Arial" w:hAnsi="Arial"/>
          <w:color w:val="374151"/>
          <w:sz w:val="21"/>
          <w:szCs w:val="21"/>
        </w:rPr>
        <w:t xml:space="preserve">90%+ monthly retention rate</w:t>
      </w:r>
    </w:p>
    <w:p>
      <w:pPr>
        <w:pStyle w:val="ListParagraph"/>
        <w:numPr>
          <w:ilvl w:val="0"/>
          <w:numId w:val="3"/>
        </w:numPr>
        <w:spacing w:after="60"/>
      </w:pPr>
      <w:r>
        <w:rPr>
          <w:rFonts w:ascii="Arial" w:cs="Arial" w:eastAsia="Arial" w:hAnsi="Arial"/>
          <w:color w:val="374151"/>
          <w:sz w:val="21"/>
          <w:szCs w:val="21"/>
        </w:rPr>
        <w:t xml:space="preserve">Average setup time under 6 hours</w:t>
      </w:r>
    </w:p>
    <w:p>
      <w:pPr>
        <w:pStyle w:val="ListParagraph"/>
        <w:numPr>
          <w:ilvl w:val="0"/>
          <w:numId w:val="3"/>
        </w:numPr>
        <w:spacing w:after="60"/>
      </w:pPr>
      <w:r>
        <w:rPr>
          <w:rFonts w:ascii="Arial" w:cs="Arial" w:eastAsia="Arial" w:hAnsi="Arial"/>
          <w:color w:val="374151"/>
          <w:sz w:val="21"/>
          <w:szCs w:val="21"/>
        </w:rPr>
        <w:t xml:space="preserve">Positive unit economics (revenue &gt; time invested at 150 NIS/hr equivalent)</w:t>
      </w:r>
    </w:p>
    <w:p>
      <w:pPr>
        <w:pStyle w:val="ListParagraph"/>
        <w:numPr>
          <w:ilvl w:val="0"/>
          <w:numId w:val="3"/>
        </w:numPr>
        <w:spacing w:after="120"/>
      </w:pPr>
      <w:r>
        <w:rPr>
          <w:rFonts w:ascii="Arial" w:cs="Arial" w:eastAsia="Arial" w:hAnsi="Arial"/>
          <w:color w:val="374151"/>
          <w:sz w:val="21"/>
          <w:szCs w:val="21"/>
        </w:rPr>
        <w:t xml:space="preserve">At least 1 CRM partnership conversation initiated</w:t>
      </w:r>
    </w:p>
    <w:p>
      <w:pPr>
        <w:pStyle w:val="Heading1"/>
        <w:spacing w:after="200" w:before="360"/>
      </w:pPr>
      <w:r>
        <w:rPr>
          <w:rFonts w:ascii="Arial" w:cs="Arial" w:eastAsia="Arial" w:hAnsi="Arial"/>
          <w:b/>
          <w:bCs/>
          <w:color w:val="581C87"/>
          <w:sz w:val="32"/>
          <w:szCs w:val="32"/>
        </w:rPr>
        <w:t xml:space="preserve">12. Open Items &amp;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000"/>
        <w:gridCol w:w="3160"/>
      </w:tblGrid>
      <w:tr>
        <w:trPr>
          <w:tblHeader/>
        </w:trPr>
        <w:tc>
          <w:tcPr>
            <w:tcW w:type="dxa" w:w="3200"/>
            <w:tcBorders>
              <w:top w:val="single" w:color="D1D5DB" w:sz="1"/>
              <w:left w:val="single" w:color="D1D5DB" w:sz="1"/>
              <w:bottom w:val="single" w:color="D1D5DB" w:sz="1"/>
              <w:right w:val="single" w:color="D1D5DB" w:sz="1"/>
            </w:tcBorders>
            <w:shd w:fill="581C87" w:val="clear"/>
            <w:tcMar>
              <w:top w:type="dxa" w:w="60"/>
              <w:left w:type="dxa" w:w="100"/>
              <w:bottom w:type="dxa" w:w="60"/>
              <w:right w:type="dxa" w:w="100"/>
            </w:tcMar>
            <w:vAlign w:val="center"/>
          </w:tcPr>
          <w:p>
            <w:r>
              <w:rPr>
                <w:rFonts w:ascii="Arial" w:cs="Arial" w:eastAsia="Arial" w:hAnsi="Arial"/>
                <w:b/>
                <w:bCs/>
                <w:color w:val="FFFFFF"/>
                <w:sz w:val="20"/>
                <w:szCs w:val="20"/>
              </w:rPr>
              <w:t xml:space="preserve">Item</w:t>
            </w:r>
          </w:p>
        </w:tc>
        <w:tc>
          <w:tcPr>
            <w:tcW w:type="dxa" w:w="2000"/>
            <w:tcBorders>
              <w:top w:val="single" w:color="D1D5DB" w:sz="1"/>
              <w:left w:val="single" w:color="D1D5DB" w:sz="1"/>
              <w:bottom w:val="single" w:color="D1D5DB" w:sz="1"/>
              <w:right w:val="single" w:color="D1D5DB" w:sz="1"/>
            </w:tcBorders>
            <w:shd w:fill="581C87" w:val="clear"/>
            <w:tcMar>
              <w:top w:type="dxa" w:w="60"/>
              <w:left w:type="dxa" w:w="100"/>
              <w:bottom w:type="dxa" w:w="60"/>
              <w:right w:type="dxa" w:w="100"/>
            </w:tcMar>
            <w:vAlign w:val="center"/>
          </w:tcPr>
          <w:p>
            <w:r>
              <w:rPr>
                <w:rFonts w:ascii="Arial" w:cs="Arial" w:eastAsia="Arial" w:hAnsi="Arial"/>
                <w:b/>
                <w:bCs/>
                <w:color w:val="FFFFFF"/>
                <w:sz w:val="20"/>
                <w:szCs w:val="20"/>
              </w:rPr>
              <w:t xml:space="preserve">Owner</w:t>
            </w:r>
          </w:p>
        </w:tc>
        <w:tc>
          <w:tcPr>
            <w:tcW w:type="dxa" w:w="1000"/>
            <w:tcBorders>
              <w:top w:val="single" w:color="D1D5DB" w:sz="1"/>
              <w:left w:val="single" w:color="D1D5DB" w:sz="1"/>
              <w:bottom w:val="single" w:color="D1D5DB" w:sz="1"/>
              <w:right w:val="single" w:color="D1D5DB" w:sz="1"/>
            </w:tcBorders>
            <w:shd w:fill="581C87"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3160"/>
            <w:tcBorders>
              <w:top w:val="single" w:color="D1D5DB" w:sz="1"/>
              <w:left w:val="single" w:color="D1D5DB" w:sz="1"/>
              <w:bottom w:val="single" w:color="D1D5DB" w:sz="1"/>
              <w:right w:val="single" w:color="D1D5DB" w:sz="1"/>
            </w:tcBorders>
            <w:shd w:fill="581C87"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rPr>
          <w:tblHeader w:val="false"/>
        </w:trP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Validate tenant_id resolution with real Scalla client</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Arye</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P0</w:t>
            </w:r>
          </w:p>
        </w:tc>
        <w:tc>
          <w:tcPr>
            <w:tcW w:type="dxa" w:w="3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Pending - need production credentials</w:t>
            </w:r>
          </w:p>
        </w:tc>
      </w:tr>
      <w:tr>
        <w:trPr>
          <w:tblHeader w:val="false"/>
        </w:trPr>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Build reusable server-side data fetcher</w:t>
            </w:r>
          </w:p>
        </w:tc>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Arye (Claude-assisted)</w:t>
            </w:r>
          </w:p>
        </w:tc>
        <w:tc>
          <w:tcPr>
            <w:tcW w:type="dxa" w:w="1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P0</w:t>
            </w:r>
          </w:p>
        </w:tc>
        <w:tc>
          <w:tcPr>
            <w:tcW w:type="dxa" w:w="3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Not started</w:t>
            </w:r>
          </w:p>
        </w:tc>
      </w:tr>
      <w:tr>
        <w:trPr>
          <w:tblHeader w:val="false"/>
        </w:trP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ArBox API validation (equivalent to Scalla validation)</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Arye</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P1</w:t>
            </w:r>
          </w:p>
        </w:tc>
        <w:tc>
          <w:tcPr>
            <w:tcW w:type="dxa" w:w="3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Not started</w:t>
            </w:r>
          </w:p>
        </w:tc>
      </w:tr>
      <w:tr>
        <w:trPr>
          <w:tblHeader w:val="false"/>
        </w:trPr>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Identify 5 pilot clients</w:t>
            </w:r>
          </w:p>
        </w:tc>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Ofir + Meital</w:t>
            </w:r>
          </w:p>
        </w:tc>
        <w:tc>
          <w:tcPr>
            <w:tcW w:type="dxa" w:w="1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P0</w:t>
            </w:r>
          </w:p>
        </w:tc>
        <w:tc>
          <w:tcPr>
            <w:tcW w:type="dxa" w:w="3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In progress</w:t>
            </w:r>
          </w:p>
        </w:tc>
      </w:tr>
      <w:tr>
        <w:trPr>
          <w:tblHeader w:val="false"/>
        </w:trP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Extend prototype into template system</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Arye (Claude-assisted)</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P1</w:t>
            </w:r>
          </w:p>
        </w:tc>
        <w:tc>
          <w:tcPr>
            <w:tcW w:type="dxa" w:w="3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Giliguli prototype complete</w:t>
            </w:r>
          </w:p>
        </w:tc>
      </w:tr>
      <w:tr>
        <w:trPr>
          <w:tblHeader w:val="false"/>
        </w:trPr>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Build admin panel for client onboarding</w:t>
            </w:r>
          </w:p>
        </w:tc>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Arye (Claude-assisted)</w:t>
            </w:r>
          </w:p>
        </w:tc>
        <w:tc>
          <w:tcPr>
            <w:tcW w:type="dxa" w:w="1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P2</w:t>
            </w:r>
          </w:p>
        </w:tc>
        <w:tc>
          <w:tcPr>
            <w:tcW w:type="dxa" w:w="3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Not started</w:t>
            </w:r>
          </w:p>
        </w:tc>
      </w:tr>
      <w:tr>
        <w:trPr>
          <w:tblHeader w:val="false"/>
        </w:trP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Define data retention and backup policy</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Arye</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P2</w:t>
            </w:r>
          </w:p>
        </w:tc>
        <w:tc>
          <w:tcPr>
            <w:tcW w:type="dxa" w:w="3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r>
              <w:rPr>
                <w:rFonts w:ascii="Arial" w:cs="Arial" w:eastAsia="Arial" w:hAnsi="Arial"/>
                <w:b w:val="false"/>
                <w:bCs w:val="false"/>
                <w:color w:val="374151"/>
                <w:sz w:val="19"/>
                <w:szCs w:val="19"/>
              </w:rPr>
              <w:t xml:space="preserve">Not started</w:t>
            </w:r>
          </w:p>
        </w:tc>
      </w:tr>
    </w:tbl>
    <w:p>
      <w:pPr>
        <w:spacing w:after="40"/>
      </w:pPr>
    </w:p>
    <w:p>
      <w:pPr>
        <w:pBdr>
          <w:top w:val="single" w:color="7C3AED" w:sz="6" w:space="1"/>
        </w:pBdr>
        <w:spacing w:after="100" w:before="300"/>
      </w:pPr>
    </w:p>
    <w:p>
      <w:pPr>
        <w:jc w:val="center"/>
      </w:pPr>
      <w:r>
        <w:rPr>
          <w:rFonts w:ascii="Arial" w:cs="Arial" w:eastAsia="Arial" w:hAnsi="Arial"/>
          <w:i/>
          <w:iCs/>
          <w:color w:val="374151"/>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1"/>
      </w:pBdr>
      <w:tabs>
        <w:tab w:val="right" w:pos="9026"/>
      </w:tabs>
    </w:pPr>
    <w:r>
      <w:rPr>
        <w:rFonts w:ascii="Arial" w:cs="Arial" w:eastAsia="Arial" w:hAnsi="Arial"/>
        <w:color w:val="374151"/>
        <w:sz w:val="16"/>
        <w:szCs w:val="16"/>
      </w:rPr>
      <w:t xml:space="preserve">Confidential</w:t>
    </w:r>
    <w:r>
      <w:t xml:space="preserve">	</w:t>
    </w:r>
    <w: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C3AED" w:sz="4" w:space="1"/>
      </w:pBdr>
    </w:pPr>
    <w:r>
      <w:rPr>
        <w:rFonts w:ascii="Arial" w:cs="Arial" w:eastAsia="Arial" w:hAnsi="Arial"/>
        <w:b/>
        <w:bCs/>
        <w:color w:val="581C87"/>
        <w:sz w:val="18"/>
        <w:szCs w:val="18"/>
      </w:rPr>
      <w:t xml:space="preserve">DashBoard  </w:t>
    </w:r>
    <w:r>
      <w:rPr>
        <w:rFonts w:ascii="Arial" w:cs="Arial" w:eastAsia="Arial" w:hAnsi="Arial"/>
        <w:color w:val="374151"/>
        <w:sz w:val="18"/>
        <w:szCs w:val="18"/>
      </w:rPr>
      <w:t xml:space="preserve">High-Level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581C87"/>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7C3AED"/>
      <w:sz w:val="26"/>
      <w:szCs w:val="26"/>
    </w:rPr>
  </w:style>
  <w:style w:type="paragraph" w:styleId="Heading3">
    <w:name w:val="Heading 3"/>
    <w:basedOn w:val="Normal"/>
    <w:next w:val="Normal"/>
    <w:qFormat/>
    <w:pPr>
      <w:spacing w:after="10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2026-07-07T05:29:38.650Z</dcterms:created>
  <dcterms:modified xsi:type="dcterms:W3CDTF">2026-07-07T05:29:38.651Z</dcterms:modified>
</cp:coreProperties>
</file>

<file path=docProps/custom.xml><?xml version="1.0" encoding="utf-8"?>
<Properties xmlns="http://schemas.openxmlformats.org/officeDocument/2006/custom-properties" xmlns:vt="http://schemas.openxmlformats.org/officeDocument/2006/docPropsVTypes"/>
</file>