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E96526" w:rsidRDefault="00160A95" w:rsidP="0049353E">
      <w:pPr>
        <w:pStyle w:val="code"/>
        <w:rPr>
          <w:lang w:val="en-US"/>
        </w:rPr>
      </w:pPr>
      <w:r w:rsidRPr="00E96526">
        <w:rPr>
          <w:lang w:val="en-US"/>
        </w:rPr>
        <w:t>&lt;</w:t>
      </w:r>
      <w:r>
        <w:rPr>
          <w:lang w:val="en-US"/>
        </w:rPr>
        <w:t>p</w:t>
      </w:r>
      <w:r w:rsidRPr="00E96526">
        <w:rPr>
          <w:lang w:val="en-US"/>
        </w:rPr>
        <w:t>3817&gt; &lt;</w:t>
      </w:r>
      <w:r>
        <w:rPr>
          <w:lang w:val="en-US"/>
        </w:rPr>
        <w:t>name</w:t>
      </w:r>
      <w:r w:rsidRPr="00E96526">
        <w:rPr>
          <w:lang w:val="en-US"/>
        </w:rPr>
        <w:t>&gt; “</w:t>
      </w:r>
      <w:r>
        <w:t>Иванов</w:t>
      </w:r>
      <w:r w:rsidRPr="00E96526">
        <w:rPr>
          <w:lang w:val="en-US"/>
        </w:rPr>
        <w:t>”.</w:t>
      </w:r>
    </w:p>
    <w:p w:rsidR="00160A95" w:rsidRPr="00E96526" w:rsidRDefault="00160A95" w:rsidP="0049353E">
      <w:pPr>
        <w:pStyle w:val="code"/>
        <w:rPr>
          <w:lang w:val="en-US"/>
        </w:rPr>
      </w:pPr>
      <w:proofErr w:type="gramStart"/>
      <w:r w:rsidRPr="00E96526">
        <w:rPr>
          <w:lang w:val="en-US"/>
        </w:rPr>
        <w:t>&lt;</w:t>
      </w:r>
      <w:r>
        <w:rPr>
          <w:lang w:val="en-US"/>
        </w:rPr>
        <w:t>p</w:t>
      </w:r>
      <w:r w:rsidRPr="00E96526">
        <w:rPr>
          <w:lang w:val="en-US"/>
        </w:rPr>
        <w:t>3817&gt; &lt;</w:t>
      </w:r>
      <w:r>
        <w:rPr>
          <w:lang w:val="en-US"/>
        </w:rPr>
        <w:t>type</w:t>
      </w:r>
      <w:r w:rsidRPr="00E96526">
        <w:rPr>
          <w:lang w:val="en-US"/>
        </w:rPr>
        <w:t>&gt; &lt;</w:t>
      </w:r>
      <w:r>
        <w:rPr>
          <w:lang w:val="en-US"/>
        </w:rPr>
        <w:t>person</w:t>
      </w:r>
      <w:r w:rsidRPr="00E96526">
        <w:rPr>
          <w:lang w:val="en-US"/>
        </w:rPr>
        <w:t>&gt;.</w:t>
      </w:r>
      <w:proofErr w:type="gramEnd"/>
    </w:p>
    <w:p w:rsidR="0049353E" w:rsidRPr="00E96526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E96526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proofErr w:type="spellStart"/>
      <w:r w:rsidR="00D33590">
        <w:rPr>
          <w:lang w:val="en-US"/>
        </w:rPr>
        <w:t>datatype</w:t>
      </w:r>
      <w:proofErr w:type="spellEnd"/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proofErr w:type="spellStart"/>
      <w:r>
        <w:rPr>
          <w:lang w:val="en-US"/>
        </w:rPr>
        <w:t>Datatype</w:t>
      </w:r>
      <w:proofErr w:type="spellEnd"/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lastRenderedPageBreak/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proofErr w:type="spellStart"/>
      <w:r w:rsidRPr="007F5117">
        <w:rPr>
          <w:lang w:val="en-US"/>
        </w:rPr>
        <w:t>rec</w:t>
      </w:r>
      <w:proofErr w:type="spellEnd"/>
      <w:r w:rsidRPr="007F5117">
        <w:rPr>
          <w:lang w:val="en-US"/>
        </w:rPr>
        <w:t xml:space="preserve">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>В решении, запись размещается в таблице из трех колонок: ключ, значение, резерв. Можете резерв убрать, если не нравитс</w:t>
      </w:r>
      <w:r w:rsidR="00BE5E32">
        <w:t>я.</w:t>
      </w:r>
      <w:r>
        <w:t xml:space="preserve"> </w:t>
      </w:r>
      <w:r w:rsidR="00BE5E32">
        <w:t xml:space="preserve">В любом случае, испытайте, посмотрите, подумайте. </w:t>
      </w:r>
      <w:r>
        <w:t xml:space="preserve"> </w:t>
      </w:r>
      <w:r w:rsidR="006D3B10">
        <w:t xml:space="preserve"> </w:t>
      </w:r>
    </w:p>
    <w:p w:rsidR="00E43EBD" w:rsidRDefault="00E43EBD" w:rsidP="00E43EBD">
      <w:pPr>
        <w:pStyle w:val="2"/>
      </w:pPr>
      <w:r>
        <w:lastRenderedPageBreak/>
        <w:t xml:space="preserve">Форматирование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E43EBD" w:rsidRDefault="00E43EBD" w:rsidP="00734028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F0380" w:rsidRDefault="00E43EBD" w:rsidP="00E43EBD">
      <w:pPr>
        <w:pStyle w:val="a8"/>
        <w:numPr>
          <w:ilvl w:val="0"/>
          <w:numId w:val="2"/>
        </w:numPr>
      </w:pPr>
      <w:r>
        <w:t>Глубина раскрытия дерева фиксирована;</w:t>
      </w:r>
      <w:r w:rsidR="00E0295F">
        <w:t xml:space="preserve"> </w:t>
      </w:r>
    </w:p>
    <w:p w:rsidR="00977CAF" w:rsidRPr="00E0295F" w:rsidRDefault="00977CAF" w:rsidP="00E43EBD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</w:t>
      </w:r>
      <w:r w:rsidR="007E4DFB">
        <w:t>, именование фиксировано используемым словарем</w:t>
      </w:r>
      <w:r>
        <w:t>;</w:t>
      </w:r>
    </w:p>
    <w:p w:rsidR="00E43EBD" w:rsidRDefault="00E43EBD" w:rsidP="00E43EBD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626830" w:rsidRDefault="00BC0360" w:rsidP="00734028">
      <w:r>
        <w:t xml:space="preserve">  </w:t>
      </w:r>
      <w:r w:rsidR="00E43EBD">
        <w:t xml:space="preserve">Для чего это нужно? </w:t>
      </w:r>
      <w:r w:rsidR="00977CAF">
        <w:t>Определенный п</w:t>
      </w:r>
      <w:r w:rsidR="00E43EBD">
        <w:t xml:space="preserve">орядок полей </w:t>
      </w:r>
      <w:r w:rsidR="00977CAF">
        <w:t xml:space="preserve">нужен в композициях, претендующих на понятность и логичность. </w:t>
      </w:r>
      <w:r w:rsidR="007E4DFB">
        <w:t>Предлагается ввести в рассмотрение структуру</w:t>
      </w:r>
      <w:r w:rsidR="00F54D38">
        <w:t xml:space="preserve"> (формат, шаблон)</w:t>
      </w:r>
      <w:r w:rsidR="007E4DFB">
        <w:t xml:space="preserve">, которая сможет и будет преодолевать указанные недостатки. Если немного подумать, то лучше опять же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 xml:space="preserve">предложить трудно. Пусть есть значение класса </w:t>
      </w:r>
      <w:proofErr w:type="spellStart"/>
      <w:r w:rsidR="007E4DFB">
        <w:rPr>
          <w:lang w:val="en-US"/>
        </w:rPr>
        <w:t>RRecord</w:t>
      </w:r>
      <w:proofErr w:type="spellEnd"/>
      <w:r w:rsidR="007E4DFB" w:rsidRPr="007E4DFB">
        <w:t xml:space="preserve"> </w:t>
      </w:r>
      <w:r w:rsidR="007E4DFB">
        <w:t>и нам требуется сделать выборку из базы данных другого объекта этого же класса в соответствии с</w:t>
      </w:r>
      <w:r w:rsidR="00F54D38">
        <w:t xml:space="preserve"> этим форматом. Строим выборку последовательно. Смотрим поле </w:t>
      </w:r>
      <w:r w:rsidR="00F54D38">
        <w:rPr>
          <w:lang w:val="en-US"/>
        </w:rPr>
        <w:t>Id</w:t>
      </w:r>
      <w:r w:rsidR="00F54D38">
        <w:t xml:space="preserve">. Если оно определено, то это одна ситуация, если не определено, то – другая. </w:t>
      </w:r>
      <w:r w:rsidR="00AF5820">
        <w:t xml:space="preserve">В первой ситуации, по семантике </w:t>
      </w:r>
      <w:r w:rsidR="00AF5820">
        <w:rPr>
          <w:lang w:val="en-US"/>
        </w:rPr>
        <w:t>RDF</w:t>
      </w:r>
      <w:r w:rsidR="00AF5820" w:rsidRPr="00AF5820">
        <w:t xml:space="preserve"> </w:t>
      </w:r>
      <w:r w:rsidR="00AF5820"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 w:rsidR="00AF5820">
        <w:t>с</w:t>
      </w:r>
      <w:proofErr w:type="gramEnd"/>
      <w:r w:rsidR="00AF5820">
        <w:t xml:space="preserve"> заданным </w:t>
      </w:r>
      <w:r w:rsidR="00AF5820">
        <w:rPr>
          <w:lang w:val="en-US"/>
        </w:rPr>
        <w:t>Id</w:t>
      </w:r>
      <w:r w:rsidR="00AF5820" w:rsidRPr="00E96526">
        <w:t>.</w:t>
      </w:r>
      <w:r w:rsidR="00E96526" w:rsidRPr="00E96526">
        <w:t xml:space="preserve"> </w:t>
      </w:r>
      <w:r w:rsidR="00E96526">
        <w:t xml:space="preserve">Если в базе данных есть запись с таким </w:t>
      </w:r>
      <w:r w:rsidR="00E96526">
        <w:rPr>
          <w:lang w:val="en-US"/>
        </w:rPr>
        <w:t>Id</w:t>
      </w:r>
      <w:r w:rsidR="00E96526">
        <w:t xml:space="preserve"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</w:t>
      </w:r>
      <w:r w:rsidR="00626830">
        <w:t>Если поле задано и</w:t>
      </w:r>
      <w:r w:rsidR="00E96526">
        <w:t xml:space="preserve"> его значение в формате тоже задано, то </w:t>
      </w:r>
      <w:r w:rsidR="00781736">
        <w:t>поле используется</w:t>
      </w:r>
      <w:r w:rsidR="00626830">
        <w:t xml:space="preserve"> только</w:t>
      </w:r>
      <w:r w:rsidR="00781736">
        <w:t xml:space="preserve"> для проверки и не попадает в результирующую запись.</w:t>
      </w:r>
    </w:p>
    <w:p w:rsidR="00E96526" w:rsidRDefault="002C6175" w:rsidP="00734028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</w:t>
      </w:r>
      <w:r w:rsidR="00781736">
        <w:t xml:space="preserve"> </w:t>
      </w:r>
    </w:p>
    <w:p w:rsidR="00781736" w:rsidRPr="00E96526" w:rsidRDefault="00781736" w:rsidP="00734028"/>
    <w:p w:rsidR="00E96526" w:rsidRPr="00E96526" w:rsidRDefault="00E96526" w:rsidP="00734028"/>
    <w:p w:rsidR="00E96526" w:rsidRPr="00E96526" w:rsidRDefault="00E96526" w:rsidP="00734028"/>
    <w:p w:rsidR="00BC0360" w:rsidRPr="007E4DFB" w:rsidRDefault="00AF5820" w:rsidP="00734028">
      <w:r w:rsidRPr="00E96526">
        <w:t xml:space="preserve"> </w:t>
      </w:r>
      <w:r w:rsidR="007E4DFB">
        <w:t xml:space="preserve">  </w:t>
      </w:r>
    </w:p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lastRenderedPageBreak/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10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lastRenderedPageBreak/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081192"/>
    <w:rsid w:val="0003213A"/>
    <w:rsid w:val="00032484"/>
    <w:rsid w:val="00046586"/>
    <w:rsid w:val="00074D38"/>
    <w:rsid w:val="00077E9E"/>
    <w:rsid w:val="00081192"/>
    <w:rsid w:val="00095F9B"/>
    <w:rsid w:val="000B16A4"/>
    <w:rsid w:val="000D0864"/>
    <w:rsid w:val="000D728B"/>
    <w:rsid w:val="00100B14"/>
    <w:rsid w:val="00105003"/>
    <w:rsid w:val="00106B08"/>
    <w:rsid w:val="00125459"/>
    <w:rsid w:val="001338AC"/>
    <w:rsid w:val="00145BD3"/>
    <w:rsid w:val="00160A95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4FEC"/>
    <w:rsid w:val="002E5951"/>
    <w:rsid w:val="002E6ED7"/>
    <w:rsid w:val="002E76DC"/>
    <w:rsid w:val="002F54EB"/>
    <w:rsid w:val="00314341"/>
    <w:rsid w:val="00315755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829D0"/>
    <w:rsid w:val="003919EC"/>
    <w:rsid w:val="00393B4A"/>
    <w:rsid w:val="003D058B"/>
    <w:rsid w:val="003D6B4A"/>
    <w:rsid w:val="003E38D6"/>
    <w:rsid w:val="003E69FF"/>
    <w:rsid w:val="003F0380"/>
    <w:rsid w:val="00400B60"/>
    <w:rsid w:val="00403378"/>
    <w:rsid w:val="00443E2E"/>
    <w:rsid w:val="00450DBA"/>
    <w:rsid w:val="0046343F"/>
    <w:rsid w:val="00470099"/>
    <w:rsid w:val="0049353E"/>
    <w:rsid w:val="004974F6"/>
    <w:rsid w:val="004A00E1"/>
    <w:rsid w:val="004A2C9A"/>
    <w:rsid w:val="004D063C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A2B7F"/>
    <w:rsid w:val="005B26C2"/>
    <w:rsid w:val="005E2090"/>
    <w:rsid w:val="005E5130"/>
    <w:rsid w:val="005F5052"/>
    <w:rsid w:val="00626830"/>
    <w:rsid w:val="0062770A"/>
    <w:rsid w:val="00630D3C"/>
    <w:rsid w:val="00631024"/>
    <w:rsid w:val="00652583"/>
    <w:rsid w:val="0065379E"/>
    <w:rsid w:val="00665454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55223"/>
    <w:rsid w:val="00755B72"/>
    <w:rsid w:val="007628B6"/>
    <w:rsid w:val="00781736"/>
    <w:rsid w:val="007A69F3"/>
    <w:rsid w:val="007B0FD8"/>
    <w:rsid w:val="007B5EE9"/>
    <w:rsid w:val="007D5423"/>
    <w:rsid w:val="007E4DFB"/>
    <w:rsid w:val="007F22AB"/>
    <w:rsid w:val="007F4068"/>
    <w:rsid w:val="007F5117"/>
    <w:rsid w:val="008031FA"/>
    <w:rsid w:val="0080500E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65D8"/>
    <w:rsid w:val="00977CAF"/>
    <w:rsid w:val="00987237"/>
    <w:rsid w:val="009A53E9"/>
    <w:rsid w:val="009A7928"/>
    <w:rsid w:val="009B4B64"/>
    <w:rsid w:val="009C703F"/>
    <w:rsid w:val="009F0C08"/>
    <w:rsid w:val="009F385C"/>
    <w:rsid w:val="009F5F1C"/>
    <w:rsid w:val="009F6C46"/>
    <w:rsid w:val="00A02ABF"/>
    <w:rsid w:val="00A03F0E"/>
    <w:rsid w:val="00A211E5"/>
    <w:rsid w:val="00A26033"/>
    <w:rsid w:val="00A41844"/>
    <w:rsid w:val="00A42765"/>
    <w:rsid w:val="00A463D9"/>
    <w:rsid w:val="00A65E57"/>
    <w:rsid w:val="00A8785E"/>
    <w:rsid w:val="00AC3B1F"/>
    <w:rsid w:val="00AC5C37"/>
    <w:rsid w:val="00AD0590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5049D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7009A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5959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05/Home/Person/p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32197-2F7D-4DDD-B266-50504210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16880</TotalTime>
  <Pages>1</Pages>
  <Words>8788</Words>
  <Characters>50098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76</cp:revision>
  <dcterms:created xsi:type="dcterms:W3CDTF">2021-05-29T05:40:00Z</dcterms:created>
  <dcterms:modified xsi:type="dcterms:W3CDTF">2021-08-17T15:58:00Z</dcterms:modified>
</cp:coreProperties>
</file>