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E53B7" w14:textId="77777777" w:rsidR="00361144" w:rsidRPr="007B2366" w:rsidRDefault="00000000" w:rsidP="007B2366">
      <w:pPr>
        <w:pStyle w:val="Heading1"/>
        <w:rPr>
          <w:lang w:val="es-ES"/>
        </w:rPr>
      </w:pPr>
      <w:bookmarkStart w:id="0" w:name="Xa019025e5de21a9bee5c31b4e7387aebd87a250"/>
      <w:r w:rsidRPr="007B2366">
        <w:rPr>
          <w:lang w:val="es-ES"/>
        </w:rPr>
        <w:t>ORMUZ, EL PACTO DE LA MECA Y LAS LECCIONES PARA COSTA RICA</w:t>
      </w:r>
    </w:p>
    <w:p w14:paraId="4FE8563F" w14:textId="77777777" w:rsidR="007B2366" w:rsidRDefault="00000000" w:rsidP="007B2366">
      <w:pPr>
        <w:pStyle w:val="FirstParagraph"/>
        <w:jc w:val="both"/>
        <w:rPr>
          <w:lang w:val="es-ES"/>
        </w:rPr>
      </w:pPr>
      <w:r w:rsidRPr="007B2366">
        <w:rPr>
          <w:b/>
          <w:bCs/>
          <w:lang w:val="es-ES"/>
        </w:rPr>
        <w:t>Agustín Gómez Meléndez</w:t>
      </w:r>
      <w:r w:rsidR="007B2366">
        <w:rPr>
          <w:lang w:val="es-ES"/>
        </w:rPr>
        <w:t>, Investigador UCR/UNED</w:t>
      </w:r>
    </w:p>
    <w:p w14:paraId="75CE7A3D" w14:textId="0496B7BC" w:rsidR="00361144" w:rsidRPr="007B2366" w:rsidRDefault="00000000" w:rsidP="007B2366">
      <w:pPr>
        <w:pStyle w:val="FirstParagraph"/>
        <w:rPr>
          <w:lang w:val="es-ES"/>
        </w:rPr>
      </w:pPr>
      <w:r w:rsidRPr="007B2366">
        <w:rPr>
          <w:b/>
          <w:bCs/>
          <w:lang w:val="es-ES"/>
        </w:rPr>
        <w:t>Carlos Murillo Zamora</w:t>
      </w:r>
      <w:r w:rsidR="007B2366">
        <w:rPr>
          <w:b/>
          <w:bCs/>
          <w:lang w:val="es-ES"/>
        </w:rPr>
        <w:t xml:space="preserve">, </w:t>
      </w:r>
      <w:r w:rsidR="007B2366" w:rsidRPr="007B2366">
        <w:rPr>
          <w:lang w:val="es-ES"/>
        </w:rPr>
        <w:t>Investigador UCR/UNA</w:t>
      </w:r>
      <w:r w:rsidRPr="007B2366">
        <w:rPr>
          <w:lang w:val="es-ES"/>
        </w:rPr>
        <w:br/>
      </w:r>
    </w:p>
    <w:p w14:paraId="0D3471F2" w14:textId="77777777" w:rsidR="00361144" w:rsidRPr="007B2366" w:rsidRDefault="00000000" w:rsidP="007B2366">
      <w:pPr>
        <w:pStyle w:val="BodyText"/>
        <w:jc w:val="both"/>
        <w:rPr>
          <w:lang w:val="es-ES"/>
        </w:rPr>
      </w:pPr>
      <w:r w:rsidRPr="007B2366">
        <w:rPr>
          <w:lang w:val="es-ES"/>
        </w:rPr>
        <w:t>A casi seis meses de la apertura del frente de guerra en Irán por Estados Unidos e Israel, el 28 de febrero, una pregunta ha acompañado al conflicto: ¿estamos ante el preludio de una conflagración mundial? Si se interpreta la ocupación rusa de Crimea en 2014 como el inicio de una nueva fase de confrontación sistémica, la pregunta no resulta exagerada. Sin embargo, la evidencia acumulada obliga a matizar las predicciones iniciales.</w:t>
      </w:r>
    </w:p>
    <w:p w14:paraId="30040717" w14:textId="77777777" w:rsidR="00361144" w:rsidRPr="007B2366" w:rsidRDefault="00000000" w:rsidP="007B2366">
      <w:pPr>
        <w:pStyle w:val="BodyText"/>
        <w:jc w:val="both"/>
        <w:rPr>
          <w:lang w:val="es-ES"/>
        </w:rPr>
      </w:pPr>
      <w:r w:rsidRPr="007B2366">
        <w:rPr>
          <w:lang w:val="es-ES"/>
        </w:rPr>
        <w:t>Nuestros primeros juicios probabilísticos llegaron a situar el riesgo de escalada a un conflicto global entre 20 % y 28 %. Seis meses después lo estimamos alrededor del 4 %. No es una probabilidad estadística, sino un juicio estructurado que debe corregirse frente a nueva evidencia. Ninguna potencia nuclear externa ha entrado directamente en la guerra, no ha habido intercambio nuclear y ni la OTAN ni la Unión Europea han activado sus cláusulas de defensa colectiva. La mediación de potencias medias como Pakistán, Omán y Qatar también ha demostrado una capacidad de contención que inicialmente subestimamos.</w:t>
      </w:r>
    </w:p>
    <w:p w14:paraId="2590BD59" w14:textId="77777777" w:rsidR="00361144" w:rsidRPr="007B2366" w:rsidRDefault="00000000" w:rsidP="007B2366">
      <w:pPr>
        <w:pStyle w:val="BodyText"/>
        <w:jc w:val="both"/>
        <w:rPr>
          <w:lang w:val="es-ES"/>
        </w:rPr>
      </w:pPr>
      <w:r w:rsidRPr="007B2366">
        <w:rPr>
          <w:lang w:val="es-ES"/>
        </w:rPr>
        <w:t>Pero un riesgo menor de guerra mundial no significa que la crisis esté resuelta. El conflicto no ha seguido una trayectoria lineal hacia la paz o hacia el colapso, sino ciclos de escalada, negociación, acuerdos parciales y recaídas. El estrecho de Ormuz comenzó como termómetro de esos ciclos y terminó convertido en su principal punto muerto.</w:t>
      </w:r>
    </w:p>
    <w:p w14:paraId="3CBCB774" w14:textId="77777777" w:rsidR="00361144" w:rsidRPr="007B2366" w:rsidRDefault="00000000" w:rsidP="007B2366">
      <w:pPr>
        <w:pStyle w:val="BodyText"/>
        <w:jc w:val="both"/>
        <w:rPr>
          <w:lang w:val="es-ES"/>
        </w:rPr>
      </w:pPr>
      <w:r w:rsidRPr="007B2366">
        <w:rPr>
          <w:lang w:val="es-ES"/>
        </w:rPr>
        <w:t>Los intentos de normalización de abril, julio y agosto han tropezado con la misma disputa: quién controla las condiciones del tránsito por una vía por la que, antes de la guerra, circulaban alrededor de 20 millones de barriles diarios de petróleo y cerca del 20 % del gas natural licuado mundial. Irán pretende conservar participación en su gestión; Washington rechaza un régimen que condicione la libertad de navegación. El 17 de agosto expiró el plazo del Memorándum de Islamabad sin que las partes lograran resolver esa diferencia.</w:t>
      </w:r>
    </w:p>
    <w:p w14:paraId="2ED6B8DB" w14:textId="77777777" w:rsidR="00361144" w:rsidRPr="007B2366" w:rsidRDefault="00000000" w:rsidP="007B2366">
      <w:pPr>
        <w:pStyle w:val="BodyText"/>
        <w:jc w:val="both"/>
        <w:rPr>
          <w:lang w:val="es-ES"/>
        </w:rPr>
      </w:pPr>
      <w:r w:rsidRPr="007B2366">
        <w:rPr>
          <w:lang w:val="es-ES"/>
        </w:rPr>
        <w:t>La magnitud del bloqueo resulta difícil de ignorar: el 9 de agosto se registró un solo tránsito por Ormuz, frente a una referencia previa a la crisis cercana a 73 diarios. Paradójicamente, el fracaso diplomático del 17 de agosto no produjo otro salto importante del petróleo. El mercado parece haber incorporado ya la posibilidad de un cierre prolongado. La guerra comienza así a normalizarse sin haberse resuelto.</w:t>
      </w:r>
    </w:p>
    <w:p w14:paraId="7E7E699E" w14:textId="77777777" w:rsidR="00361144" w:rsidRPr="007B2366" w:rsidRDefault="00000000" w:rsidP="007B2366">
      <w:pPr>
        <w:pStyle w:val="BodyText"/>
        <w:jc w:val="both"/>
        <w:rPr>
          <w:lang w:val="es-ES"/>
        </w:rPr>
      </w:pPr>
      <w:r w:rsidRPr="007B2366">
        <w:rPr>
          <w:lang w:val="es-ES"/>
        </w:rPr>
        <w:t xml:space="preserve">A esta incertidumbre se suma un acontecimiento con posibles repercusiones de largo plazo: el Acuerdo de Defensa Conjunta de La Meca, firmado el 7 de agosto por Arabia </w:t>
      </w:r>
      <w:r w:rsidRPr="007B2366">
        <w:rPr>
          <w:lang w:val="es-ES"/>
        </w:rPr>
        <w:lastRenderedPageBreak/>
        <w:t>Saudita, Turquía y Pakistán. Su principio establece que un ataque armado contra uno de los tres será considerado un ataque contra todos.</w:t>
      </w:r>
    </w:p>
    <w:p w14:paraId="52A6DE37" w14:textId="77777777" w:rsidR="00361144" w:rsidRPr="007B2366" w:rsidRDefault="00000000" w:rsidP="007B2366">
      <w:pPr>
        <w:pStyle w:val="BodyText"/>
        <w:jc w:val="both"/>
        <w:rPr>
          <w:lang w:val="es-ES"/>
        </w:rPr>
      </w:pPr>
      <w:r w:rsidRPr="007B2366">
        <w:rPr>
          <w:lang w:val="es-ES"/>
        </w:rPr>
        <w:t>La etiqueta de “OTAN suní” resulta atractiva, pero prematura. El texto completo del acuerdo no es público y una cláusula de defensa colectiva sobre el papel no garantiza su activación en una crisis. Su importancia reside en otra parte: introduce una nueva arquitectura de seguridad regional que vincula a Turquía, miembro de la OTAN, con Pakistán, potencia nuclear, y Arabia Saudita, actor directamente involucrado en la crisis.</w:t>
      </w:r>
    </w:p>
    <w:p w14:paraId="66A7BB92" w14:textId="77777777" w:rsidR="00361144" w:rsidRPr="007B2366" w:rsidRDefault="00000000" w:rsidP="007B2366">
      <w:pPr>
        <w:pStyle w:val="BodyText"/>
        <w:jc w:val="both"/>
        <w:rPr>
          <w:lang w:val="es-ES"/>
        </w:rPr>
      </w:pPr>
      <w:r w:rsidRPr="007B2366">
        <w:rPr>
          <w:lang w:val="es-ES"/>
        </w:rPr>
        <w:t>Tampoco parece acertado interpretar el acuerdo simplemente como un alejamiento saudí de Washington. Riad mantiene una estrecha cooperación con Estados Unidos mientras construye garantías adicionales con otras potencias. Más que sustituir alianzas, Arabia Saudita está diversificando sus opciones en un sistema internacional crecientemente incierto.</w:t>
      </w:r>
    </w:p>
    <w:p w14:paraId="4BD3B6D7" w14:textId="77777777" w:rsidR="00361144" w:rsidRPr="007B2366" w:rsidRDefault="00000000" w:rsidP="007B2366">
      <w:pPr>
        <w:pStyle w:val="BodyText"/>
        <w:jc w:val="both"/>
        <w:rPr>
          <w:lang w:val="es-ES"/>
        </w:rPr>
      </w:pPr>
      <w:r w:rsidRPr="007B2366">
        <w:rPr>
          <w:lang w:val="es-ES"/>
        </w:rPr>
        <w:t>¿Y qué tiene todo esto que ver con Costa Rica? Mucho más de lo que sugiere la distancia.</w:t>
      </w:r>
    </w:p>
    <w:p w14:paraId="141A380A" w14:textId="77777777" w:rsidR="00361144" w:rsidRPr="007B2366" w:rsidRDefault="00000000" w:rsidP="007B2366">
      <w:pPr>
        <w:pStyle w:val="BodyText"/>
        <w:jc w:val="both"/>
        <w:rPr>
          <w:lang w:val="es-ES"/>
        </w:rPr>
      </w:pPr>
      <w:r w:rsidRPr="007B2366">
        <w:rPr>
          <w:lang w:val="es-ES"/>
        </w:rPr>
        <w:t>Costa Rica no depende directamente del petróleo del Medio Oriente, pero sí de precios internacionales, fletes, seguros y cadenas globales de suministro. El Banco Central contempló en abril un escenario alternativo de mayores precios de hidrocarburos en el cual la inflación interanual al cierre de 2026 alcanzaría 3,9 %, frente a 2 % en su escenario de referencia. Son proyecciones condicionadas, no resultados inevitables. La apreciación del colón ha contribuido a amortiguar parte del choque importado, aunque también presiona la competitividad de exportaciones y turismo.</w:t>
      </w:r>
    </w:p>
    <w:p w14:paraId="4CE49A9E" w14:textId="77777777" w:rsidR="00361144" w:rsidRPr="007B2366" w:rsidRDefault="00000000" w:rsidP="007B2366">
      <w:pPr>
        <w:pStyle w:val="BodyText"/>
        <w:jc w:val="both"/>
        <w:rPr>
          <w:lang w:val="es-ES"/>
        </w:rPr>
      </w:pPr>
      <w:r w:rsidRPr="007B2366">
        <w:rPr>
          <w:lang w:val="es-ES"/>
        </w:rPr>
        <w:t>RECOPE continúa expuesta a las variaciones internacionales de los combustibles; la agricultura puede enfrentar mayores costos de insumos como urea y amoníaco, mientras la inseguridad simultánea en Ormuz y el Mar Rojo obliga a desviar algunas rutas por el Cabo de Buena Esperanza, agregando tiempo, combustible, fletes y seguros.</w:t>
      </w:r>
    </w:p>
    <w:p w14:paraId="790C8812" w14:textId="77777777" w:rsidR="00361144" w:rsidRPr="007B2366" w:rsidRDefault="00000000" w:rsidP="007B2366">
      <w:pPr>
        <w:pStyle w:val="BodyText"/>
        <w:jc w:val="both"/>
        <w:rPr>
          <w:lang w:val="es-ES"/>
        </w:rPr>
      </w:pPr>
      <w:r w:rsidRPr="007B2366">
        <w:rPr>
          <w:lang w:val="es-ES"/>
        </w:rPr>
        <w:t>Nada de esto conduce necesariamente a una crisis interna severa. El impacto dependerá de contratos, inventarios, tipo de cambio, rutas y duración del conflicto. De hecho, nuestro escenario más probable para lo que resta del año no es una guerra mundial, sino un congelamiento sin acuerdo definitivo.</w:t>
      </w:r>
    </w:p>
    <w:p w14:paraId="70CD1139" w14:textId="77777777" w:rsidR="00361144" w:rsidRPr="007B2366" w:rsidRDefault="00000000" w:rsidP="007B2366">
      <w:pPr>
        <w:pStyle w:val="BodyText"/>
        <w:jc w:val="both"/>
        <w:rPr>
          <w:lang w:val="es-ES"/>
        </w:rPr>
      </w:pPr>
      <w:r w:rsidRPr="007B2366">
        <w:rPr>
          <w:lang w:val="es-ES"/>
        </w:rPr>
        <w:t xml:space="preserve">Allí aparece la verdadera lección de Ormuz para Costa Rica: </w:t>
      </w:r>
      <w:r w:rsidRPr="007B2366">
        <w:rPr>
          <w:b/>
          <w:bCs/>
          <w:lang w:val="es-ES"/>
        </w:rPr>
        <w:t>la distancia geográfica no equivale a distancia estratégica</w:t>
      </w:r>
      <w:r w:rsidRPr="007B2366">
        <w:rPr>
          <w:lang w:val="es-ES"/>
        </w:rPr>
        <w:t>. Un país pequeño y desmilitarizado puede encontrarse a diez mil kilómetros de una guerra y, sin embargo, pagar parte de sus consecuencias en la estación de servicio, en los fertilizantes de sus agricultores o en el costo y tiempo de llegada de un contenedor.</w:t>
      </w:r>
    </w:p>
    <w:p w14:paraId="061AAD20" w14:textId="77777777" w:rsidR="00361144" w:rsidRPr="007B2366" w:rsidRDefault="00000000" w:rsidP="007B2366">
      <w:pPr>
        <w:pStyle w:val="BodyText"/>
        <w:jc w:val="both"/>
        <w:rPr>
          <w:lang w:val="es-ES"/>
        </w:rPr>
      </w:pPr>
      <w:r w:rsidRPr="007B2366">
        <w:rPr>
          <w:lang w:val="es-ES"/>
        </w:rPr>
        <w:t>Costa Rica tampoco controla los estrechos por los que transita su economía. Su ventaja debe estar en anticipar cuándo pueden cerrarse.</w:t>
      </w:r>
    </w:p>
    <w:p w14:paraId="48704A04" w14:textId="77777777" w:rsidR="00361144" w:rsidRPr="007B2366" w:rsidRDefault="00000000" w:rsidP="007B2366">
      <w:pPr>
        <w:pStyle w:val="BodyText"/>
        <w:jc w:val="both"/>
        <w:rPr>
          <w:lang w:val="es-ES"/>
        </w:rPr>
      </w:pPr>
      <w:r w:rsidRPr="007B2366">
        <w:rPr>
          <w:lang w:val="es-ES"/>
        </w:rPr>
        <w:t xml:space="preserve">Eso requiere desarrollar una verdadera capacidad de inteligencia geoeconómica: identificar vulnerabilidades en energía, rutas marítimas, proveedores, insumos críticos y </w:t>
      </w:r>
      <w:r w:rsidRPr="007B2366">
        <w:rPr>
          <w:lang w:val="es-ES"/>
        </w:rPr>
        <w:lastRenderedPageBreak/>
        <w:t>cadenas de suministro antes de que una crisis obligue simplemente a administrar sus consecuencias.</w:t>
      </w:r>
    </w:p>
    <w:p w14:paraId="16D4476F" w14:textId="77777777" w:rsidR="00361144" w:rsidRPr="007B2366" w:rsidRDefault="00000000" w:rsidP="007B2366">
      <w:pPr>
        <w:pStyle w:val="BodyText"/>
        <w:jc w:val="both"/>
        <w:rPr>
          <w:lang w:val="es-ES"/>
        </w:rPr>
      </w:pPr>
      <w:r w:rsidRPr="007B2366">
        <w:rPr>
          <w:lang w:val="es-ES"/>
        </w:rPr>
        <w:t>También deja una lección para la política exterior. Arabia Saudita, con recursos y capacidades muy superiores a los nuestros, procura ampliar sus opciones en un entorno incierto. Para un Estado pequeño, autonomía no significa neutralidad ni equidistancia entre grandes potencias. Significa conservar suficientes relaciones, información y opciones para que las decisiones de otros no se conviertan automáticamente en vulnerabilidades propias.</w:t>
      </w:r>
    </w:p>
    <w:p w14:paraId="68C527D7" w14:textId="77777777" w:rsidR="00361144" w:rsidRPr="007B2366" w:rsidRDefault="00000000" w:rsidP="007B2366">
      <w:pPr>
        <w:pStyle w:val="BodyText"/>
        <w:jc w:val="both"/>
        <w:rPr>
          <w:lang w:val="es-ES"/>
        </w:rPr>
      </w:pPr>
      <w:r w:rsidRPr="007B2366">
        <w:rPr>
          <w:lang w:val="es-ES"/>
        </w:rPr>
        <w:t>Costa Rica ha construido históricamente parte de su influencia mediante el derecho internacional, la diversificación de relaciones, la credibilidad diplomática y su capacidad para dialogar con actores distintos. Preservar ese margen de maniobra resulta particularmente importante cuando el sistema internacional vuelve a organizarse alrededor de competencia, alianzas y zonas de influencia.</w:t>
      </w:r>
    </w:p>
    <w:p w14:paraId="6E965DFC" w14:textId="77777777" w:rsidR="00361144" w:rsidRDefault="00000000" w:rsidP="007B2366">
      <w:pPr>
        <w:pStyle w:val="BodyText"/>
        <w:jc w:val="both"/>
      </w:pPr>
      <w:r w:rsidRPr="007B2366">
        <w:rPr>
          <w:lang w:val="es-ES"/>
        </w:rPr>
        <w:t xml:space="preserve">Ormuz deja así una paradoja útil. </w:t>
      </w:r>
      <w:r w:rsidRPr="007B2366">
        <w:rPr>
          <w:b/>
          <w:bCs/>
          <w:lang w:val="es-ES"/>
        </w:rPr>
        <w:t>Costa Rica abolió el ejército, pero no puede abolir la geopolítica.</w:t>
      </w:r>
      <w:r w:rsidRPr="007B2366">
        <w:rPr>
          <w:lang w:val="es-ES"/>
        </w:rPr>
        <w:t xml:space="preserve"> Para un Estado pequeño, comprenderla, anticiparla y conservar capacidad de maniobra no constituye una ambición de poder. </w:t>
      </w:r>
      <w:r>
        <w:t xml:space="preserve">Es </w:t>
      </w:r>
      <w:proofErr w:type="spellStart"/>
      <w:r>
        <w:t>una</w:t>
      </w:r>
      <w:proofErr w:type="spellEnd"/>
      <w:r>
        <w:t xml:space="preserve"> forma de reducir vulnerabilidades.</w:t>
      </w:r>
    </w:p>
    <w:bookmarkEnd w:id="0"/>
    <w:p w14:paraId="4BBBFE7B" w14:textId="77777777" w:rsidR="007B2366" w:rsidRDefault="007B2366">
      <w:pPr>
        <w:pStyle w:val="BodyText"/>
        <w:jc w:val="both"/>
      </w:pPr>
    </w:p>
    <w:sectPr w:rsidR="007B23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71846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72420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61144"/>
    <w:rsid w:val="00361144"/>
    <w:rsid w:val="007B2366"/>
    <w:rsid w:val="007B2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1D775E"/>
  <w15:docId w15:val="{190481E9-144F-B845-B4F7-8AFD6784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Agustín Gómez Meléndez</cp:lastModifiedBy>
  <cp:revision>2</cp:revision>
  <dcterms:created xsi:type="dcterms:W3CDTF">1970-01-01T00:00:00Z</dcterms:created>
  <dcterms:modified xsi:type="dcterms:W3CDTF">2026-08-18T14:12:00Z</dcterms:modified>
</cp:coreProperties>
</file>