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32"/>
          <w:szCs w:val="32"/>
        </w:rPr>
        <w:t xml:space="preserve">Disrupción y continuidad programática entre administraciones presidenciales de Costa Rica, 1990-2030</w:t>
      </w:r>
    </w:p>
    <w:p>
      <w:pPr>
        <w:spacing w:after="100"/>
        <w:jc w:val="center"/>
      </w:pPr>
      <w:r>
        <w:rPr>
          <w:i/>
          <w:iCs/>
          <w:sz w:val="24"/>
          <w:szCs w:val="24"/>
        </w:rPr>
        <w:t xml:space="preserve">Un análisis comparativo longitudinal de los Planes Nacionales de Desarrollo (PND) y Planes Nacionales de Desarrollo e Inversión Pública (PNDIP)</w:t>
      </w:r>
    </w:p>
    <w:p>
      <w:pPr>
        <w:spacing w:after="40" w:before="400"/>
        <w:jc w:val="center"/>
      </w:pPr>
      <w:r>
        <w:rPr>
          <w:sz w:val="20"/>
          <w:szCs w:val="20"/>
        </w:rPr>
        <w:t xml:space="preserve">Research ID: PND-CR-CONTINUIDAD-1990-2030</w:t>
      </w:r>
    </w:p>
    <w:p>
      <w:pPr>
        <w:spacing w:after="40"/>
        <w:jc w:val="center"/>
      </w:pPr>
      <w:r>
        <w:rPr>
          <w:sz w:val="20"/>
          <w:szCs w:val="20"/>
        </w:rPr>
        <w:t xml:space="preserve">Preparado para Agustín Gómez Meléndez</w:t>
      </w:r>
    </w:p>
    <w:p>
      <w:pPr>
        <w:spacing w:after="40"/>
        <w:jc w:val="center"/>
      </w:pPr>
      <w:r>
        <w:rPr>
          <w:sz w:val="20"/>
          <w:szCs w:val="20"/>
        </w:rPr>
        <w:t xml:space="preserve">26 de agosto de 2026</w:t>
      </w:r>
    </w:p>
    <w:p>
      <w:pPr>
        <w:spacing w:after="40"/>
        <w:jc w:val="center"/>
      </w:pPr>
      <w:r>
        <w:rPr>
          <w:i/>
          <w:iCs/>
          <w:sz w:val="18"/>
          <w:szCs w:val="18"/>
        </w:rPr>
        <w:t xml:space="preserve">Pipeline: scientific-research-pipeline (esquema 0.3.0) — decisión de release: PASS WITH WARNINGS</w:t>
      </w:r>
    </w:p>
    <w:p>
      <w:r>
        <w:br w:type="page"/>
      </w:r>
    </w:p>
    <w:p>
      <w:pPr>
        <w:pStyle w:val="Heading1"/>
        <w:spacing w:after="150" w:before="300"/>
      </w:pPr>
      <w:r>
        <w:t xml:space="preserve">Resumen ejecutivo</w:t>
      </w:r>
    </w:p>
    <w:p>
      <w:pPr>
        <w:spacing w:after="160" w:line="276"/>
      </w:pPr>
      <w:r>
        <w:rPr>
          <w:b w:val="false"/>
          <w:bCs w:val="false"/>
          <w:i w:val="false"/>
          <w:iCs w:val="false"/>
        </w:rPr>
        <w:t xml:space="preserve">Este informe compara la arquitectura programática (ejes, áreas o sectores declarados) y la continuidad de dominios y proyectos nombrados entre los diez Planes Nacionales de Desarrollo de Costa Rica publicados o prospectados para el periodo 1990-2030, a través de sus nueve transiciones consecutivas. Se construyó, validó y aplicó un protocolo de investigación formal (charter, protocolo, manifiesto de corpus, codebook longitudinal, 24 registros de evidencia atómica y 18 puntuaciones comparativas), reutilizando y verificando el inventario documental ya preparado para esta carpeta de trabajo.</w:t>
      </w:r>
    </w:p>
    <w:p>
      <w:pPr>
        <w:spacing w:after="160" w:line="276"/>
      </w:pPr>
      <w:r>
        <w:rPr>
          <w:b w:val="false"/>
          <w:bCs w:val="false"/>
          <w:i w:val="false"/>
          <w:iCs w:val="false"/>
        </w:rPr>
        <w:t xml:space="preserve">El hallazgo central es una asimetría sistemática: la arquitectura programática de primer nivel (la etiqueta organizadora —eje, área, sector, capítulo— y el número de unidades) cambia de forma sustantiva en casi todas las transiciones (disrupción promedio 2.67 sobre una escala de 0 a 4), mientras que los dominios de política sustantivos (educación, salud, ambiente, seguridad, etc.) muestran una continuidad considerablemente mayor (disrupción promedio 1.22 sobre 4). Es decir: los gobiernos costarricenses reorganizan con frecuencia el andamiaje formal de sus planes —y a veces adoptan metodologías de planificación distintas— pero rara vez abandonan del todo un ámbito temático que ya estaba presente.</w:t>
      </w:r>
    </w:p>
    <w:p>
      <w:pPr>
        <w:spacing w:after="160" w:line="276"/>
      </w:pPr>
      <w:r>
        <w:rPr>
          <w:b w:val="false"/>
          <w:bCs w:val="false"/>
          <w:i w:val="false"/>
          <w:iCs w:val="false"/>
        </w:rPr>
        <w:t xml:space="preserve">La continuidad nominal explícita —que un plan reconozca por nombre un proyecto, meta o plan de la administración anterior— es minoritaria pero no inexistente, y se concentra en mecanismos concretos y verificables: una meta cultural explícitamente 'retomada del PND 2006-2010' en el PND 2011-2014; el PND 2015-2018 citado como insumo metodológico principal del PNDIP 2019-2022; y, el caso más claro de todos, una regla explícita y cuantificada por la cual los proyectos de inversión pública del PNDIP 2019-2022 que no alcanzaron el 70% de avance físico se incorporan formalmente a la cartera del PNDIP 2023-2026. En cambio, la búsqueda genérica de palabras como 'continuidad' o 'ruptura' resultó mayoritariamente engañosa: dos de cada tres coincidencias encontradas se referían a la continuidad de un servicio de transporte, a un cambio de enfoque de salud pública o a la biografía de la figura histórica que da nombre honorífico al plan— no a la sucesión presidencial.</w:t>
      </w:r>
    </w:p>
    <w:p>
      <w:pPr>
        <w:spacing w:after="160" w:line="276"/>
      </w:pPr>
      <w:r>
        <w:rPr>
          <w:b w:val="false"/>
          <w:bCs w:val="false"/>
          <w:i w:val="false"/>
          <w:iCs w:val="false"/>
        </w:rPr>
        <w:t xml:space="preserve">Contra lo que podría esperarse, el cambio de partido gobernante no se asoció, en este corpus, con mayor disrupción: las tres transiciones de continuidad partidaria (1998→2002 con Rodríguez→Pacheco, PUSC→PUSC; 2006→2010→ 2011–2014 con Arias→Chinchilla, PLN→PLN; y 2015–2018→2019–2022 con Solís→Alvarado, PAC→PAC) muestran, en promedio, disrupción de arquitectura igual o mayor (3.33/4) que las cinco transiciones con cambio de partido (2.60/4). Las dos transiciones más disruptivas de toda la serie —2011-2014→2015-2018 y 2015-2018→2019-2022— ocurrieron una con cambio de partido y otra con continuidad partidaria, lo que sugiere que los cambios de metodología de planificación de Mideplan explican la disrupción observada mejor que el color político del gobierno entrante.</w:t>
      </w:r>
    </w:p>
    <w:p>
      <w:pPr>
        <w:pStyle w:val="Heading2"/>
        <w:spacing w:after="120" w:before="240"/>
      </w:pPr>
      <w:r>
        <w:t xml:space="preserve">Estado de las hipótesis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2000"/>
        <w:gridCol w:w="1950"/>
      </w:tblGrid>
      <w:tr>
        <w:tc>
          <w:tcPr>
            <w:tcW w:type="dxa" w:w="900"/>
            <w:shd w:fill="1F3864" w:val="clear"/>
            <w:tcMar>
              <w:top w:type="dxa" w:w="60"/>
              <w:left w:type="dxa" w:w="100"/>
              <w:bottom w:type="dxa" w:w="60"/>
              <w:right w:type="dxa" w:w="100"/>
            </w:tcMar>
          </w:tcPr>
          <w:p>
            <w:r>
              <w:rPr>
                <w:b/>
                <w:bCs/>
                <w:color w:val="FFFFFF"/>
                <w:sz w:val="18"/>
                <w:szCs w:val="18"/>
              </w:rPr>
              <w:t xml:space="preserve">Hip.</w:t>
            </w:r>
          </w:p>
        </w:tc>
        <w:tc>
          <w:tcPr>
            <w:tcW w:type="dxa" w:w="4500"/>
            <w:shd w:fill="1F3864" w:val="clear"/>
            <w:tcMar>
              <w:top w:type="dxa" w:w="60"/>
              <w:left w:type="dxa" w:w="100"/>
              <w:bottom w:type="dxa" w:w="60"/>
              <w:right w:type="dxa" w:w="100"/>
            </w:tcMar>
          </w:tcPr>
          <w:p>
            <w:r>
              <w:rPr>
                <w:b/>
                <w:bCs/>
                <w:color w:val="FFFFFF"/>
                <w:sz w:val="18"/>
                <w:szCs w:val="18"/>
              </w:rPr>
              <w:t xml:space="preserve">Enunciado (resumido)</w:t>
            </w:r>
          </w:p>
        </w:tc>
        <w:tc>
          <w:tcPr>
            <w:tcW w:type="dxa" w:w="2000"/>
            <w:shd w:fill="1F3864" w:val="clear"/>
            <w:tcMar>
              <w:top w:type="dxa" w:w="60"/>
              <w:left w:type="dxa" w:w="100"/>
              <w:bottom w:type="dxa" w:w="60"/>
              <w:right w:type="dxa" w:w="100"/>
            </w:tcMar>
          </w:tcPr>
          <w:p>
            <w:r>
              <w:rPr>
                <w:b/>
                <w:bCs/>
                <w:color w:val="FFFFFF"/>
                <w:sz w:val="18"/>
                <w:szCs w:val="18"/>
              </w:rPr>
              <w:t xml:space="preserve">Decisión</w:t>
            </w:r>
          </w:p>
        </w:tc>
        <w:tc>
          <w:tcPr>
            <w:tcW w:type="dxa" w:w="1950"/>
            <w:shd w:fill="1F3864" w:val="clear"/>
            <w:tcMar>
              <w:top w:type="dxa" w:w="60"/>
              <w:left w:type="dxa" w:w="100"/>
              <w:bottom w:type="dxa" w:w="60"/>
              <w:right w:type="dxa" w:w="100"/>
            </w:tcMar>
          </w:tcPr>
          <w:p>
            <w:r>
              <w:rPr>
                <w:b/>
                <w:bCs/>
                <w:color w:val="FFFFFF"/>
                <w:sz w:val="18"/>
                <w:szCs w:val="18"/>
              </w:rPr>
              <w:t xml:space="preserve">Base</w:t>
            </w:r>
          </w:p>
        </w:tc>
      </w:tr>
      <w:tr>
        <w:tc>
          <w:tcPr>
            <w:tcW w:type="dxa" w:w="900"/>
            <w:tcMar>
              <w:top w:type="dxa" w:w="60"/>
              <w:left w:type="dxa" w:w="100"/>
              <w:bottom w:type="dxa" w:w="60"/>
              <w:right w:type="dxa" w:w="100"/>
            </w:tcMar>
          </w:tcPr>
          <w:p>
            <w:r>
              <w:rPr>
                <w:b w:val="false"/>
                <w:bCs w:val="false"/>
                <w:sz w:val="18"/>
                <w:szCs w:val="18"/>
              </w:rPr>
              <w:t xml:space="preserve">H1</w:t>
            </w:r>
          </w:p>
        </w:tc>
        <w:tc>
          <w:tcPr>
            <w:tcW w:type="dxa" w:w="4500"/>
            <w:tcMar>
              <w:top w:type="dxa" w:w="60"/>
              <w:left w:type="dxa" w:w="100"/>
              <w:bottom w:type="dxa" w:w="60"/>
              <w:right w:type="dxa" w:w="100"/>
            </w:tcMar>
          </w:tcPr>
          <w:p>
            <w:r>
              <w:rPr>
                <w:b w:val="false"/>
                <w:bCs w:val="false"/>
                <w:sz w:val="18"/>
                <w:szCs w:val="18"/>
              </w:rPr>
              <w:t xml:space="preserve">Alta continuidad de dominios de política entre planes consecutivos; baja referencia nominal explícita al plan anterior.</w:t>
            </w:r>
          </w:p>
        </w:tc>
        <w:tc>
          <w:tcPr>
            <w:tcW w:type="dxa" w:w="2000"/>
            <w:tcMar>
              <w:top w:type="dxa" w:w="60"/>
              <w:left w:type="dxa" w:w="100"/>
              <w:bottom w:type="dxa" w:w="60"/>
              <w:right w:type="dxa" w:w="100"/>
            </w:tcMar>
          </w:tcPr>
          <w:p>
            <w:r>
              <w:rPr>
                <w:b w:val="false"/>
                <w:bCs w:val="false"/>
                <w:sz w:val="18"/>
                <w:szCs w:val="18"/>
              </w:rPr>
              <w:t xml:space="preserve">Parcialmente apoyada</w:t>
            </w:r>
          </w:p>
        </w:tc>
        <w:tc>
          <w:tcPr>
            <w:tcW w:type="dxa" w:w="1950"/>
            <w:tcMar>
              <w:top w:type="dxa" w:w="60"/>
              <w:left w:type="dxa" w:w="100"/>
              <w:bottom w:type="dxa" w:w="60"/>
              <w:right w:type="dxa" w:w="100"/>
            </w:tcMar>
          </w:tcPr>
          <w:p>
            <w:r>
              <w:rPr>
                <w:b w:val="false"/>
                <w:bCs w:val="false"/>
                <w:sz w:val="18"/>
                <w:szCs w:val="18"/>
              </w:rPr>
              <w:t xml:space="preserve">R1, AN1</w:t>
            </w:r>
          </w:p>
        </w:tc>
      </w:tr>
      <w:tr>
        <w:tc>
          <w:tcPr>
            <w:tcW w:type="dxa" w:w="900"/>
            <w:tcMar>
              <w:top w:type="dxa" w:w="60"/>
              <w:left w:type="dxa" w:w="100"/>
              <w:bottom w:type="dxa" w:w="60"/>
              <w:right w:type="dxa" w:w="100"/>
            </w:tcMar>
          </w:tcPr>
          <w:p>
            <w:r>
              <w:rPr>
                <w:b w:val="false"/>
                <w:bCs w:val="false"/>
                <w:sz w:val="18"/>
                <w:szCs w:val="18"/>
              </w:rPr>
              <w:t xml:space="preserve">H2</w:t>
            </w:r>
          </w:p>
        </w:tc>
        <w:tc>
          <w:tcPr>
            <w:tcW w:type="dxa" w:w="4500"/>
            <w:tcMar>
              <w:top w:type="dxa" w:w="60"/>
              <w:left w:type="dxa" w:w="100"/>
              <w:bottom w:type="dxa" w:w="60"/>
              <w:right w:type="dxa" w:w="100"/>
            </w:tcMar>
          </w:tcPr>
          <w:p>
            <w:r>
              <w:rPr>
                <w:b w:val="false"/>
                <w:bCs w:val="false"/>
                <w:sz w:val="18"/>
                <w:szCs w:val="18"/>
              </w:rPr>
              <w:t xml:space="preserve">La disrupción estructural es mayor en transiciones con cambio de partido gobernante que en transiciones de continuidad partidaria.</w:t>
            </w:r>
          </w:p>
        </w:tc>
        <w:tc>
          <w:tcPr>
            <w:tcW w:type="dxa" w:w="2000"/>
            <w:tcMar>
              <w:top w:type="dxa" w:w="60"/>
              <w:left w:type="dxa" w:w="100"/>
              <w:bottom w:type="dxa" w:w="60"/>
              <w:right w:type="dxa" w:w="100"/>
            </w:tcMar>
          </w:tcPr>
          <w:p>
            <w:r>
              <w:rPr>
                <w:b w:val="false"/>
                <w:bCs w:val="false"/>
                <w:sz w:val="18"/>
                <w:szCs w:val="18"/>
              </w:rPr>
              <w:t xml:space="preserve">No apoyada</w:t>
            </w:r>
          </w:p>
        </w:tc>
        <w:tc>
          <w:tcPr>
            <w:tcW w:type="dxa" w:w="1950"/>
            <w:tcMar>
              <w:top w:type="dxa" w:w="60"/>
              <w:left w:type="dxa" w:w="100"/>
              <w:bottom w:type="dxa" w:w="60"/>
              <w:right w:type="dxa" w:w="100"/>
            </w:tcMar>
          </w:tcPr>
          <w:p>
            <w:r>
              <w:rPr>
                <w:b w:val="false"/>
                <w:bCs w:val="false"/>
                <w:sz w:val="18"/>
                <w:szCs w:val="18"/>
              </w:rPr>
              <w:t xml:space="preserve">R2, AN2</w:t>
            </w:r>
          </w:p>
        </w:tc>
      </w:tr>
    </w:tbl>
    <w:p>
      <w:pPr>
        <w:spacing w:after="200"/>
      </w:pPr>
    </w:p>
    <w:p>
      <w:r>
        <w:br w:type="page"/>
      </w:r>
    </w:p>
    <w:p>
      <w:pPr>
        <w:pStyle w:val="Heading1"/>
        <w:spacing w:after="150" w:before="300"/>
      </w:pPr>
      <w:r>
        <w:t xml:space="preserve">1. Introducción</w:t>
      </w:r>
    </w:p>
    <w:p>
      <w:pPr>
        <w:spacing w:after="160" w:line="276"/>
      </w:pPr>
      <w:r>
        <w:rPr>
          <w:b w:val="false"/>
          <w:bCs w:val="false"/>
          <w:i w:val="false"/>
          <w:iCs w:val="false"/>
        </w:rPr>
        <w:t xml:space="preserve">Costa Rica publica, desde 1990, un Plan Nacional de Desarrollo (PND) o, desde 2019, un Plan Nacional de Desarrollo e Inversión Pública (PNDIP) al inicio de cada periodo de gobierno, elaborado por el Ministerio de Planificación Nacional y Política Económica (Mideplan). Estos documentos son la expresión más formal de la agenda programática de cada administración. La pregunta que origina este trabajo —qué tan disruptivos son los cambios que introduce cada presidente entrante y cuánta continuidad existe de los proyectos de administraciones anteriores— se responde aquí comparando, de forma trazable y con evidencia citada página por página cuando la calidad del documento lo permite, la arquitectura programática y el contenido sustantivo de los diez planes disponibles para el periodo 1990-2030.</w:t>
      </w:r>
    </w:p>
    <w:p>
      <w:pPr>
        <w:spacing w:after="160" w:line="276"/>
      </w:pPr>
      <w:r>
        <w:rPr>
          <w:b w:val="false"/>
          <w:bCs w:val="false"/>
          <w:i w:val="false"/>
          <w:iCs w:val="false"/>
        </w:rPr>
        <w:t xml:space="preserve">Este análisis parte de un inventario documental exhaustivo ya preparado en la carpeta de trabajo («MANUAL_CORPUS_PND_PNDIP_COSTA_RICA_1990_2030.md» y «PND_CORPUS_PROYECTO.json»), que registró checksums, condición de extracción y estructura verificada ópticamente de cada documento. Este trabajo construye sobre ese inventario —lo hereda, lo verifica de forma independiente donde fue posible (checksums recalculados, páginas confirmadas con pdfinfo, listas de ejes/sectores localizadas con cita de página física mediante búsqueda de texto)— y añade la pieza que faltaba: un protocolo de comparación longitudinal formal, con hipótesis contrastables, codebook anclado y evaluación explícita de hipótesis.</w:t>
      </w:r>
    </w:p>
    <w:p>
      <w:pPr>
        <w:pStyle w:val="Heading1"/>
        <w:spacing w:after="150" w:before="300"/>
      </w:pPr>
      <w:r>
        <w:t xml:space="preserve">2. Planteamiento del problema y justificación</w:t>
      </w:r>
    </w:p>
    <w:p>
      <w:pPr>
        <w:spacing w:after="160" w:line="276"/>
      </w:pPr>
      <w:r>
        <w:rPr>
          <w:b w:val="false"/>
          <w:bCs w:val="false"/>
          <w:i w:val="false"/>
          <w:iCs w:val="false"/>
        </w:rPr>
        <w:t xml:space="preserve">No existe, dentro de esta carpeta de trabajo ni en el inventario previo, una comparación sistemática de cuánto cambia la arquitectura programática declarada de un plan al siguiente, ni de si ese cambio se asocia con el recambio de partido gobernante. La pregunta del usuario mezcla dos nociones distintas que conviene separar analíticamente: (a) disrupción formal —cambia el andamiaje organizador del plan (ejes, áreas, sectores)— y (b) continuidad sustantiva —persisten los ámbitos temáticos y, en particular, los proyectos o metas concretas nombradas. Confundir ambas dimensiones produciría conclusiones engañosas: un plan puede reorganizar por completo su índice y, aun así, no abandonar ningún ámbito de política sustantivo (como se observa en la transición 2011-2014→2015-2018), o mantener una arquitectura estable y aun así dejar caer un ámbito específico (como ocurre con Acción Exterior entre 2023-2026 y 2027-2030).</w:t>
      </w:r>
    </w:p>
    <w:p>
      <w:pPr>
        <w:pStyle w:val="Heading1"/>
        <w:spacing w:after="150" w:before="300"/>
      </w:pPr>
      <w:r>
        <w:t xml:space="preserve">3. Preguntas de investigación e hipótesis</w:t>
      </w:r>
    </w:p>
    <w:p>
      <w:pPr>
        <w:pStyle w:val="Heading3"/>
        <w:spacing w:after="100" w:before="180"/>
      </w:pPr>
      <w:r>
        <w:t xml:space="preserve">Pregunta primaria</w:t>
      </w:r>
    </w:p>
    <w:p>
      <w:pPr>
        <w:spacing w:after="160" w:line="276"/>
      </w:pPr>
      <w:r>
        <w:rPr>
          <w:b w:val="false"/>
          <w:bCs w:val="false"/>
          <w:i w:val="false"/>
          <w:iCs w:val="false"/>
        </w:rPr>
        <w:t xml:space="preserve">¿En qué medida la arquitectura programática declarada y los proyectos o programas nombrados de cada PND/PNDIP de Costa Rica (1990-2030) se mantienen, se renombran, se fusionan/dividen o se descontinúan respecto del plan inmediatamente anterior, y esa disrupción varía con el cambio de partido gobernante?</w:t>
      </w:r>
    </w:p>
    <w:p>
      <w:pPr>
        <w:pStyle w:val="Heading3"/>
        <w:spacing w:after="100" w:before="180"/>
      </w:pPr>
      <w:r>
        <w:t xml:space="preserve">Preguntas secundarias</w:t>
      </w:r>
    </w:p>
    <w:p>
      <w:pPr>
        <w:pStyle w:val="ListParagraph"/>
        <w:numPr>
          <w:ilvl w:val="0"/>
          <w:numId w:val="1"/>
        </w:numPr>
        <w:spacing w:after="80"/>
      </w:pPr>
      <w:r>
        <w:t xml:space="preserve">¿Cuántos dominios de política normalizados aparecen de forma reconocible en todos los planes del corpus pese a los cambios de nombre y de unidad organizadora?</w:t>
      </w:r>
    </w:p>
    <w:p>
      <w:pPr>
        <w:pStyle w:val="ListParagraph"/>
        <w:numPr>
          <w:ilvl w:val="0"/>
          <w:numId w:val="1"/>
        </w:numPr>
        <w:spacing w:after="80"/>
      </w:pPr>
      <w:r>
        <w:t xml:space="preserve">¿Con qué frecuencia un plan hace referencia explícita y nominal al plan o a la administración inmediatamente anterior?</w:t>
      </w:r>
    </w:p>
    <w:p>
      <w:pPr>
        <w:pStyle w:val="ListParagraph"/>
        <w:numPr>
          <w:ilvl w:val="0"/>
          <w:numId w:val="1"/>
        </w:numPr>
        <w:spacing w:after="80"/>
      </w:pPr>
      <w:r>
        <w:t xml:space="preserve">¿La disrupción estructural es mayor en transiciones con cambio de partido/coalición que en transiciones de continuidad del mismo partido?</w:t>
      </w:r>
    </w:p>
    <w:p>
      <w:pPr>
        <w:pStyle w:val="ListParagraph"/>
        <w:numPr>
          <w:ilvl w:val="0"/>
          <w:numId w:val="1"/>
        </w:numPr>
        <w:spacing w:after="80"/>
      </w:pPr>
      <w:r>
        <w:t xml:space="preserve">¿Qué tan fiable es la búsqueda de palabras clave de 'continuidad'/'ruptura' como evidencia de postura editorial de un plan frente a su antecesor?</w:t>
      </w:r>
    </w:p>
    <w:p>
      <w:pPr>
        <w:pStyle w:val="Heading3"/>
        <w:spacing w:after="100" w:before="180"/>
      </w:pPr>
      <w:r>
        <w:t xml:space="preserve">Hipótesis</w:t>
      </w:r>
    </w:p>
    <w:p>
      <w:pPr>
        <w:spacing w:after="160" w:line="276"/>
      </w:pPr>
      <w:r>
        <w:rPr>
          <w:b w:val="false"/>
          <w:bCs w:val="false"/>
          <w:i w:val="false"/>
          <w:iCs w:val="false"/>
        </w:rPr>
        <w:t xml:space="preserve">H1: La proporción de dominios de política que persisten (aunque renombrados o reagrupados) entre administraciones consecutivas es alta, mientras que la referencia nominal explícita al plan/proyecto de la administración anterior es baja y ocurre sobre todo como cita bibliográfica.</w:t>
      </w:r>
    </w:p>
    <w:p>
      <w:pPr>
        <w:spacing w:after="160" w:line="276"/>
      </w:pPr>
      <w:r>
        <w:rPr>
          <w:b w:val="false"/>
          <w:bCs w:val="false"/>
          <w:i w:val="false"/>
          <w:iCs w:val="false"/>
        </w:rPr>
        <w:t xml:space="preserve">H2: El grado de disrupción estructural es mayor en las transiciones con cambio de partido/coalición gobernante que en las transiciones de continuidad del mismo partido.</w:t>
      </w:r>
    </w:p>
    <w:p>
      <w:pPr>
        <w:pStyle w:val="Heading1"/>
        <w:spacing w:after="150" w:before="300"/>
      </w:pPr>
      <w:r>
        <w:t xml:space="preserve">4. Objetivos generales y específicos</w:t>
      </w:r>
    </w:p>
    <w:p>
      <w:pPr>
        <w:spacing w:after="160" w:line="276"/>
      </w:pPr>
      <w:r>
        <w:rPr>
          <w:b w:val="false"/>
          <w:bCs w:val="false"/>
          <w:i w:val="false"/>
          <w:iCs w:val="false"/>
        </w:rPr>
        <w:t xml:space="preserve">Objetivo general: Construir y aplicar un protocolo de comparación longitudinal trazable que mida la continuidad/disrupción estructural y nominal entre las diez administraciones cubiertas por el corpus (1990-2030) y contraste esa medida con el recambio partidario.</w:t>
      </w:r>
    </w:p>
    <w:p>
      <w:pPr>
        <w:pStyle w:val="ListParagraph"/>
        <w:numPr>
          <w:ilvl w:val="0"/>
          <w:numId w:val="1"/>
        </w:numPr>
        <w:spacing w:after="80"/>
      </w:pPr>
      <w:r>
        <w:t xml:space="preserve">O1: Registrar el corpus y los diez documentos-plan conforme a un esquema auditable, heredando y verificando el inventario ya producido.</w:t>
      </w:r>
    </w:p>
    <w:p>
      <w:pPr>
        <w:pStyle w:val="ListParagraph"/>
        <w:numPr>
          <w:ilvl w:val="0"/>
          <w:numId w:val="1"/>
        </w:numPr>
        <w:spacing w:after="80"/>
      </w:pPr>
      <w:r>
        <w:t xml:space="preserve">O2: Extraer, con cita de página física, la arquitectura programática declarada por cada plan.</w:t>
      </w:r>
    </w:p>
    <w:p>
      <w:pPr>
        <w:pStyle w:val="ListParagraph"/>
        <w:numPr>
          <w:ilvl w:val="0"/>
          <w:numId w:val="1"/>
        </w:numPr>
        <w:spacing w:after="80"/>
      </w:pPr>
      <w:r>
        <w:t xml:space="preserve">O3: Codificar cada una de las nueve transiciones consecutivas según una tipología de cambio a nivel de dominio de política normalizado.</w:t>
      </w:r>
    </w:p>
    <w:p>
      <w:pPr>
        <w:pStyle w:val="ListParagraph"/>
        <w:numPr>
          <w:ilvl w:val="0"/>
          <w:numId w:val="1"/>
        </w:numPr>
        <w:spacing w:after="80"/>
      </w:pPr>
      <w:r>
        <w:t xml:space="preserve">O4: Buscar y evaluar evidencia textual de referencia explícita al plan/administración anterior y de lenguaje de continuidad o ruptura, distinguiendo uso genérico sectorial de uso referido a la sucesión presidencial.</w:t>
      </w:r>
    </w:p>
    <w:p>
      <w:pPr>
        <w:pStyle w:val="ListParagraph"/>
        <w:numPr>
          <w:ilvl w:val="0"/>
          <w:numId w:val="1"/>
        </w:numPr>
        <w:spacing w:after="80"/>
      </w:pPr>
      <w:r>
        <w:t xml:space="preserve">O5: Relacionar el grado de disrupción estructural por transición con el cambio o continuidad del partido/coalición gobernante.</w:t>
      </w:r>
    </w:p>
    <w:p>
      <w:r>
        <w:br w:type="page"/>
      </w:r>
    </w:p>
    <w:p>
      <w:pPr>
        <w:pStyle w:val="Heading1"/>
        <w:spacing w:after="150" w:before="300"/>
      </w:pPr>
      <w:r>
        <w:t xml:space="preserve">5. Antecedentes</w:t>
      </w:r>
    </w:p>
    <w:p>
      <w:pPr>
        <w:spacing w:after="160" w:line="276"/>
      </w:pPr>
      <w:r>
        <w:rPr>
          <w:b w:val="false"/>
          <w:bCs w:val="false"/>
          <w:i w:val="false"/>
          <w:iCs w:val="false"/>
        </w:rPr>
        <w:t xml:space="preserve">El inventario previo de esta carpeta de trabajo (MANUAL_CORPUS_PND_PNDIP_COSTA_RICA_1990_2030.md, 630 líneas, y PND_CORPUS_PROYECTO.json) documentó, con una regla explícita de evidencia («ninguna afirmación sustantiva debe atribuirse a un plan si no puede vincularse con un archivo y una página física del PDF»), la condición de extracción de los 14 archivos y de la plataforma web 2002-2006, y describió ópticamente la estructura de cada plan. Ese inventario identificó, entre otros hallazgos, que el periodo 1990-2030 está representado sin vacíos, que varios nombres de archivo contienen errores respecto del título interno, y que varios planes recientes remiten contenido a anexos técnicos externos no incluidos en la carpeta. Este análisis retoma esa base íntegramente y añade una comparación longitudinal formal que el inventario no realizaba.</w:t>
      </w:r>
    </w:p>
    <w:p>
      <w:pPr>
        <w:pStyle w:val="Heading1"/>
        <w:spacing w:after="150" w:before="300"/>
      </w:pPr>
      <w:r>
        <w:t xml:space="preserve">6. Metodología</w:t>
      </w:r>
    </w:p>
    <w:p>
      <w:pPr>
        <w:pStyle w:val="Heading3"/>
        <w:spacing w:after="100" w:before="180"/>
      </w:pPr>
      <w:r>
        <w:t xml:space="preserve">6.1 Enfoque y diseño</w:t>
      </w:r>
    </w:p>
    <w:p>
      <w:pPr>
        <w:spacing w:after="160" w:line="276"/>
      </w:pPr>
      <w:r>
        <w:rPr>
          <w:b w:val="false"/>
          <w:bCs w:val="false"/>
          <w:i w:val="false"/>
          <w:iCs w:val="false"/>
        </w:rPr>
        <w:t xml:space="preserve">Diseño mixto: comparación documental longitudinal de nueve transiciones consecutivas entre diez planes oficiales, con codificación cualitativa anclada de la arquitectura programática (codebook 0-4) y síntesis cuantitativa descriptiva. No se realiza inferencia estadística poblacional: el corpus es un censo completo de los planes disponibles, no una muestra.</w:t>
      </w:r>
    </w:p>
    <w:p>
      <w:pPr>
        <w:pStyle w:val="Heading3"/>
        <w:spacing w:after="100" w:before="180"/>
      </w:pPr>
      <w:r>
        <w:t xml:space="preserve">6.2 Corpus</w:t>
      </w:r>
    </w:p>
    <w:p>
      <w:pPr>
        <w:spacing w:after="160" w:line="276"/>
      </w:pPr>
      <w:r>
        <w:rPr>
          <w:b w:val="false"/>
          <w:bCs w:val="false"/>
          <w:i w:val="false"/>
          <w:iCs w:val="false"/>
        </w:rPr>
        <w:t xml:space="preserve">Catorce documentos (13 PDF y una plataforma web archivada), agrupados en diez unidades de análisis (planes/periodo), conforme al manifiesto 02_corpus_manifest.json y al registro 03_document_registry.json. Se excluyó explícitamente PresidentesCR-Cuadros.pdf (no es un PND y contiene erratas documentadas) y los anexos técnicos externos no presentes en la carpeta.</w:t>
      </w:r>
    </w:p>
    <w:p>
      <w:pPr>
        <w:pStyle w:val="Heading3"/>
        <w:spacing w:after="100" w:before="180"/>
      </w:pPr>
      <w:r>
        <w:t xml:space="preserve">6.3 Cobertura, unidades faltantes y comparabilidad</w:t>
      </w:r>
    </w:p>
    <w:p>
      <w:pPr>
        <w:spacing w:after="160" w:line="276"/>
      </w:pPr>
      <w:r>
        <w:rPr>
          <w:b w:val="false"/>
          <w:bCs w:val="false"/>
          <w:i w:val="false"/>
          <w:iCs w:val="false"/>
        </w:rPr>
        <w:t xml:space="preserve">No falta ninguna administración 1990-2030. El corpus cambia de soporte a lo largo del tiempo: escaneo sin texto (1990-1998), OCR previo ruidoso (1998-2002), sitio web jerárquico sin paginación (2002-2006), y texto digital de calidad creciente (2006-2030). Este cambio de soporte se declara como riesgo de comparabilidad explícito y se evita comparar recuentos crudos de páginas o palabras entre esos extremos.</w:t>
      </w:r>
    </w:p>
    <w:p>
      <w:pPr>
        <w:pStyle w:val="Heading3"/>
        <w:spacing w:after="100" w:before="180"/>
      </w:pPr>
      <w:r>
        <w:t xml:space="preserve">6.4 Variables y operacionalización</w:t>
      </w:r>
    </w:p>
    <w:p>
      <w:pPr>
        <w:spacing w:after="160" w:line="276"/>
      </w:pPr>
      <w:r>
        <w:rPr>
          <w:b w:val="false"/>
          <w:bCs w:val="false"/>
          <w:i w:val="false"/>
          <w:iCs w:val="false"/>
        </w:rPr>
        <w:t xml:space="preserve">Se definieron cinco variables (V1-V5): dominio de política normalizado, estado de transición del dominio, continuidad nominal de proyectos/planes, partido o coalición gobernante (variable de contexto externa) y puntuación de disrupción estructural por transición. El detalle operacional está en 01_research_protocol.json.</w:t>
      </w:r>
    </w:p>
    <w:p>
      <w:pPr>
        <w:pStyle w:val="Heading3"/>
        <w:spacing w:after="100" w:before="180"/>
      </w:pPr>
      <w:r>
        <w:t xml:space="preserve">6.5 Técnicas, instrumentos y codebook</w:t>
      </w:r>
    </w:p>
    <w:p>
      <w:pPr>
        <w:spacing w:after="160" w:line="276"/>
      </w:pPr>
      <w:r>
        <w:rPr>
          <w:b w:val="false"/>
          <w:bCs w:val="false"/>
          <w:i w:val="false"/>
          <w:iCs w:val="false"/>
        </w:rPr>
        <w:t xml:space="preserve">Se aplicó un codebook longitudinal (06_longitudinal_codebook.md) con dos dimensiones ordinales 0-4: D1 (disrupción de arquitectura programática) y D2 (continuidad de dominios/proyectos nombrados), cada una con anclas observables y evidencia mínima requerida. La extracción de texto se realizó con pdftotext -layout (poppler-utils) sobre los seis planes born-digital y los tres tomos 1998-2002 con OCR previo; para los cuatro documentos sin capa de texto (1990-1994 ×3, 1994-1998) se heredó la verificación óptica ya documentada por el manual de corpus, sin nueva lectura íntegra en este análisis.</w:t>
      </w:r>
    </w:p>
    <w:p>
      <w:pPr>
        <w:pStyle w:val="Heading3"/>
        <w:spacing w:after="100" w:before="180"/>
      </w:pPr>
      <w:r>
        <w:t xml:space="preserve">6.6 Extracción y control de calidad</w:t>
      </w:r>
    </w:p>
    <w:p>
      <w:pPr>
        <w:spacing w:after="160" w:line="276"/>
      </w:pPr>
      <w:r>
        <w:rPr>
          <w:b w:val="false"/>
          <w:bCs w:val="false"/>
          <w:i w:val="false"/>
          <w:iCs w:val="false"/>
        </w:rPr>
        <w:t xml:space="preserve">Los checksums SHA-256 de los 13 PDF se recalcularon de forma independiente en este análisis (no se copiaron del manual sin verificar) y coincidieron exactamente con los valores ya documentados. Se detectó y documentó una discrepancia de paginación en el PNDIP 2019-2022 (345 saltos de página extraídos por pdftotext frente a 361 páginas físicas confirmadas con pdfinfo); las citas de ese documento se restringieron a páginas donde ambos conteos son consistentes.</w:t>
      </w:r>
    </w:p>
    <w:p>
      <w:pPr>
        <w:pStyle w:val="Heading3"/>
        <w:spacing w:after="100" w:before="180"/>
      </w:pPr>
      <w:r>
        <w:t xml:space="preserve">6.7 Estrategia de análisis y umbrales sustantivos</w:t>
      </w:r>
    </w:p>
    <w:p>
      <w:pPr>
        <w:spacing w:after="160" w:line="276"/>
      </w:pPr>
      <w:r>
        <w:rPr>
          <w:b w:val="false"/>
          <w:bCs w:val="false"/>
          <w:i w:val="false"/>
          <w:iCs w:val="false"/>
        </w:rPr>
        <w:t xml:space="preserve">Se calcularon promedios descriptivos simples de D1 y D2 sobre las nueve transiciones, y se compararon los promedios entre transiciones de continuidad partidaria (n=3) y de cambio de partido (n=5), excluyendo la transición 2026-2030 por no evaluable. El umbral sustantivo predefinido para H2 fue una diferencia de al menos un nivel ordinal completo (de 4) entre ambos grupos.</w:t>
      </w:r>
    </w:p>
    <w:p>
      <w:pPr>
        <w:pStyle w:val="Heading3"/>
        <w:spacing w:after="100" w:before="180"/>
      </w:pPr>
      <w:r>
        <w:t xml:space="preserve">6.8 Validez y fiabilidad</w:t>
      </w:r>
    </w:p>
    <w:p>
      <w:pPr>
        <w:spacing w:after="160" w:line="276"/>
      </w:pPr>
      <w:r>
        <w:rPr>
          <w:b w:val="false"/>
          <w:bCs w:val="false"/>
          <w:i w:val="false"/>
          <w:iCs w:val="false"/>
        </w:rPr>
        <w:t xml:space="preserve">Codificación por un solo investigador (piloto); no se realizó codificación independiente doble ni se calculó un estadístico de acuerdo entre codificadores. Esta es la limitación metodológica más importante del análisis y se declara explícitamente en cada sección relevante.</w:t>
      </w:r>
    </w:p>
    <w:p>
      <w:pPr>
        <w:pStyle w:val="Heading3"/>
        <w:spacing w:after="100" w:before="180"/>
      </w:pPr>
      <w:r>
        <w:t xml:space="preserve">6.9 Consideraciones éticas</w:t>
      </w:r>
    </w:p>
    <w:p>
      <w:pPr>
        <w:spacing w:after="160" w:line="276"/>
      </w:pPr>
      <w:r>
        <w:rPr>
          <w:b w:val="false"/>
          <w:bCs w:val="false"/>
          <w:i w:val="false"/>
          <w:iCs w:val="false"/>
        </w:rPr>
        <w:t xml:space="preserve">No se atribuye responsabilidad política a una persona a partir del nombre honorífico de un plan: los PND/PNDIP de Costa Rica llevan el nombre de una figura histórica dedicatoria (p. ej. Braulio Carrillo Colina, Rogelio Fernández Güell), no del presidente en funciones. La afiliación partidaria usada como variable de contexto (V4) es información pública de dominio histórico-electoral.</w:t>
      </w:r>
    </w:p>
    <w:p>
      <w:r>
        <w:br w:type="page"/>
      </w:r>
    </w:p>
    <w:p>
      <w:pPr>
        <w:pStyle w:val="Heading1"/>
        <w:spacing w:after="150" w:before="300"/>
      </w:pPr>
      <w:r>
        <w:t xml:space="preserve">7. Resultados</w:t>
      </w:r>
    </w:p>
    <w:p>
      <w:pPr>
        <w:pStyle w:val="Heading2"/>
        <w:spacing w:after="120" w:before="240"/>
      </w:pPr>
      <w:r>
        <w:t xml:space="preserve">7.1 Arquitectura programática por periodo</w:t>
      </w:r>
    </w:p>
    <w:p>
      <w:pPr>
        <w:spacing w:after="160" w:line="276"/>
      </w:pPr>
      <w:r>
        <w:rPr>
          <w:b w:val="false"/>
          <w:bCs w:val="false"/>
          <w:i w:val="false"/>
          <w:iCs w:val="false"/>
        </w:rPr>
        <w:t xml:space="preserve">La siguiente tabla resume la unidad organizadora de primer nivel usada por cada uno de los diez planes, tal como el propio documento la presenta (o, para los planes sin capa de texto, tal como la registró la verificación óptica del manual de corpus).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550"/>
        <w:gridCol w:w="3200"/>
      </w:tblGrid>
      <w:tr>
        <w:tc>
          <w:tcPr>
            <w:tcW w:type="dxa" w:w="1600"/>
            <w:shd w:fill="1F3864" w:val="clear"/>
            <w:tcMar>
              <w:top w:type="dxa" w:w="60"/>
              <w:left w:type="dxa" w:w="100"/>
              <w:bottom w:type="dxa" w:w="60"/>
              <w:right w:type="dxa" w:w="100"/>
            </w:tcMar>
          </w:tcPr>
          <w:p>
            <w:r>
              <w:rPr>
                <w:b/>
                <w:bCs/>
                <w:color w:val="FFFFFF"/>
                <w:sz w:val="18"/>
                <w:szCs w:val="18"/>
              </w:rPr>
              <w:t xml:space="preserve">Periodo</w:t>
            </w:r>
          </w:p>
        </w:tc>
        <w:tc>
          <w:tcPr>
            <w:tcW w:type="dxa" w:w="4550"/>
            <w:shd w:fill="1F3864" w:val="clear"/>
            <w:tcMar>
              <w:top w:type="dxa" w:w="60"/>
              <w:left w:type="dxa" w:w="100"/>
              <w:bottom w:type="dxa" w:w="60"/>
              <w:right w:type="dxa" w:w="100"/>
            </w:tcMar>
          </w:tcPr>
          <w:p>
            <w:r>
              <w:rPr>
                <w:b/>
                <w:bCs/>
                <w:color w:val="FFFFFF"/>
                <w:sz w:val="18"/>
                <w:szCs w:val="18"/>
              </w:rPr>
              <w:t xml:space="preserve">Unidad organizadora de primer nivel</w:t>
            </w:r>
          </w:p>
        </w:tc>
        <w:tc>
          <w:tcPr>
            <w:tcW w:type="dxa" w:w="3200"/>
            <w:shd w:fill="1F3864" w:val="clear"/>
            <w:tcMar>
              <w:top w:type="dxa" w:w="60"/>
              <w:left w:type="dxa" w:w="100"/>
              <w:bottom w:type="dxa" w:w="60"/>
              <w:right w:type="dxa" w:w="100"/>
            </w:tcMar>
          </w:tcPr>
          <w:p>
            <w:r>
              <w:rPr>
                <w:b/>
                <w:bCs/>
                <w:color w:val="FFFFFF"/>
                <w:sz w:val="18"/>
                <w:szCs w:val="18"/>
              </w:rPr>
              <w:t xml:space="preserve">Fuente / cita</w:t>
            </w:r>
          </w:p>
        </w:tc>
      </w:tr>
      <w:tr>
        <w:tc>
          <w:tcPr>
            <w:tcW w:type="dxa" w:w="1600"/>
            <w:tcMar>
              <w:top w:type="dxa" w:w="60"/>
              <w:left w:type="dxa" w:w="100"/>
              <w:bottom w:type="dxa" w:w="60"/>
              <w:right w:type="dxa" w:w="100"/>
            </w:tcMar>
          </w:tcPr>
          <w:p>
            <w:r>
              <w:rPr>
                <w:b w:val="false"/>
                <w:bCs w:val="false"/>
                <w:sz w:val="18"/>
                <w:szCs w:val="18"/>
              </w:rPr>
              <w:t xml:space="preserve">1990-1994</w:t>
            </w:r>
          </w:p>
        </w:tc>
        <w:tc>
          <w:tcPr>
            <w:tcW w:type="dxa" w:w="4550"/>
            <w:tcMar>
              <w:top w:type="dxa" w:w="60"/>
              <w:left w:type="dxa" w:w="100"/>
              <w:bottom w:type="dxa" w:w="60"/>
              <w:right w:type="dxa" w:w="100"/>
            </w:tcMar>
          </w:tcPr>
          <w:p>
            <w:r>
              <w:rPr>
                <w:b w:val="false"/>
                <w:bCs w:val="false"/>
                <w:sz w:val="18"/>
                <w:szCs w:val="18"/>
              </w:rPr>
              <w:t xml:space="preserve">4 áreas (+ 6 sectores / 5 intersectoriales, Tomo III)</w:t>
            </w:r>
          </w:p>
        </w:tc>
        <w:tc>
          <w:tcPr>
            <w:tcW w:type="dxa" w:w="3200"/>
            <w:tcMar>
              <w:top w:type="dxa" w:w="60"/>
              <w:left w:type="dxa" w:w="100"/>
              <w:bottom w:type="dxa" w:w="60"/>
              <w:right w:type="dxa" w:w="100"/>
            </w:tcMar>
          </w:tcPr>
          <w:p>
            <w:r>
              <w:rPr>
                <w:b w:val="false"/>
                <w:bCs w:val="false"/>
                <w:sz w:val="18"/>
                <w:szCs w:val="18"/>
              </w:rPr>
              <w:t xml:space="preserve">Manual de corpus §4.1 (verificación óptica)</w:t>
            </w:r>
          </w:p>
        </w:tc>
      </w:tr>
      <w:tr>
        <w:tc>
          <w:tcPr>
            <w:tcW w:type="dxa" w:w="1600"/>
            <w:tcMar>
              <w:top w:type="dxa" w:w="60"/>
              <w:left w:type="dxa" w:w="100"/>
              <w:bottom w:type="dxa" w:w="60"/>
              <w:right w:type="dxa" w:w="100"/>
            </w:tcMar>
          </w:tcPr>
          <w:p>
            <w:r>
              <w:rPr>
                <w:b w:val="false"/>
                <w:bCs w:val="false"/>
                <w:sz w:val="18"/>
                <w:szCs w:val="18"/>
              </w:rPr>
              <w:t xml:space="preserve">1994-1998</w:t>
            </w:r>
          </w:p>
        </w:tc>
        <w:tc>
          <w:tcPr>
            <w:tcW w:type="dxa" w:w="4550"/>
            <w:tcMar>
              <w:top w:type="dxa" w:w="60"/>
              <w:left w:type="dxa" w:w="100"/>
              <w:bottom w:type="dxa" w:w="60"/>
              <w:right w:type="dxa" w:w="100"/>
            </w:tcMar>
          </w:tcPr>
          <w:p>
            <w:r>
              <w:rPr>
                <w:b w:val="false"/>
                <w:bCs w:val="false"/>
                <w:sz w:val="18"/>
                <w:szCs w:val="18"/>
              </w:rPr>
              <w:t xml:space="preserve">5 áreas de estrategia</w:t>
            </w:r>
          </w:p>
        </w:tc>
        <w:tc>
          <w:tcPr>
            <w:tcW w:type="dxa" w:w="3200"/>
            <w:tcMar>
              <w:top w:type="dxa" w:w="60"/>
              <w:left w:type="dxa" w:w="100"/>
              <w:bottom w:type="dxa" w:w="60"/>
              <w:right w:type="dxa" w:w="100"/>
            </w:tcMar>
          </w:tcPr>
          <w:p>
            <w:r>
              <w:rPr>
                <w:b w:val="false"/>
                <w:bCs w:val="false"/>
                <w:sz w:val="18"/>
                <w:szCs w:val="18"/>
              </w:rPr>
              <w:t xml:space="preserve">Manual de corpus §4.2 (verificación óptica)</w:t>
            </w:r>
          </w:p>
        </w:tc>
      </w:tr>
      <w:tr>
        <w:tc>
          <w:tcPr>
            <w:tcW w:type="dxa" w:w="1600"/>
            <w:tcMar>
              <w:top w:type="dxa" w:w="60"/>
              <w:left w:type="dxa" w:w="100"/>
              <w:bottom w:type="dxa" w:w="60"/>
              <w:right w:type="dxa" w:w="100"/>
            </w:tcMar>
          </w:tcPr>
          <w:p>
            <w:r>
              <w:rPr>
                <w:b w:val="false"/>
                <w:bCs w:val="false"/>
                <w:sz w:val="18"/>
                <w:szCs w:val="18"/>
              </w:rPr>
              <w:t xml:space="preserve">1998-2002</w:t>
            </w:r>
          </w:p>
        </w:tc>
        <w:tc>
          <w:tcPr>
            <w:tcW w:type="dxa" w:w="4550"/>
            <w:tcMar>
              <w:top w:type="dxa" w:w="60"/>
              <w:left w:type="dxa" w:w="100"/>
              <w:bottom w:type="dxa" w:w="60"/>
              <w:right w:type="dxa" w:w="100"/>
            </w:tcMar>
          </w:tcPr>
          <w:p>
            <w:r>
              <w:rPr>
                <w:b w:val="false"/>
                <w:bCs w:val="false"/>
                <w:sz w:val="18"/>
                <w:szCs w:val="18"/>
              </w:rPr>
              <w:t xml:space="preserve">8 agrupaciones sectoriales/de “capital”</w:t>
            </w:r>
          </w:p>
        </w:tc>
        <w:tc>
          <w:tcPr>
            <w:tcW w:type="dxa" w:w="3200"/>
            <w:tcMar>
              <w:top w:type="dxa" w:w="60"/>
              <w:left w:type="dxa" w:w="100"/>
              <w:bottom w:type="dxa" w:w="60"/>
              <w:right w:type="dxa" w:w="100"/>
            </w:tcMar>
          </w:tcPr>
          <w:p>
            <w:r>
              <w:rPr>
                <w:b w:val="false"/>
                <w:bCs w:val="false"/>
                <w:sz w:val="18"/>
                <w:szCs w:val="18"/>
              </w:rPr>
              <w:t xml:space="preserve">Manual de corpus §4.3 (OCR previo)</w:t>
            </w:r>
          </w:p>
        </w:tc>
      </w:tr>
      <w:tr>
        <w:tc>
          <w:tcPr>
            <w:tcW w:type="dxa" w:w="1600"/>
            <w:tcMar>
              <w:top w:type="dxa" w:w="60"/>
              <w:left w:type="dxa" w:w="100"/>
              <w:bottom w:type="dxa" w:w="60"/>
              <w:right w:type="dxa" w:w="100"/>
            </w:tcMar>
          </w:tcPr>
          <w:p>
            <w:r>
              <w:rPr>
                <w:b w:val="false"/>
                <w:bCs w:val="false"/>
                <w:sz w:val="18"/>
                <w:szCs w:val="18"/>
              </w:rPr>
              <w:t xml:space="preserve">2002-2006</w:t>
            </w:r>
          </w:p>
        </w:tc>
        <w:tc>
          <w:tcPr>
            <w:tcW w:type="dxa" w:w="4550"/>
            <w:tcMar>
              <w:top w:type="dxa" w:w="60"/>
              <w:left w:type="dxa" w:w="100"/>
              <w:bottom w:type="dxa" w:w="60"/>
              <w:right w:type="dxa" w:w="100"/>
            </w:tcMar>
          </w:tcPr>
          <w:p>
            <w:r>
              <w:rPr>
                <w:b w:val="false"/>
                <w:bCs w:val="false"/>
                <w:sz w:val="18"/>
                <w:szCs w:val="18"/>
              </w:rPr>
              <w:t xml:space="preserve">5 ejes</w:t>
            </w:r>
          </w:p>
        </w:tc>
        <w:tc>
          <w:tcPr>
            <w:tcW w:type="dxa" w:w="3200"/>
            <w:tcMar>
              <w:top w:type="dxa" w:w="60"/>
              <w:left w:type="dxa" w:w="100"/>
              <w:bottom w:type="dxa" w:w="60"/>
              <w:right w:type="dxa" w:w="100"/>
            </w:tcMar>
          </w:tcPr>
          <w:p>
            <w:r>
              <w:rPr>
                <w:b w:val="false"/>
                <w:bCs w:val="false"/>
                <w:sz w:val="18"/>
                <w:szCs w:val="18"/>
              </w:rPr>
              <w:t xml:space="preserve">Manual §4.4 + carpetas de primer nivel del sitio archivado</w:t>
            </w:r>
          </w:p>
        </w:tc>
      </w:tr>
      <w:tr>
        <w:tc>
          <w:tcPr>
            <w:tcW w:type="dxa" w:w="1600"/>
            <w:tcMar>
              <w:top w:type="dxa" w:w="60"/>
              <w:left w:type="dxa" w:w="100"/>
              <w:bottom w:type="dxa" w:w="60"/>
              <w:right w:type="dxa" w:w="100"/>
            </w:tcMar>
          </w:tcPr>
          <w:p>
            <w:r>
              <w:rPr>
                <w:b w:val="false"/>
                <w:bCs w:val="false"/>
                <w:sz w:val="18"/>
                <w:szCs w:val="18"/>
              </w:rPr>
              <w:t xml:space="preserve">2006-2010</w:t>
            </w:r>
          </w:p>
        </w:tc>
        <w:tc>
          <w:tcPr>
            <w:tcW w:type="dxa" w:w="4550"/>
            <w:tcMar>
              <w:top w:type="dxa" w:w="60"/>
              <w:left w:type="dxa" w:w="100"/>
              <w:bottom w:type="dxa" w:w="60"/>
              <w:right w:type="dxa" w:w="100"/>
            </w:tcMar>
          </w:tcPr>
          <w:p>
            <w:r>
              <w:rPr>
                <w:b w:val="false"/>
                <w:bCs w:val="false"/>
                <w:sz w:val="18"/>
                <w:szCs w:val="18"/>
              </w:rPr>
              <w:t xml:space="preserve">5 ejes</w:t>
            </w:r>
          </w:p>
        </w:tc>
        <w:tc>
          <w:tcPr>
            <w:tcW w:type="dxa" w:w="3200"/>
            <w:tcMar>
              <w:top w:type="dxa" w:w="60"/>
              <w:left w:type="dxa" w:w="100"/>
              <w:bottom w:type="dxa" w:w="60"/>
              <w:right w:type="dxa" w:w="100"/>
            </w:tcMar>
          </w:tcPr>
          <w:p>
            <w:r>
              <w:rPr>
                <w:b w:val="false"/>
                <w:bCs w:val="false"/>
                <w:sz w:val="18"/>
                <w:szCs w:val="18"/>
              </w:rPr>
              <w:t xml:space="preserve">p.13 (pdftotext -layout)</w:t>
            </w:r>
          </w:p>
        </w:tc>
      </w:tr>
      <w:tr>
        <w:tc>
          <w:tcPr>
            <w:tcW w:type="dxa" w:w="1600"/>
            <w:tcMar>
              <w:top w:type="dxa" w:w="60"/>
              <w:left w:type="dxa" w:w="100"/>
              <w:bottom w:type="dxa" w:w="60"/>
              <w:right w:type="dxa" w:w="100"/>
            </w:tcMar>
          </w:tcPr>
          <w:p>
            <w:r>
              <w:rPr>
                <w:b w:val="false"/>
                <w:bCs w:val="false"/>
                <w:sz w:val="18"/>
                <w:szCs w:val="18"/>
              </w:rPr>
              <w:t xml:space="preserve">2011-2014</w:t>
            </w:r>
          </w:p>
        </w:tc>
        <w:tc>
          <w:tcPr>
            <w:tcW w:type="dxa" w:w="4550"/>
            <w:tcMar>
              <w:top w:type="dxa" w:w="60"/>
              <w:left w:type="dxa" w:w="100"/>
              <w:bottom w:type="dxa" w:w="60"/>
              <w:right w:type="dxa" w:w="100"/>
            </w:tcMar>
          </w:tcPr>
          <w:p>
            <w:r>
              <w:rPr>
                <w:b w:val="false"/>
                <w:bCs w:val="false"/>
                <w:sz w:val="18"/>
                <w:szCs w:val="18"/>
              </w:rPr>
              <w:t xml:space="preserve">4 capítulos temáticos centrales</w:t>
            </w:r>
          </w:p>
        </w:tc>
        <w:tc>
          <w:tcPr>
            <w:tcW w:type="dxa" w:w="3200"/>
            <w:tcMar>
              <w:top w:type="dxa" w:w="60"/>
              <w:left w:type="dxa" w:w="100"/>
              <w:bottom w:type="dxa" w:w="60"/>
              <w:right w:type="dxa" w:w="100"/>
            </w:tcMar>
          </w:tcPr>
          <w:p>
            <w:r>
              <w:rPr>
                <w:b w:val="false"/>
                <w:bCs w:val="false"/>
                <w:sz w:val="18"/>
                <w:szCs w:val="18"/>
              </w:rPr>
              <w:t xml:space="preserve">p.7 (pdftotext -layout)</w:t>
            </w:r>
          </w:p>
        </w:tc>
      </w:tr>
      <w:tr>
        <w:tc>
          <w:tcPr>
            <w:tcW w:type="dxa" w:w="1600"/>
            <w:tcMar>
              <w:top w:type="dxa" w:w="60"/>
              <w:left w:type="dxa" w:w="100"/>
              <w:bottom w:type="dxa" w:w="60"/>
              <w:right w:type="dxa" w:w="100"/>
            </w:tcMar>
          </w:tcPr>
          <w:p>
            <w:r>
              <w:rPr>
                <w:b w:val="false"/>
                <w:bCs w:val="false"/>
                <w:sz w:val="18"/>
                <w:szCs w:val="18"/>
              </w:rPr>
              <w:t xml:space="preserve">2015-2018</w:t>
            </w:r>
          </w:p>
        </w:tc>
        <w:tc>
          <w:tcPr>
            <w:tcW w:type="dxa" w:w="4550"/>
            <w:tcMar>
              <w:top w:type="dxa" w:w="60"/>
              <w:left w:type="dxa" w:w="100"/>
              <w:bottom w:type="dxa" w:w="60"/>
              <w:right w:type="dxa" w:w="100"/>
            </w:tcMar>
          </w:tcPr>
          <w:p>
            <w:r>
              <w:rPr>
                <w:b w:val="false"/>
                <w:bCs w:val="false"/>
                <w:sz w:val="18"/>
                <w:szCs w:val="18"/>
              </w:rPr>
              <w:t xml:space="preserve">16 sectores institucionales</w:t>
            </w:r>
          </w:p>
        </w:tc>
        <w:tc>
          <w:tcPr>
            <w:tcW w:type="dxa" w:w="3200"/>
            <w:tcMar>
              <w:top w:type="dxa" w:w="60"/>
              <w:left w:type="dxa" w:w="100"/>
              <w:bottom w:type="dxa" w:w="60"/>
              <w:right w:type="dxa" w:w="100"/>
            </w:tcMar>
          </w:tcPr>
          <w:p>
            <w:r>
              <w:rPr>
                <w:b w:val="false"/>
                <w:bCs w:val="false"/>
                <w:sz w:val="18"/>
                <w:szCs w:val="18"/>
              </w:rPr>
              <w:t xml:space="preserve">p.3 (pdftotext -layout)</w:t>
            </w:r>
          </w:p>
        </w:tc>
      </w:tr>
      <w:tr>
        <w:tc>
          <w:tcPr>
            <w:tcW w:type="dxa" w:w="1600"/>
            <w:tcMar>
              <w:top w:type="dxa" w:w="60"/>
              <w:left w:type="dxa" w:w="100"/>
              <w:bottom w:type="dxa" w:w="60"/>
              <w:right w:type="dxa" w:w="100"/>
            </w:tcMar>
          </w:tcPr>
          <w:p>
            <w:r>
              <w:rPr>
                <w:b w:val="false"/>
                <w:bCs w:val="false"/>
                <w:sz w:val="18"/>
                <w:szCs w:val="18"/>
              </w:rPr>
              <w:t xml:space="preserve">2019-2022</w:t>
            </w:r>
          </w:p>
        </w:tc>
        <w:tc>
          <w:tcPr>
            <w:tcW w:type="dxa" w:w="4550"/>
            <w:tcMar>
              <w:top w:type="dxa" w:w="60"/>
              <w:left w:type="dxa" w:w="100"/>
              <w:bottom w:type="dxa" w:w="60"/>
              <w:right w:type="dxa" w:w="100"/>
            </w:tcMar>
          </w:tcPr>
          <w:p>
            <w:r>
              <w:rPr>
                <w:b w:val="false"/>
                <w:bCs w:val="false"/>
                <w:sz w:val="18"/>
                <w:szCs w:val="18"/>
              </w:rPr>
              <w:t xml:space="preserve">7 áreas de articulación presidencial</w:t>
            </w:r>
          </w:p>
        </w:tc>
        <w:tc>
          <w:tcPr>
            <w:tcW w:type="dxa" w:w="3200"/>
            <w:tcMar>
              <w:top w:type="dxa" w:w="60"/>
              <w:left w:type="dxa" w:w="100"/>
              <w:bottom w:type="dxa" w:w="60"/>
              <w:right w:type="dxa" w:w="100"/>
            </w:tcMar>
          </w:tcPr>
          <w:p>
            <w:r>
              <w:rPr>
                <w:b w:val="false"/>
                <w:bCs w:val="false"/>
                <w:sz w:val="18"/>
                <w:szCs w:val="18"/>
              </w:rPr>
              <w:t xml:space="preserve">p.15 (pdftotext -layout)</w:t>
            </w:r>
          </w:p>
        </w:tc>
      </w:tr>
      <w:tr>
        <w:tc>
          <w:tcPr>
            <w:tcW w:type="dxa" w:w="1600"/>
            <w:tcMar>
              <w:top w:type="dxa" w:w="60"/>
              <w:left w:type="dxa" w:w="100"/>
              <w:bottom w:type="dxa" w:w="60"/>
              <w:right w:type="dxa" w:w="100"/>
            </w:tcMar>
          </w:tcPr>
          <w:p>
            <w:r>
              <w:rPr>
                <w:b w:val="false"/>
                <w:bCs w:val="false"/>
                <w:sz w:val="18"/>
                <w:szCs w:val="18"/>
              </w:rPr>
              <w:t xml:space="preserve">2023-2026</w:t>
            </w:r>
          </w:p>
        </w:tc>
        <w:tc>
          <w:tcPr>
            <w:tcW w:type="dxa" w:w="4550"/>
            <w:tcMar>
              <w:top w:type="dxa" w:w="60"/>
              <w:left w:type="dxa" w:w="100"/>
              <w:bottom w:type="dxa" w:w="60"/>
              <w:right w:type="dxa" w:w="100"/>
            </w:tcMar>
          </w:tcPr>
          <w:p>
            <w:r>
              <w:rPr>
                <w:b w:val="false"/>
                <w:bCs w:val="false"/>
                <w:sz w:val="18"/>
                <w:szCs w:val="18"/>
              </w:rPr>
              <w:t xml:space="preserve">13 sectores</w:t>
            </w:r>
          </w:p>
        </w:tc>
        <w:tc>
          <w:tcPr>
            <w:tcW w:type="dxa" w:w="3200"/>
            <w:tcMar>
              <w:top w:type="dxa" w:w="60"/>
              <w:left w:type="dxa" w:w="100"/>
              <w:bottom w:type="dxa" w:w="60"/>
              <w:right w:type="dxa" w:w="100"/>
            </w:tcMar>
          </w:tcPr>
          <w:p>
            <w:r>
              <w:rPr>
                <w:b w:val="false"/>
                <w:bCs w:val="false"/>
                <w:sz w:val="18"/>
                <w:szCs w:val="18"/>
              </w:rPr>
              <w:t xml:space="preserve">p.5 (pdftotext -layout)</w:t>
            </w:r>
          </w:p>
        </w:tc>
      </w:tr>
      <w:tr>
        <w:tc>
          <w:tcPr>
            <w:tcW w:type="dxa" w:w="1600"/>
            <w:tcMar>
              <w:top w:type="dxa" w:w="60"/>
              <w:left w:type="dxa" w:w="100"/>
              <w:bottom w:type="dxa" w:w="60"/>
              <w:right w:type="dxa" w:w="100"/>
            </w:tcMar>
          </w:tcPr>
          <w:p>
            <w:r>
              <w:rPr>
                <w:b w:val="false"/>
                <w:bCs w:val="false"/>
                <w:sz w:val="18"/>
                <w:szCs w:val="18"/>
              </w:rPr>
              <w:t xml:space="preserve">2027-2030</w:t>
            </w:r>
          </w:p>
        </w:tc>
        <w:tc>
          <w:tcPr>
            <w:tcW w:type="dxa" w:w="4550"/>
            <w:tcMar>
              <w:top w:type="dxa" w:w="60"/>
              <w:left w:type="dxa" w:w="100"/>
              <w:bottom w:type="dxa" w:w="60"/>
              <w:right w:type="dxa" w:w="100"/>
            </w:tcMar>
          </w:tcPr>
          <w:p>
            <w:r>
              <w:rPr>
                <w:b w:val="false"/>
                <w:bCs w:val="false"/>
                <w:sz w:val="18"/>
                <w:szCs w:val="18"/>
              </w:rPr>
              <w:t xml:space="preserve">13 sectores</w:t>
            </w:r>
          </w:p>
        </w:tc>
        <w:tc>
          <w:tcPr>
            <w:tcW w:type="dxa" w:w="3200"/>
            <w:tcMar>
              <w:top w:type="dxa" w:w="60"/>
              <w:left w:type="dxa" w:w="100"/>
              <w:bottom w:type="dxa" w:w="60"/>
              <w:right w:type="dxa" w:w="100"/>
            </w:tcMar>
          </w:tcPr>
          <w:p>
            <w:r>
              <w:rPr>
                <w:b w:val="false"/>
                <w:bCs w:val="false"/>
                <w:sz w:val="18"/>
                <w:szCs w:val="18"/>
              </w:rPr>
              <w:t xml:space="preserve">p.4 (pdftotext -layout)</w:t>
            </w:r>
          </w:p>
        </w:tc>
      </w:tr>
    </w:tbl>
    <w:p>
      <w:pPr>
        <w:spacing w:after="200"/>
      </w:pPr>
    </w:p>
    <w:p>
      <w:pPr>
        <w:pStyle w:val="Heading2"/>
        <w:spacing w:after="120" w:before="240"/>
      </w:pPr>
      <w:r>
        <w:t xml:space="preserve">7.2 Puntuaciones por transición</w:t>
      </w:r>
    </w:p>
    <w:p>
      <w:pPr>
        <w:spacing w:after="160" w:line="276"/>
      </w:pPr>
      <w:r>
        <w:rPr>
          <w:b w:val="false"/>
          <w:bCs w:val="false"/>
          <w:i w:val="false"/>
          <w:iCs w:val="false"/>
        </w:rPr>
        <w:t xml:space="preserve">D1 = disrupción de arquitectura programática (0 = sin cambio, 4 = cambio máximo). D2 = disrupción de dominios/proyectos nombrados (0 = continuidad plena, 4 = discontinuación mayoritaria). Ambas en la escala anclada del codebook (06_longitudinal_codebook.md).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700"/>
        <w:gridCol w:w="700"/>
        <w:gridCol w:w="2650"/>
      </w:tblGrid>
      <w:tr>
        <w:tc>
          <w:tcPr>
            <w:tcW w:type="dxa" w:w="700"/>
            <w:shd w:fill="1F3864" w:val="clear"/>
            <w:tcMar>
              <w:top w:type="dxa" w:w="60"/>
              <w:left w:type="dxa" w:w="100"/>
              <w:bottom w:type="dxa" w:w="60"/>
              <w:right w:type="dxa" w:w="100"/>
            </w:tcMar>
          </w:tcPr>
          <w:p>
            <w:r>
              <w:rPr>
                <w:b/>
                <w:bCs/>
                <w:color w:val="FFFFFF"/>
                <w:sz w:val="18"/>
                <w:szCs w:val="18"/>
              </w:rPr>
              <w:t xml:space="preserve">ID</w:t>
            </w:r>
          </w:p>
        </w:tc>
        <w:tc>
          <w:tcPr>
            <w:tcW w:type="dxa" w:w="2400"/>
            <w:shd w:fill="1F3864" w:val="clear"/>
            <w:tcMar>
              <w:top w:type="dxa" w:w="60"/>
              <w:left w:type="dxa" w:w="100"/>
              <w:bottom w:type="dxa" w:w="60"/>
              <w:right w:type="dxa" w:w="100"/>
            </w:tcMar>
          </w:tcPr>
          <w:p>
            <w:r>
              <w:rPr>
                <w:b/>
                <w:bCs/>
                <w:color w:val="FFFFFF"/>
                <w:sz w:val="18"/>
                <w:szCs w:val="18"/>
              </w:rPr>
              <w:t xml:space="preserve">Transición</w:t>
            </w:r>
          </w:p>
        </w:tc>
        <w:tc>
          <w:tcPr>
            <w:tcW w:type="dxa" w:w="2200"/>
            <w:shd w:fill="1F3864" w:val="clear"/>
            <w:tcMar>
              <w:top w:type="dxa" w:w="60"/>
              <w:left w:type="dxa" w:w="100"/>
              <w:bottom w:type="dxa" w:w="60"/>
              <w:right w:type="dxa" w:w="100"/>
            </w:tcMar>
          </w:tcPr>
          <w:p>
            <w:r>
              <w:rPr>
                <w:b/>
                <w:bCs/>
                <w:color w:val="FFFFFF"/>
                <w:sz w:val="18"/>
                <w:szCs w:val="18"/>
              </w:rPr>
              <w:t xml:space="preserve">Partido</w:t>
            </w:r>
          </w:p>
        </w:tc>
        <w:tc>
          <w:tcPr>
            <w:tcW w:type="dxa" w:w="700"/>
            <w:shd w:fill="1F3864" w:val="clear"/>
            <w:tcMar>
              <w:top w:type="dxa" w:w="60"/>
              <w:left w:type="dxa" w:w="100"/>
              <w:bottom w:type="dxa" w:w="60"/>
              <w:right w:type="dxa" w:w="100"/>
            </w:tcMar>
          </w:tcPr>
          <w:p>
            <w:r>
              <w:rPr>
                <w:b/>
                <w:bCs/>
                <w:color w:val="FFFFFF"/>
                <w:sz w:val="18"/>
                <w:szCs w:val="18"/>
              </w:rPr>
              <w:t xml:space="preserve">D1</w:t>
            </w:r>
          </w:p>
        </w:tc>
        <w:tc>
          <w:tcPr>
            <w:tcW w:type="dxa" w:w="700"/>
            <w:shd w:fill="1F3864" w:val="clear"/>
            <w:tcMar>
              <w:top w:type="dxa" w:w="60"/>
              <w:left w:type="dxa" w:w="100"/>
              <w:bottom w:type="dxa" w:w="60"/>
              <w:right w:type="dxa" w:w="100"/>
            </w:tcMar>
          </w:tcPr>
          <w:p>
            <w:r>
              <w:rPr>
                <w:b/>
                <w:bCs/>
                <w:color w:val="FFFFFF"/>
                <w:sz w:val="18"/>
                <w:szCs w:val="18"/>
              </w:rPr>
              <w:t xml:space="preserve">D2</w:t>
            </w:r>
          </w:p>
        </w:tc>
        <w:tc>
          <w:tcPr>
            <w:tcW w:type="dxa" w:w="2650"/>
            <w:shd w:fill="1F3864" w:val="clear"/>
            <w:tcMar>
              <w:top w:type="dxa" w:w="60"/>
              <w:left w:type="dxa" w:w="100"/>
              <w:bottom w:type="dxa" w:w="60"/>
              <w:right w:type="dxa" w:w="100"/>
            </w:tcMar>
          </w:tcPr>
          <w:p>
            <w:r>
              <w:rPr>
                <w:b/>
                <w:bCs/>
                <w:color w:val="FFFFFF"/>
                <w:sz w:val="16"/>
                <w:szCs w:val="16"/>
              </w:rPr>
              <w:t xml:space="preserve">Hallazgo clave</w:t>
            </w:r>
          </w:p>
        </w:tc>
      </w:tr>
      <w:tr>
        <w:tc>
          <w:tcPr>
            <w:tcW w:type="dxa" w:w="700"/>
            <w:tcMar>
              <w:top w:type="dxa" w:w="60"/>
              <w:left w:type="dxa" w:w="100"/>
              <w:bottom w:type="dxa" w:w="60"/>
              <w:right w:type="dxa" w:w="100"/>
            </w:tcMar>
          </w:tcPr>
          <w:p>
            <w:r>
              <w:rPr>
                <w:b w:val="false"/>
                <w:bCs w:val="false"/>
                <w:sz w:val="18"/>
                <w:szCs w:val="18"/>
              </w:rPr>
              <w:t xml:space="preserve">T1</w:t>
            </w:r>
          </w:p>
        </w:tc>
        <w:tc>
          <w:tcPr>
            <w:tcW w:type="dxa" w:w="2400"/>
            <w:tcMar>
              <w:top w:type="dxa" w:w="60"/>
              <w:left w:type="dxa" w:w="100"/>
              <w:bottom w:type="dxa" w:w="60"/>
              <w:right w:type="dxa" w:w="100"/>
            </w:tcMar>
          </w:tcPr>
          <w:p>
            <w:r>
              <w:rPr>
                <w:b w:val="false"/>
                <w:bCs w:val="false"/>
                <w:sz w:val="16"/>
                <w:szCs w:val="16"/>
              </w:rPr>
              <w:t xml:space="preserve">1990-1994 → 1994-1998</w:t>
            </w:r>
          </w:p>
        </w:tc>
        <w:tc>
          <w:tcPr>
            <w:tcW w:type="dxa" w:w="2200"/>
            <w:tcMar>
              <w:top w:type="dxa" w:w="60"/>
              <w:left w:type="dxa" w:w="100"/>
              <w:bottom w:type="dxa" w:w="60"/>
              <w:right w:type="dxa" w:w="100"/>
            </w:tcMar>
          </w:tcPr>
          <w:p>
            <w:r>
              <w:rPr>
                <w:b w:val="false"/>
                <w:bCs w:val="false"/>
                <w:sz w:val="16"/>
                <w:szCs w:val="16"/>
              </w:rPr>
              <w:t xml:space="preserve">Cambio (PUSC→PLN)</w:t>
            </w:r>
          </w:p>
        </w:tc>
        <w:tc>
          <w:tcPr>
            <w:tcW w:type="dxa" w:w="700"/>
            <w:tcMar>
              <w:top w:type="dxa" w:w="60"/>
              <w:left w:type="dxa" w:w="100"/>
              <w:bottom w:type="dxa" w:w="60"/>
              <w:right w:type="dxa" w:w="100"/>
            </w:tcMar>
          </w:tcPr>
          <w:p>
            <w:r>
              <w:rPr>
                <w:b w:val="false"/>
                <w:bCs w:val="false"/>
                <w:sz w:val="18"/>
                <w:szCs w:val="18"/>
              </w:rPr>
              <w:t xml:space="preserve">1</w:t>
            </w:r>
          </w:p>
        </w:tc>
        <w:tc>
          <w:tcPr>
            <w:tcW w:type="dxa" w:w="700"/>
            <w:tcMar>
              <w:top w:type="dxa" w:w="60"/>
              <w:left w:type="dxa" w:w="100"/>
              <w:bottom w:type="dxa" w:w="60"/>
              <w:right w:type="dxa" w:w="100"/>
            </w:tcMar>
          </w:tcPr>
          <w:p>
            <w:r>
              <w:rPr>
                <w:b w:val="false"/>
                <w:bCs w:val="false"/>
                <w:sz w:val="18"/>
                <w:szCs w:val="18"/>
              </w:rPr>
              <w:t xml:space="preserve">1</w:t>
            </w:r>
          </w:p>
        </w:tc>
        <w:tc>
          <w:tcPr>
            <w:tcW w:type="dxa" w:w="2650"/>
            <w:tcMar>
              <w:top w:type="dxa" w:w="60"/>
              <w:left w:type="dxa" w:w="100"/>
              <w:bottom w:type="dxa" w:w="60"/>
              <w:right w:type="dxa" w:w="100"/>
            </w:tcMar>
          </w:tcPr>
          <w:p>
            <w:r>
              <w:rPr>
                <w:b w:val="false"/>
                <w:bCs w:val="false"/>
                <w:sz w:val="15"/>
                <w:szCs w:val="15"/>
              </w:rPr>
              <w:t xml:space="preserve">Misma etiqueta organizadora ('área'); las 4 áreas de 1990-1994 tienen correspondiente reconocible en las 5 áreas de 1994-1998. 'Gobernabilidad' aparece como área explícita nueva.</w:t>
            </w:r>
          </w:p>
        </w:tc>
      </w:tr>
      <w:tr>
        <w:tc>
          <w:tcPr>
            <w:tcW w:type="dxa" w:w="700"/>
            <w:tcMar>
              <w:top w:type="dxa" w:w="60"/>
              <w:left w:type="dxa" w:w="100"/>
              <w:bottom w:type="dxa" w:w="60"/>
              <w:right w:type="dxa" w:w="100"/>
            </w:tcMar>
          </w:tcPr>
          <w:p>
            <w:r>
              <w:rPr>
                <w:b w:val="false"/>
                <w:bCs w:val="false"/>
                <w:sz w:val="18"/>
                <w:szCs w:val="18"/>
              </w:rPr>
              <w:t xml:space="preserve">T2</w:t>
            </w:r>
          </w:p>
        </w:tc>
        <w:tc>
          <w:tcPr>
            <w:tcW w:type="dxa" w:w="2400"/>
            <w:tcMar>
              <w:top w:type="dxa" w:w="60"/>
              <w:left w:type="dxa" w:w="100"/>
              <w:bottom w:type="dxa" w:w="60"/>
              <w:right w:type="dxa" w:w="100"/>
            </w:tcMar>
          </w:tcPr>
          <w:p>
            <w:r>
              <w:rPr>
                <w:b w:val="false"/>
                <w:bCs w:val="false"/>
                <w:sz w:val="16"/>
                <w:szCs w:val="16"/>
              </w:rPr>
              <w:t xml:space="preserve">1994-1998 → 1998-2002</w:t>
            </w:r>
          </w:p>
        </w:tc>
        <w:tc>
          <w:tcPr>
            <w:tcW w:type="dxa" w:w="2200"/>
            <w:tcMar>
              <w:top w:type="dxa" w:w="60"/>
              <w:left w:type="dxa" w:w="100"/>
              <w:bottom w:type="dxa" w:w="60"/>
              <w:right w:type="dxa" w:w="100"/>
            </w:tcMar>
          </w:tcPr>
          <w:p>
            <w:r>
              <w:rPr>
                <w:b w:val="false"/>
                <w:bCs w:val="false"/>
                <w:sz w:val="16"/>
                <w:szCs w:val="16"/>
              </w:rPr>
              <w:t xml:space="preserve">Cambio (PLN→PUSC)</w:t>
            </w:r>
          </w:p>
        </w:tc>
        <w:tc>
          <w:tcPr>
            <w:tcW w:type="dxa" w:w="700"/>
            <w:tcMar>
              <w:top w:type="dxa" w:w="60"/>
              <w:left w:type="dxa" w:w="100"/>
              <w:bottom w:type="dxa" w:w="60"/>
              <w:right w:type="dxa" w:w="100"/>
            </w:tcMar>
          </w:tcPr>
          <w:p>
            <w:r>
              <w:rPr>
                <w:b w:val="false"/>
                <w:bCs w:val="false"/>
                <w:sz w:val="18"/>
                <w:szCs w:val="18"/>
              </w:rPr>
              <w:t xml:space="preserve">3</w:t>
            </w:r>
          </w:p>
        </w:tc>
        <w:tc>
          <w:tcPr>
            <w:tcW w:type="dxa" w:w="700"/>
            <w:tcMar>
              <w:top w:type="dxa" w:w="60"/>
              <w:left w:type="dxa" w:w="100"/>
              <w:bottom w:type="dxa" w:w="60"/>
              <w:right w:type="dxa" w:w="100"/>
            </w:tcMar>
          </w:tcPr>
          <w:p>
            <w:r>
              <w:rPr>
                <w:b w:val="false"/>
                <w:bCs w:val="false"/>
                <w:sz w:val="18"/>
                <w:szCs w:val="18"/>
              </w:rPr>
              <w:t xml:space="preserve">2</w:t>
            </w:r>
          </w:p>
        </w:tc>
        <w:tc>
          <w:tcPr>
            <w:tcW w:type="dxa" w:w="2650"/>
            <w:tcMar>
              <w:top w:type="dxa" w:w="60"/>
              <w:left w:type="dxa" w:w="100"/>
              <w:bottom w:type="dxa" w:w="60"/>
              <w:right w:type="dxa" w:w="100"/>
            </w:tcMar>
          </w:tcPr>
          <w:p>
            <w:r>
              <w:rPr>
                <w:b w:val="false"/>
                <w:bCs w:val="false"/>
                <w:sz w:val="15"/>
                <w:szCs w:val="15"/>
              </w:rPr>
              <w:t xml:space="preserve">Cambio de vocabulario a un marco de 'capital' (humano, natural) propio del PNDH. 'Renovación Institucional y Moral' y 'Gobernabilidad' no tienen sucesor reconocible como unidad de primer nivel.</w:t>
            </w:r>
          </w:p>
        </w:tc>
      </w:tr>
      <w:tr>
        <w:tc>
          <w:tcPr>
            <w:tcW w:type="dxa" w:w="700"/>
            <w:tcMar>
              <w:top w:type="dxa" w:w="60"/>
              <w:left w:type="dxa" w:w="100"/>
              <w:bottom w:type="dxa" w:w="60"/>
              <w:right w:type="dxa" w:w="100"/>
            </w:tcMar>
          </w:tcPr>
          <w:p>
            <w:r>
              <w:rPr>
                <w:b w:val="false"/>
                <w:bCs w:val="false"/>
                <w:sz w:val="18"/>
                <w:szCs w:val="18"/>
              </w:rPr>
              <w:t xml:space="preserve">T3</w:t>
            </w:r>
          </w:p>
        </w:tc>
        <w:tc>
          <w:tcPr>
            <w:tcW w:type="dxa" w:w="2400"/>
            <w:tcMar>
              <w:top w:type="dxa" w:w="60"/>
              <w:left w:type="dxa" w:w="100"/>
              <w:bottom w:type="dxa" w:w="60"/>
              <w:right w:type="dxa" w:w="100"/>
            </w:tcMar>
          </w:tcPr>
          <w:p>
            <w:r>
              <w:rPr>
                <w:b w:val="false"/>
                <w:bCs w:val="false"/>
                <w:sz w:val="16"/>
                <w:szCs w:val="16"/>
              </w:rPr>
              <w:t xml:space="preserve">1998-2002 → 2002-2006</w:t>
            </w:r>
          </w:p>
        </w:tc>
        <w:tc>
          <w:tcPr>
            <w:tcW w:type="dxa" w:w="2200"/>
            <w:tcMar>
              <w:top w:type="dxa" w:w="60"/>
              <w:left w:type="dxa" w:w="100"/>
              <w:bottom w:type="dxa" w:w="60"/>
              <w:right w:type="dxa" w:w="100"/>
            </w:tcMar>
          </w:tcPr>
          <w:p>
            <w:r>
              <w:rPr>
                <w:b w:val="false"/>
                <w:bCs w:val="false"/>
                <w:sz w:val="16"/>
                <w:szCs w:val="16"/>
              </w:rPr>
              <w:t xml:space="preserve">Continuidad (PUSC)</w:t>
            </w:r>
          </w:p>
        </w:tc>
        <w:tc>
          <w:tcPr>
            <w:tcW w:type="dxa" w:w="700"/>
            <w:tcMar>
              <w:top w:type="dxa" w:w="60"/>
              <w:left w:type="dxa" w:w="100"/>
              <w:bottom w:type="dxa" w:w="60"/>
              <w:right w:type="dxa" w:w="100"/>
            </w:tcMar>
          </w:tcPr>
          <w:p>
            <w:r>
              <w:rPr>
                <w:b w:val="false"/>
                <w:bCs w:val="false"/>
                <w:sz w:val="18"/>
                <w:szCs w:val="18"/>
              </w:rPr>
              <w:t xml:space="preserve">3</w:t>
            </w:r>
          </w:p>
        </w:tc>
        <w:tc>
          <w:tcPr>
            <w:tcW w:type="dxa" w:w="700"/>
            <w:tcMar>
              <w:top w:type="dxa" w:w="60"/>
              <w:left w:type="dxa" w:w="100"/>
              <w:bottom w:type="dxa" w:w="60"/>
              <w:right w:type="dxa" w:w="100"/>
            </w:tcMar>
          </w:tcPr>
          <w:p>
            <w:r>
              <w:rPr>
                <w:b w:val="false"/>
                <w:bCs w:val="false"/>
                <w:sz w:val="18"/>
                <w:szCs w:val="18"/>
              </w:rPr>
              <w:t xml:space="preserve">2</w:t>
            </w:r>
          </w:p>
        </w:tc>
        <w:tc>
          <w:tcPr>
            <w:tcW w:type="dxa" w:w="2650"/>
            <w:tcMar>
              <w:top w:type="dxa" w:w="60"/>
              <w:left w:type="dxa" w:w="100"/>
              <w:bottom w:type="dxa" w:w="60"/>
              <w:right w:type="dxa" w:w="100"/>
            </w:tcMar>
          </w:tcPr>
          <w:p>
            <w:r>
              <w:rPr>
                <w:b w:val="false"/>
                <w:bCs w:val="false"/>
                <w:sz w:val="15"/>
                <w:szCs w:val="15"/>
              </w:rPr>
              <w:t xml:space="preserve">Vuelta al vocabulario de 'eje' (5). Desarrollo Regional pierde estatus de primer nivel; Seguridad Ciudadana y Modernización del Estado reviven tras estar ausentes en el plan intermedio.</w:t>
            </w:r>
          </w:p>
        </w:tc>
      </w:tr>
      <w:tr>
        <w:tc>
          <w:tcPr>
            <w:tcW w:type="dxa" w:w="700"/>
            <w:tcMar>
              <w:top w:type="dxa" w:w="60"/>
              <w:left w:type="dxa" w:w="100"/>
              <w:bottom w:type="dxa" w:w="60"/>
              <w:right w:type="dxa" w:w="100"/>
            </w:tcMar>
          </w:tcPr>
          <w:p>
            <w:r>
              <w:rPr>
                <w:b w:val="false"/>
                <w:bCs w:val="false"/>
                <w:sz w:val="18"/>
                <w:szCs w:val="18"/>
              </w:rPr>
              <w:t xml:space="preserve">T4</w:t>
            </w:r>
          </w:p>
        </w:tc>
        <w:tc>
          <w:tcPr>
            <w:tcW w:type="dxa" w:w="2400"/>
            <w:tcMar>
              <w:top w:type="dxa" w:w="60"/>
              <w:left w:type="dxa" w:w="100"/>
              <w:bottom w:type="dxa" w:w="60"/>
              <w:right w:type="dxa" w:w="100"/>
            </w:tcMar>
          </w:tcPr>
          <w:p>
            <w:r>
              <w:rPr>
                <w:b w:val="false"/>
                <w:bCs w:val="false"/>
                <w:sz w:val="16"/>
                <w:szCs w:val="16"/>
              </w:rPr>
              <w:t xml:space="preserve">2002-2006 → 2006-2010</w:t>
            </w:r>
          </w:p>
        </w:tc>
        <w:tc>
          <w:tcPr>
            <w:tcW w:type="dxa" w:w="2200"/>
            <w:tcMar>
              <w:top w:type="dxa" w:w="60"/>
              <w:left w:type="dxa" w:w="100"/>
              <w:bottom w:type="dxa" w:w="60"/>
              <w:right w:type="dxa" w:w="100"/>
            </w:tcMar>
          </w:tcPr>
          <w:p>
            <w:r>
              <w:rPr>
                <w:b w:val="false"/>
                <w:bCs w:val="false"/>
                <w:sz w:val="16"/>
                <w:szCs w:val="16"/>
              </w:rPr>
              <w:t xml:space="preserve">Cambio (PUSC→PLN)</w:t>
            </w:r>
          </w:p>
        </w:tc>
        <w:tc>
          <w:tcPr>
            <w:tcW w:type="dxa" w:w="700"/>
            <w:tcMar>
              <w:top w:type="dxa" w:w="60"/>
              <w:left w:type="dxa" w:w="100"/>
              <w:bottom w:type="dxa" w:w="60"/>
              <w:right w:type="dxa" w:w="100"/>
            </w:tcMar>
          </w:tcPr>
          <w:p>
            <w:r>
              <w:rPr>
                <w:b w:val="false"/>
                <w:bCs w:val="false"/>
                <w:sz w:val="18"/>
                <w:szCs w:val="18"/>
              </w:rPr>
              <w:t xml:space="preserve">2</w:t>
            </w:r>
          </w:p>
        </w:tc>
        <w:tc>
          <w:tcPr>
            <w:tcW w:type="dxa" w:w="700"/>
            <w:tcMar>
              <w:top w:type="dxa" w:w="60"/>
              <w:left w:type="dxa" w:w="100"/>
              <w:bottom w:type="dxa" w:w="60"/>
              <w:right w:type="dxa" w:w="100"/>
            </w:tcMar>
          </w:tcPr>
          <w:p>
            <w:r>
              <w:rPr>
                <w:b w:val="false"/>
                <w:bCs w:val="false"/>
                <w:sz w:val="18"/>
                <w:szCs w:val="18"/>
              </w:rPr>
              <w:t xml:space="preserve">1</w:t>
            </w:r>
          </w:p>
        </w:tc>
        <w:tc>
          <w:tcPr>
            <w:tcW w:type="dxa" w:w="2650"/>
            <w:tcMar>
              <w:top w:type="dxa" w:w="60"/>
              <w:left w:type="dxa" w:w="100"/>
              <w:bottom w:type="dxa" w:w="60"/>
              <w:right w:type="dxa" w:w="100"/>
            </w:tcMar>
          </w:tcPr>
          <w:p>
            <w:r>
              <w:rPr>
                <w:b w:val="false"/>
                <w:bCs w:val="false"/>
                <w:sz w:val="15"/>
                <w:szCs w:val="15"/>
              </w:rPr>
              <w:t xml:space="preserve">Mismo número de ejes (5). Seguridad Ciudadana desaparece como eje explícito; Política Exterior aparece como eje nuevo (antes solo un área).</w:t>
            </w:r>
          </w:p>
        </w:tc>
      </w:tr>
      <w:tr>
        <w:tc>
          <w:tcPr>
            <w:tcW w:type="dxa" w:w="700"/>
            <w:tcMar>
              <w:top w:type="dxa" w:w="60"/>
              <w:left w:type="dxa" w:w="100"/>
              <w:bottom w:type="dxa" w:w="60"/>
              <w:right w:type="dxa" w:w="100"/>
            </w:tcMar>
          </w:tcPr>
          <w:p>
            <w:r>
              <w:rPr>
                <w:b w:val="false"/>
                <w:bCs w:val="false"/>
                <w:sz w:val="18"/>
                <w:szCs w:val="18"/>
              </w:rPr>
              <w:t xml:space="preserve">T5</w:t>
            </w:r>
          </w:p>
        </w:tc>
        <w:tc>
          <w:tcPr>
            <w:tcW w:type="dxa" w:w="2400"/>
            <w:tcMar>
              <w:top w:type="dxa" w:w="60"/>
              <w:left w:type="dxa" w:w="100"/>
              <w:bottom w:type="dxa" w:w="60"/>
              <w:right w:type="dxa" w:w="100"/>
            </w:tcMar>
          </w:tcPr>
          <w:p>
            <w:r>
              <w:rPr>
                <w:b w:val="false"/>
                <w:bCs w:val="false"/>
                <w:sz w:val="16"/>
                <w:szCs w:val="16"/>
              </w:rPr>
              <w:t xml:space="preserve">2006-2010 → 2011-2014</w:t>
            </w:r>
          </w:p>
        </w:tc>
        <w:tc>
          <w:tcPr>
            <w:tcW w:type="dxa" w:w="2200"/>
            <w:tcMar>
              <w:top w:type="dxa" w:w="60"/>
              <w:left w:type="dxa" w:w="100"/>
              <w:bottom w:type="dxa" w:w="60"/>
              <w:right w:type="dxa" w:w="100"/>
            </w:tcMar>
          </w:tcPr>
          <w:p>
            <w:r>
              <w:rPr>
                <w:b w:val="false"/>
                <w:bCs w:val="false"/>
                <w:sz w:val="16"/>
                <w:szCs w:val="16"/>
              </w:rPr>
              <w:t xml:space="preserve">Continuidad (PLN)</w:t>
            </w:r>
          </w:p>
        </w:tc>
        <w:tc>
          <w:tcPr>
            <w:tcW w:type="dxa" w:w="700"/>
            <w:tcMar>
              <w:top w:type="dxa" w:w="60"/>
              <w:left w:type="dxa" w:w="100"/>
              <w:bottom w:type="dxa" w:w="60"/>
              <w:right w:type="dxa" w:w="100"/>
            </w:tcMar>
          </w:tcPr>
          <w:p>
            <w:r>
              <w:rPr>
                <w:b w:val="false"/>
                <w:bCs w:val="false"/>
                <w:sz w:val="18"/>
                <w:szCs w:val="18"/>
              </w:rPr>
              <w:t xml:space="preserve">3</w:t>
            </w:r>
          </w:p>
        </w:tc>
        <w:tc>
          <w:tcPr>
            <w:tcW w:type="dxa" w:w="700"/>
            <w:tcMar>
              <w:top w:type="dxa" w:w="60"/>
              <w:left w:type="dxa" w:w="100"/>
              <w:bottom w:type="dxa" w:w="60"/>
              <w:right w:type="dxa" w:w="100"/>
            </w:tcMar>
          </w:tcPr>
          <w:p>
            <w:r>
              <w:rPr>
                <w:b w:val="false"/>
                <w:bCs w:val="false"/>
                <w:sz w:val="18"/>
                <w:szCs w:val="18"/>
              </w:rPr>
              <w:t xml:space="preserve">1</w:t>
            </w:r>
          </w:p>
        </w:tc>
        <w:tc>
          <w:tcPr>
            <w:tcW w:type="dxa" w:w="2650"/>
            <w:tcMar>
              <w:top w:type="dxa" w:w="60"/>
              <w:left w:type="dxa" w:w="100"/>
              <w:bottom w:type="dxa" w:w="60"/>
              <w:right w:type="dxa" w:w="100"/>
            </w:tcMar>
          </w:tcPr>
          <w:p>
            <w:r>
              <w:rPr>
                <w:b w:val="false"/>
                <w:bCs w:val="false"/>
                <w:sz w:val="15"/>
                <w:szCs w:val="15"/>
              </w:rPr>
              <w:t xml:space="preserve">Cambio de 'eje' a capítulos sin etiqueta única. Evidencia narrativa explícita: una meta cultural fue 'retomada del PND 2006-2010' (p.172); aspiración explícita de continuidad de política de seguridad pese al cambio de gobierno (p.66).</w:t>
            </w:r>
          </w:p>
        </w:tc>
      </w:tr>
      <w:tr>
        <w:tc>
          <w:tcPr>
            <w:tcW w:type="dxa" w:w="700"/>
            <w:tcMar>
              <w:top w:type="dxa" w:w="60"/>
              <w:left w:type="dxa" w:w="100"/>
              <w:bottom w:type="dxa" w:w="60"/>
              <w:right w:type="dxa" w:w="100"/>
            </w:tcMar>
          </w:tcPr>
          <w:p>
            <w:r>
              <w:rPr>
                <w:b w:val="false"/>
                <w:bCs w:val="false"/>
                <w:sz w:val="18"/>
                <w:szCs w:val="18"/>
              </w:rPr>
              <w:t xml:space="preserve">T6</w:t>
            </w:r>
          </w:p>
        </w:tc>
        <w:tc>
          <w:tcPr>
            <w:tcW w:type="dxa" w:w="2400"/>
            <w:tcMar>
              <w:top w:type="dxa" w:w="60"/>
              <w:left w:type="dxa" w:w="100"/>
              <w:bottom w:type="dxa" w:w="60"/>
              <w:right w:type="dxa" w:w="100"/>
            </w:tcMar>
          </w:tcPr>
          <w:p>
            <w:r>
              <w:rPr>
                <w:b w:val="false"/>
                <w:bCs w:val="false"/>
                <w:sz w:val="16"/>
                <w:szCs w:val="16"/>
              </w:rPr>
              <w:t xml:space="preserve">2011-2014 → 2015-2018</w:t>
            </w:r>
          </w:p>
        </w:tc>
        <w:tc>
          <w:tcPr>
            <w:tcW w:type="dxa" w:w="2200"/>
            <w:tcMar>
              <w:top w:type="dxa" w:w="60"/>
              <w:left w:type="dxa" w:w="100"/>
              <w:bottom w:type="dxa" w:w="60"/>
              <w:right w:type="dxa" w:w="100"/>
            </w:tcMar>
          </w:tcPr>
          <w:p>
            <w:r>
              <w:rPr>
                <w:b w:val="false"/>
                <w:bCs w:val="false"/>
                <w:sz w:val="16"/>
                <w:szCs w:val="16"/>
              </w:rPr>
              <w:t xml:space="preserve">Cambio (PLN→PAC)</w:t>
            </w:r>
          </w:p>
        </w:tc>
        <w:tc>
          <w:tcPr>
            <w:tcW w:type="dxa" w:w="700"/>
            <w:tcMar>
              <w:top w:type="dxa" w:w="60"/>
              <w:left w:type="dxa" w:w="100"/>
              <w:bottom w:type="dxa" w:w="60"/>
              <w:right w:type="dxa" w:w="100"/>
            </w:tcMar>
          </w:tcPr>
          <w:p>
            <w:r>
              <w:rPr>
                <w:b w:val="false"/>
                <w:bCs w:val="false"/>
                <w:sz w:val="18"/>
                <w:szCs w:val="18"/>
              </w:rPr>
              <w:t xml:space="preserve">4</w:t>
            </w:r>
          </w:p>
        </w:tc>
        <w:tc>
          <w:tcPr>
            <w:tcW w:type="dxa" w:w="700"/>
            <w:tcMar>
              <w:top w:type="dxa" w:w="60"/>
              <w:left w:type="dxa" w:w="100"/>
              <w:bottom w:type="dxa" w:w="60"/>
              <w:right w:type="dxa" w:w="100"/>
            </w:tcMar>
          </w:tcPr>
          <w:p>
            <w:r>
              <w:rPr>
                <w:b w:val="false"/>
                <w:bCs w:val="false"/>
                <w:sz w:val="18"/>
                <w:szCs w:val="18"/>
              </w:rPr>
              <w:t xml:space="preserve">1</w:t>
            </w:r>
          </w:p>
        </w:tc>
        <w:tc>
          <w:tcPr>
            <w:tcW w:type="dxa" w:w="2650"/>
            <w:tcMar>
              <w:top w:type="dxa" w:w="60"/>
              <w:left w:type="dxa" w:w="100"/>
              <w:bottom w:type="dxa" w:w="60"/>
              <w:right w:type="dxa" w:w="100"/>
            </w:tcMar>
          </w:tcPr>
          <w:p>
            <w:r>
              <w:rPr>
                <w:b w:val="false"/>
                <w:bCs w:val="false"/>
                <w:sz w:val="15"/>
                <w:szCs w:val="15"/>
              </w:rPr>
              <w:t xml:space="preserve">Salto de 4 capítulos a 16 sectores (adopción de Gestión para Resultados). Disrupción formal máxima, pero sustantivamente ningún capítulo desaparece: todos se dividen (split) hacia adelante.</w:t>
            </w:r>
          </w:p>
        </w:tc>
      </w:tr>
      <w:tr>
        <w:tc>
          <w:tcPr>
            <w:tcW w:type="dxa" w:w="700"/>
            <w:tcMar>
              <w:top w:type="dxa" w:w="60"/>
              <w:left w:type="dxa" w:w="100"/>
              <w:bottom w:type="dxa" w:w="60"/>
              <w:right w:type="dxa" w:w="100"/>
            </w:tcMar>
          </w:tcPr>
          <w:p>
            <w:r>
              <w:rPr>
                <w:b w:val="false"/>
                <w:bCs w:val="false"/>
                <w:sz w:val="18"/>
                <w:szCs w:val="18"/>
              </w:rPr>
              <w:t xml:space="preserve">T7</w:t>
            </w:r>
          </w:p>
        </w:tc>
        <w:tc>
          <w:tcPr>
            <w:tcW w:type="dxa" w:w="2400"/>
            <w:tcMar>
              <w:top w:type="dxa" w:w="60"/>
              <w:left w:type="dxa" w:w="100"/>
              <w:bottom w:type="dxa" w:w="60"/>
              <w:right w:type="dxa" w:w="100"/>
            </w:tcMar>
          </w:tcPr>
          <w:p>
            <w:r>
              <w:rPr>
                <w:b w:val="false"/>
                <w:bCs w:val="false"/>
                <w:sz w:val="16"/>
                <w:szCs w:val="16"/>
              </w:rPr>
              <w:t xml:space="preserve">2015-2018 → 2019-2022</w:t>
            </w:r>
          </w:p>
        </w:tc>
        <w:tc>
          <w:tcPr>
            <w:tcW w:type="dxa" w:w="2200"/>
            <w:tcMar>
              <w:top w:type="dxa" w:w="60"/>
              <w:left w:type="dxa" w:w="100"/>
              <w:bottom w:type="dxa" w:w="60"/>
              <w:right w:type="dxa" w:w="100"/>
            </w:tcMar>
          </w:tcPr>
          <w:p>
            <w:r>
              <w:rPr>
                <w:b w:val="false"/>
                <w:bCs w:val="false"/>
                <w:sz w:val="16"/>
                <w:szCs w:val="16"/>
              </w:rPr>
              <w:t xml:space="preserve">Continuidad (PAC)</w:t>
            </w:r>
          </w:p>
        </w:tc>
        <w:tc>
          <w:tcPr>
            <w:tcW w:type="dxa" w:w="700"/>
            <w:tcMar>
              <w:top w:type="dxa" w:w="60"/>
              <w:left w:type="dxa" w:w="100"/>
              <w:bottom w:type="dxa" w:w="60"/>
              <w:right w:type="dxa" w:w="100"/>
            </w:tcMar>
          </w:tcPr>
          <w:p>
            <w:r>
              <w:rPr>
                <w:b w:val="false"/>
                <w:bCs w:val="false"/>
                <w:sz w:val="18"/>
                <w:szCs w:val="18"/>
              </w:rPr>
              <w:t xml:space="preserve">4</w:t>
            </w:r>
          </w:p>
        </w:tc>
        <w:tc>
          <w:tcPr>
            <w:tcW w:type="dxa" w:w="700"/>
            <w:tcMar>
              <w:top w:type="dxa" w:w="60"/>
              <w:left w:type="dxa" w:w="100"/>
              <w:bottom w:type="dxa" w:w="60"/>
              <w:right w:type="dxa" w:w="100"/>
            </w:tcMar>
          </w:tcPr>
          <w:p>
            <w:r>
              <w:rPr>
                <w:b w:val="false"/>
                <w:bCs w:val="false"/>
                <w:sz w:val="18"/>
                <w:szCs w:val="18"/>
              </w:rPr>
              <w:t xml:space="preserve">2</w:t>
            </w:r>
          </w:p>
        </w:tc>
        <w:tc>
          <w:tcPr>
            <w:tcW w:type="dxa" w:w="2650"/>
            <w:tcMar>
              <w:top w:type="dxa" w:w="60"/>
              <w:left w:type="dxa" w:w="100"/>
              <w:bottom w:type="dxa" w:w="60"/>
              <w:right w:type="dxa" w:w="100"/>
            </w:tcMar>
          </w:tcPr>
          <w:p>
            <w:r>
              <w:rPr>
                <w:b w:val="false"/>
                <w:bCs w:val="false"/>
                <w:sz w:val="15"/>
                <w:szCs w:val="15"/>
              </w:rPr>
              <w:t xml:space="preserve">Cambio de 'sector' a 'área de articulación presidencial' (quiebre metodológico explícito) y reducción de 16 a 7 unidades. Ambiente, agropecuario, turismo y política internacional pierden estatus de primer nivel, pese a que el PND 2015-2018 se cita como insumo metodológico principal (p.45).</w:t>
            </w:r>
          </w:p>
        </w:tc>
      </w:tr>
      <w:tr>
        <w:tc>
          <w:tcPr>
            <w:tcW w:type="dxa" w:w="700"/>
            <w:tcMar>
              <w:top w:type="dxa" w:w="60"/>
              <w:left w:type="dxa" w:w="100"/>
              <w:bottom w:type="dxa" w:w="60"/>
              <w:right w:type="dxa" w:w="100"/>
            </w:tcMar>
          </w:tcPr>
          <w:p>
            <w:r>
              <w:rPr>
                <w:b w:val="false"/>
                <w:bCs w:val="false"/>
                <w:sz w:val="18"/>
                <w:szCs w:val="18"/>
              </w:rPr>
              <w:t xml:space="preserve">T8</w:t>
            </w:r>
          </w:p>
        </w:tc>
        <w:tc>
          <w:tcPr>
            <w:tcW w:type="dxa" w:w="2400"/>
            <w:tcMar>
              <w:top w:type="dxa" w:w="60"/>
              <w:left w:type="dxa" w:w="100"/>
              <w:bottom w:type="dxa" w:w="60"/>
              <w:right w:type="dxa" w:w="100"/>
            </w:tcMar>
          </w:tcPr>
          <w:p>
            <w:r>
              <w:rPr>
                <w:b w:val="false"/>
                <w:bCs w:val="false"/>
                <w:sz w:val="16"/>
                <w:szCs w:val="16"/>
              </w:rPr>
              <w:t xml:space="preserve">2019-2022 → 2023-2026</w:t>
            </w:r>
          </w:p>
        </w:tc>
        <w:tc>
          <w:tcPr>
            <w:tcW w:type="dxa" w:w="2200"/>
            <w:tcMar>
              <w:top w:type="dxa" w:w="60"/>
              <w:left w:type="dxa" w:w="100"/>
              <w:bottom w:type="dxa" w:w="60"/>
              <w:right w:type="dxa" w:w="100"/>
            </w:tcMar>
          </w:tcPr>
          <w:p>
            <w:r>
              <w:rPr>
                <w:b w:val="false"/>
                <w:bCs w:val="false"/>
                <w:sz w:val="16"/>
                <w:szCs w:val="16"/>
              </w:rPr>
              <w:t xml:space="preserve">Cambio (PAC→PPSD)</w:t>
            </w:r>
          </w:p>
        </w:tc>
        <w:tc>
          <w:tcPr>
            <w:tcW w:type="dxa" w:w="700"/>
            <w:tcMar>
              <w:top w:type="dxa" w:w="60"/>
              <w:left w:type="dxa" w:w="100"/>
              <w:bottom w:type="dxa" w:w="60"/>
              <w:right w:type="dxa" w:w="100"/>
            </w:tcMar>
          </w:tcPr>
          <w:p>
            <w:r>
              <w:rPr>
                <w:b w:val="false"/>
                <w:bCs w:val="false"/>
                <w:sz w:val="18"/>
                <w:szCs w:val="18"/>
              </w:rPr>
              <w:t xml:space="preserve">3</w:t>
            </w:r>
          </w:p>
        </w:tc>
        <w:tc>
          <w:tcPr>
            <w:tcW w:type="dxa" w:w="700"/>
            <w:tcMar>
              <w:top w:type="dxa" w:w="60"/>
              <w:left w:type="dxa" w:w="100"/>
              <w:bottom w:type="dxa" w:w="60"/>
              <w:right w:type="dxa" w:w="100"/>
            </w:tcMar>
          </w:tcPr>
          <w:p>
            <w:r>
              <w:rPr>
                <w:b w:val="false"/>
                <w:bCs w:val="false"/>
                <w:sz w:val="18"/>
                <w:szCs w:val="18"/>
              </w:rPr>
              <w:t xml:space="preserve">0</w:t>
            </w:r>
          </w:p>
        </w:tc>
        <w:tc>
          <w:tcPr>
            <w:tcW w:type="dxa" w:w="2650"/>
            <w:tcMar>
              <w:top w:type="dxa" w:w="60"/>
              <w:left w:type="dxa" w:w="100"/>
              <w:bottom w:type="dxa" w:w="60"/>
              <w:right w:type="dxa" w:w="100"/>
            </w:tcMar>
          </w:tcPr>
          <w:p>
            <w:r>
              <w:rPr>
                <w:b w:val="false"/>
                <w:bCs w:val="false"/>
                <w:sz w:val="15"/>
                <w:szCs w:val="15"/>
              </w:rPr>
              <w:t xml:space="preserve">Reversión a 'sector' (13). Regla explícita y cuantificada: proyectos de inversión pública que no alcanzaron 70% de avance físico en 2019-2022 se incorporan a la cartera 2023-2026 (p.24). Ambiente y Acción Exterior reviven como sectores.</w:t>
            </w:r>
          </w:p>
        </w:tc>
      </w:tr>
      <w:tr>
        <w:tc>
          <w:tcPr>
            <w:tcW w:type="dxa" w:w="700"/>
            <w:tcMar>
              <w:top w:type="dxa" w:w="60"/>
              <w:left w:type="dxa" w:w="100"/>
              <w:bottom w:type="dxa" w:w="60"/>
              <w:right w:type="dxa" w:w="100"/>
            </w:tcMar>
          </w:tcPr>
          <w:p>
            <w:r>
              <w:rPr>
                <w:b w:val="false"/>
                <w:bCs w:val="false"/>
                <w:sz w:val="18"/>
                <w:szCs w:val="18"/>
              </w:rPr>
              <w:t xml:space="preserve">T9</w:t>
            </w:r>
          </w:p>
        </w:tc>
        <w:tc>
          <w:tcPr>
            <w:tcW w:type="dxa" w:w="2400"/>
            <w:tcMar>
              <w:top w:type="dxa" w:w="60"/>
              <w:left w:type="dxa" w:w="100"/>
              <w:bottom w:type="dxa" w:w="60"/>
              <w:right w:type="dxa" w:w="100"/>
            </w:tcMar>
          </w:tcPr>
          <w:p>
            <w:r>
              <w:rPr>
                <w:b w:val="false"/>
                <w:bCs w:val="false"/>
                <w:sz w:val="16"/>
                <w:szCs w:val="16"/>
              </w:rPr>
              <w:t xml:space="preserve">2023-2026 → 2027-2030</w:t>
            </w:r>
          </w:p>
        </w:tc>
        <w:tc>
          <w:tcPr>
            <w:tcW w:type="dxa" w:w="2200"/>
            <w:tcMar>
              <w:top w:type="dxa" w:w="60"/>
              <w:left w:type="dxa" w:w="100"/>
              <w:bottom w:type="dxa" w:w="60"/>
              <w:right w:type="dxa" w:w="100"/>
            </w:tcMar>
          </w:tcPr>
          <w:p>
            <w:r>
              <w:rPr>
                <w:b w:val="false"/>
                <w:bCs w:val="false"/>
                <w:sz w:val="16"/>
                <w:szCs w:val="16"/>
              </w:rPr>
              <w:t xml:space="preserve">No evaluable (elección 2026 no verificada)</w:t>
            </w:r>
          </w:p>
        </w:tc>
        <w:tc>
          <w:tcPr>
            <w:tcW w:type="dxa" w:w="700"/>
            <w:tcMar>
              <w:top w:type="dxa" w:w="60"/>
              <w:left w:type="dxa" w:w="100"/>
              <w:bottom w:type="dxa" w:w="60"/>
              <w:right w:type="dxa" w:w="100"/>
            </w:tcMar>
          </w:tcPr>
          <w:p>
            <w:r>
              <w:rPr>
                <w:b w:val="false"/>
                <w:bCs w:val="false"/>
                <w:sz w:val="18"/>
                <w:szCs w:val="18"/>
              </w:rPr>
              <w:t xml:space="preserve">1</w:t>
            </w:r>
          </w:p>
        </w:tc>
        <w:tc>
          <w:tcPr>
            <w:tcW w:type="dxa" w:w="700"/>
            <w:tcMar>
              <w:top w:type="dxa" w:w="60"/>
              <w:left w:type="dxa" w:w="100"/>
              <w:bottom w:type="dxa" w:w="60"/>
              <w:right w:type="dxa" w:w="100"/>
            </w:tcMar>
          </w:tcPr>
          <w:p>
            <w:r>
              <w:rPr>
                <w:b w:val="false"/>
                <w:bCs w:val="false"/>
                <w:sz w:val="18"/>
                <w:szCs w:val="18"/>
              </w:rPr>
              <w:t xml:space="preserve">1</w:t>
            </w:r>
          </w:p>
        </w:tc>
        <w:tc>
          <w:tcPr>
            <w:tcW w:type="dxa" w:w="2650"/>
            <w:tcMar>
              <w:top w:type="dxa" w:w="60"/>
              <w:left w:type="dxa" w:w="100"/>
              <w:bottom w:type="dxa" w:w="60"/>
              <w:right w:type="dxa" w:w="100"/>
            </w:tcMar>
          </w:tcPr>
          <w:p>
            <w:r>
              <w:rPr>
                <w:b w:val="false"/>
                <w:bCs w:val="false"/>
                <w:sz w:val="15"/>
                <w:szCs w:val="15"/>
              </w:rPr>
              <w:t xml:space="preserve">Transición más estable de la serie: mismo número de sectores (13), 8 de 13 con nombre idéntico. Único cambio neto: 'Acción Exterior' desaparece como sector independiente; 'Sistema Financiero Nacional' aparece como sector nuevo.</w:t>
            </w:r>
          </w:p>
        </w:tc>
      </w:tr>
    </w:tbl>
    <w:p>
      <w:pPr>
        <w:spacing w:after="200"/>
      </w:pPr>
    </w:p>
    <w:p>
      <w:pPr>
        <w:spacing w:after="160" w:line="276"/>
      </w:pPr>
      <w:r>
        <w:rPr>
          <w:b w:val="false"/>
          <w:bCs w:val="false"/>
          <w:i/>
          <w:iCs/>
        </w:rPr>
        <w:t xml:space="preserve">Promedio general: D1 = 2.67/4 · D2 = 1.22/4. Promedio por continuidad partidaria (n=3): D1 = 3.33/4 · D2 = 1.67/4. Promedio por cambio de partido (n=5): D1 = 2.6/4 · D2 = 1.2/4.</w:t>
      </w:r>
    </w:p>
    <w:p>
      <w:pPr>
        <w:pStyle w:val="Heading2"/>
        <w:spacing w:after="120" w:before="240"/>
      </w:pPr>
      <w:r>
        <w:t xml:space="preserve">7.3 Casos destacados de continuidad nominal de proyectos</w:t>
      </w:r>
    </w:p>
    <w:p>
      <w:pPr>
        <w:spacing w:after="160" w:line="276"/>
      </w:pPr>
      <w:r>
        <w:rPr>
          <w:b w:val="false"/>
          <w:bCs w:val="false"/>
          <w:i w:val="false"/>
          <w:iCs w:val="false"/>
        </w:rPr>
        <w:t xml:space="preserve">Se documentan aquí, con cita textual y página física, los tres casos más claros de continuidad nominal encontrados en el corpus (evidencia narrativa, no bibliográfica):</w:t>
      </w:r>
    </w:p>
    <w:p>
      <w:pPr>
        <w:pStyle w:val="Heading3"/>
        <w:spacing w:after="100" w:before="180"/>
      </w:pPr>
      <w:r>
        <w:t xml:space="preserve">PND 2011-2014, p.172 — meta cultural retomada del PND 2006-2010</w:t>
      </w:r>
    </w:p>
    <w:p>
      <w:pPr>
        <w:spacing w:after="160" w:line="276"/>
        <w:ind w:left="720"/>
      </w:pPr>
      <w:r>
        <w:rPr>
          <w:i/>
          <w:iCs/>
        </w:rPr>
        <w:t xml:space="preserve">“Esta meta forma parte de las acciones que se retomaron del PND 2006-2010 y que fue incorporada como ejemplo a las autoridades en la exposición sobre la metodología para la elaboración del PND 2011-2014 efectuada por funcionarios de MIDEPLAN, ya que proviene del Plan de gobierno de la Señora Presidenta Laura Chinchilla.”</w:t>
      </w:r>
    </w:p>
    <w:p>
      <w:pPr>
        <w:pStyle w:val="Heading3"/>
        <w:spacing w:after="100" w:before="180"/>
      </w:pPr>
      <w:r>
        <w:t xml:space="preserve">PNDIP 2019-2022, p.45 — el plan anterior como insumo metodológico principal</w:t>
      </w:r>
    </w:p>
    <w:p>
      <w:pPr>
        <w:spacing w:after="160" w:line="276"/>
        <w:ind w:left="720"/>
      </w:pPr>
      <w:r>
        <w:rPr>
          <w:i/>
          <w:iCs/>
        </w:rPr>
        <w:t xml:space="preserve">“Para su elaboración consideró como principales insumos: Programa de Gobierno del Partido electo, Costa Rica 2030 Objetivos de Desarrollo Nacional, Programa Macroeconómico Nacional, PND 2015-2018, políticas o planes sectoriales de largo plazo...”</w:t>
      </w:r>
    </w:p>
    <w:p>
      <w:pPr>
        <w:pStyle w:val="Heading3"/>
        <w:spacing w:after="100" w:before="180"/>
      </w:pPr>
      <w:r>
        <w:t xml:space="preserve">PNDIP 2023-2026, p.24 — regla explícita de arrastre de proyectos de inversión pública</w:t>
      </w:r>
    </w:p>
    <w:p>
      <w:pPr>
        <w:spacing w:after="160" w:line="276"/>
        <w:ind w:left="720"/>
      </w:pPr>
      <w:r>
        <w:rPr>
          <w:i/>
          <w:iCs/>
        </w:rPr>
        <w:t xml:space="preserve">“Los proyectos de inversión pública en etapa de preinversión o ejecución incluyen aquellos que no lograron alcanzar el 70% de avance en la ejecución de obra física en el PNDIP 2019-2022 y los proyectos nuevos prioritarios para el PNDIP 2023-2026.”</w:t>
      </w:r>
    </w:p>
    <w:p>
      <w:pPr>
        <w:spacing w:after="160" w:line="276"/>
      </w:pPr>
      <w:r>
        <w:rPr>
          <w:b w:val="false"/>
          <w:bCs w:val="false"/>
          <w:i w:val="false"/>
          <w:iCs w:val="false"/>
        </w:rPr>
        <w:t xml:space="preserve">Este último caso es la evidencia más fuerte de continuidad de proyectos concretos hallada en todo el corpus: no es una declaración retórica, sino una regla operativa y cuantificada de continuidad de cartera de inversión entre dos administraciones consecutivas.</w:t>
      </w:r>
    </w:p>
    <w:p>
      <w:pPr>
        <w:pStyle w:val="Heading2"/>
        <w:spacing w:after="120" w:before="240"/>
      </w:pPr>
      <w:r>
        <w:t xml:space="preserve">7.4 Casos negativos: falsos positivos del léxico de “continuidad”/“ruptura”</w:t>
      </w:r>
    </w:p>
    <w:p>
      <w:pPr>
        <w:spacing w:after="160" w:line="276"/>
      </w:pPr>
      <w:r>
        <w:rPr>
          <w:b w:val="false"/>
          <w:bCs w:val="false"/>
          <w:i w:val="false"/>
          <w:iCs w:val="false"/>
        </w:rPr>
        <w:t xml:space="preserve">La búsqueda genérica de las palabras “continuidad”, “ruptura” y “cambio de paradigma” en los seis planes born-digital arrojó nueve coincidencias revisadas en contexto; seis de ellas resultaron ser falsos positivos ajenos a la sucesión presidencial:</w:t>
      </w:r>
    </w:p>
    <w:p>
      <w:pPr>
        <w:pStyle w:val="ListParagraph"/>
        <w:numPr>
          <w:ilvl w:val="0"/>
          <w:numId w:val="1"/>
        </w:numPr>
        <w:spacing w:after="80"/>
      </w:pPr>
      <w:r>
        <w:t xml:space="preserve">PND 2006-2010, p.29: “ruptura” se refiere a la desconexión histórica entre planificación y presupuestación, no a la administración anterior.</w:t>
      </w:r>
    </w:p>
    <w:p>
      <w:pPr>
        <w:pStyle w:val="ListParagraph"/>
        <w:numPr>
          <w:ilvl w:val="0"/>
          <w:numId w:val="1"/>
        </w:numPr>
        <w:spacing w:after="80"/>
      </w:pPr>
      <w:r>
        <w:t xml:space="preserve">PND 2015-2018, p.175: “cambio de paradigma” describe un enfoque de salud pública (prevención vs. atención de la enfermedad).</w:t>
      </w:r>
    </w:p>
    <w:p>
      <w:pPr>
        <w:pStyle w:val="ListParagraph"/>
        <w:numPr>
          <w:ilvl w:val="0"/>
          <w:numId w:val="1"/>
        </w:numPr>
        <w:spacing w:after="80"/>
      </w:pPr>
      <w:r>
        <w:t xml:space="preserve">PND 2015-2018, p.511: “ruptura” se refiere al ciclo de atención al consumo de sustancias psicoactivas.</w:t>
      </w:r>
    </w:p>
    <w:p>
      <w:pPr>
        <w:pStyle w:val="ListParagraph"/>
        <w:numPr>
          <w:ilvl w:val="0"/>
          <w:numId w:val="1"/>
        </w:numPr>
        <w:spacing w:after="80"/>
      </w:pPr>
      <w:r>
        <w:t xml:space="preserve">PNDIP 2023-2026, p.14: “cambio de paradigma” describe la biografía de Rogelio Fernández Güell, la figura histórica que da nombre honorífico al plan.</w:t>
      </w:r>
    </w:p>
    <w:p>
      <w:pPr>
        <w:pStyle w:val="ListParagraph"/>
        <w:numPr>
          <w:ilvl w:val="0"/>
          <w:numId w:val="1"/>
        </w:numPr>
        <w:spacing w:after="80"/>
      </w:pPr>
      <w:r>
        <w:t xml:space="preserve">PNDIP 2023-2026, p.327: “continuidad” se refiere a la continuidad del servicio de infraestructura de transporte.</w:t>
      </w:r>
    </w:p>
    <w:p>
      <w:pPr>
        <w:pStyle w:val="ListParagraph"/>
        <w:numPr>
          <w:ilvl w:val="0"/>
          <w:numId w:val="1"/>
        </w:numPr>
        <w:spacing w:after="80"/>
      </w:pPr>
      <w:r>
        <w:t xml:space="preserve">PNDIP 2027-2030, p.448: “cambio de paradigma” describe la adopción general del modelo de Gestión para Resultados, no una ruptura declarada respecto del plan anterior.</w:t>
      </w:r>
    </w:p>
    <w:p>
      <w:pPr>
        <w:spacing w:after="160" w:line="276"/>
      </w:pPr>
      <w:r>
        <w:rPr>
          <w:b w:val="false"/>
          <w:bCs w:val="false"/>
          <w:i w:val="false"/>
          <w:iCs w:val="false"/>
        </w:rPr>
        <w:t xml:space="preserve">Este hallazgo metodológico —dos de cada tres coincidencias léxicas de este tipo son ruido— responde directamente la cuarta pregunta secundaria: la búsqueda de palabras clave, por sí sola, no es evidencia fiable de la postura de un plan frente a su antecesor y debe siempre revisarse en contexto antes de contarse.</w:t>
      </w:r>
    </w:p>
    <w:p>
      <w:pPr>
        <w:pStyle w:val="Heading2"/>
        <w:spacing w:after="120" w:before="240"/>
      </w:pPr>
      <w:r>
        <w:t xml:space="preserve">7.5 Cambio de partido gobernante y disrupción</w:t>
      </w:r>
    </w:p>
    <w:p>
      <w:pPr>
        <w:spacing w:after="160" w:line="276"/>
      </w:pPr>
      <w:r>
        <w:rPr>
          <w:b w:val="false"/>
          <w:bCs w:val="false"/>
          <w:i w:val="false"/>
          <w:iCs w:val="false"/>
        </w:rPr>
        <w:t xml:space="preserve">Contrario a lo esperado por H2, las transiciones de continuidad partidaria muestran, en promedio, disrupción de arquitectura igual o mayor (D1 = 3.33/4) que las transiciones con cambio de partido (D1 = 2.60/4); el mismo patrón se observa en D2 (1.67 vs. 1.20). Las dos transiciones de mayor disrupción de arquitectura de toda la serie —2011-2014→2015-2018 (D1=4, cambio de partido PLN→PAC) y 2015-2018→2019-2022 (D1=4, continuidad PAC→PAC)— muestran que el cambio de partido no es condición necesaria ni suficiente para la disrupción más alta observada.</w:t>
      </w:r>
    </w:p>
    <w:p>
      <w:r>
        <w:br w:type="page"/>
      </w:r>
    </w:p>
    <w:p>
      <w:pPr>
        <w:pStyle w:val="Heading1"/>
        <w:spacing w:after="150" w:before="300"/>
      </w:pPr>
      <w:r>
        <w:t xml:space="preserve">8. Discusión</w:t>
      </w:r>
    </w:p>
    <w:p>
      <w:pPr>
        <w:spacing w:after="160" w:line="276"/>
      </w:pPr>
      <w:r>
        <w:rPr>
          <w:b w:val="false"/>
          <w:bCs w:val="false"/>
          <w:i w:val="false"/>
          <w:iCs w:val="false"/>
        </w:rPr>
        <w:t xml:space="preserve">El hallazgo de que la arquitectura programática cambia más que el contenido sustantivo es consistente con una lectura institucional: cada nueva administración —y, en algunos casos, Mideplan entre administraciones— tiene incentivos para presentar su plan como distinto del anterior (una nueva etiqueta, una nueva forma de agrupar sectores, un nuevo lema de gestión como “Gestión para Resultados” o “áreas de articulación presidencial”), incluso cuando el contenido temático que hereda es, en su mayoría, el mismo. Esto no equivale a decir que el cambio de arquitectura sea cosmético: dos transiciones (2015-2018→2019-2022, la más disruptiva en dominios además de en arquitectura) sí muestran una pérdida real de estatus de primer nivel para ámbitos completos —ambiente, agricultura, turismo, política exterior— lo cual puede tener consecuencias reales de visibilidad presupuestaria y de rendición de cuentas, aunque este estudio no evalúa ejecución ni resultados.</w:t>
      </w:r>
    </w:p>
    <w:p>
      <w:pPr>
        <w:spacing w:after="160" w:line="276"/>
      </w:pPr>
      <w:r>
        <w:rPr>
          <w:b w:val="false"/>
          <w:bCs w:val="false"/>
          <w:i w:val="false"/>
          <w:iCs w:val="false"/>
        </w:rPr>
        <w:t xml:space="preserve">La ausencia de asociación entre cambio de partido y disrupción, y en particular el patrón inverso observado, es un hallazgo que merece cautela interpretativa: con solo 8 transiciones evaluables (3 de continuidad partidaria, 5 de cambio), no se trata de una prueba estadística sino de una descripción del corpus. Aun así, la coincidencia entre las dos transiciones de mayor disrupción (2015-2018→2019-2022, con continuidad partidaria) y la evidencia documental de que ambas coinciden con cambios metodológicos deliberados de Mideplan (adopción de Gestión para Resultados; luego el método de “articulación presidencial”), apunta a que la disrupción observada responde más a la evolución de la doctrina de planificación pública costarricense que al color político del gobierno entrante.</w:t>
      </w:r>
    </w:p>
    <w:p>
      <w:pPr>
        <w:spacing w:after="160" w:line="276"/>
      </w:pPr>
      <w:r>
        <w:rPr>
          <w:b w:val="false"/>
          <w:bCs w:val="false"/>
          <w:i w:val="false"/>
          <w:iCs w:val="false"/>
        </w:rPr>
        <w:t xml:space="preserve">El fenómeno de “revival”, observado en varias transiciones —seguridad ciudadana pierde y recupera estatus de eje/sector en al menos tres ocasiones (2006-2010, 2011-2014, 2015-2018→2019-2022 y su reaparición en 2023-2026); lo mismo ocurre con política/acción exterior y con ambiente— sugiere que la disrupción de arquitectura no sigue una tendencia lineal ni acumulativa, sino un patrón oscilante: un ámbito puede desaparecer como unidad organizadora explícita en una transición y reaparecer dos o tres administraciones después, sin que ello implique necesariamente que el tema estuvo ausente del quehacer público en el intervalo.</w:t>
      </w:r>
    </w:p>
    <w:p>
      <w:pPr>
        <w:pStyle w:val="Heading1"/>
        <w:spacing w:after="150" w:before="300"/>
      </w:pPr>
      <w:r>
        <w:t xml:space="preserve">9. Conclusiones</w:t>
      </w:r>
    </w:p>
    <w:p>
      <w:pPr>
        <w:pStyle w:val="ListParagraph"/>
        <w:numPr>
          <w:ilvl w:val="0"/>
          <w:numId w:val="1"/>
        </w:numPr>
        <w:spacing w:after="80"/>
      </w:pPr>
      <w:r>
        <w:t xml:space="preserve">La disrupción de arquitectura programática entre administraciones consecutivas de Costa Rica es, en promedio, moderada-alta (2.67/4) y ocurre en casi todas las transiciones, no solo en aquellas con cambio de partido.</w:t>
      </w:r>
    </w:p>
    <w:p>
      <w:pPr>
        <w:pStyle w:val="ListParagraph"/>
        <w:numPr>
          <w:ilvl w:val="0"/>
          <w:numId w:val="1"/>
        </w:numPr>
        <w:spacing w:after="80"/>
      </w:pPr>
      <w:r>
        <w:t xml:space="preserve">La continuidad de dominios de política sustantivos es, en promedio, alta (disrupción 1.22/4): muy pocos ámbitos temáticos desaparecen por completo de un plan al siguiente; lo más frecuente es que se renombren, fusionen o dividan.</w:t>
      </w:r>
    </w:p>
    <w:p>
      <w:pPr>
        <w:pStyle w:val="ListParagraph"/>
        <w:numPr>
          <w:ilvl w:val="0"/>
          <w:numId w:val="1"/>
        </w:numPr>
        <w:spacing w:after="80"/>
      </w:pPr>
      <w:r>
        <w:t xml:space="preserve">La continuidad nominal explícita de proyectos concretos existe, pero es minoritaria y se concentra en mecanismos operativos específicos —sobre todo reglas de arrastre de cartera de inversión pública— más que en declaraciones retóricas generales de continuidad.</w:t>
      </w:r>
    </w:p>
    <w:p>
      <w:pPr>
        <w:pStyle w:val="ListParagraph"/>
        <w:numPr>
          <w:ilvl w:val="0"/>
          <w:numId w:val="1"/>
        </w:numPr>
        <w:spacing w:after="80"/>
      </w:pPr>
      <w:r>
        <w:t xml:space="preserve">El cambio de partido gobernante no explica, en este corpus, la disrupción observada; los cambios de metodología de planificación de Mideplan parecen ser un factor explicativo más consistente.</w:t>
      </w:r>
    </w:p>
    <w:p>
      <w:pPr>
        <w:pStyle w:val="ListParagraph"/>
        <w:numPr>
          <w:ilvl w:val="0"/>
          <w:numId w:val="1"/>
        </w:numPr>
        <w:spacing w:after="80"/>
      </w:pPr>
      <w:r>
        <w:t xml:space="preserve">La búsqueda léxica genérica de 'continuidad'/'ruptura' es una herramienta poco fiable por sí sola: debe combinarse siempre con revisión de contexto, como se hizo en este análisis.</w:t>
      </w:r>
    </w:p>
    <w:p>
      <w:pPr>
        <w:pStyle w:val="Heading1"/>
        <w:spacing w:after="150" w:before="300"/>
      </w:pPr>
      <w:r>
        <w:t xml:space="preserve">10. Recomendaciones</w:t>
      </w:r>
    </w:p>
    <w:p>
      <w:pPr>
        <w:pStyle w:val="ListParagraph"/>
        <w:numPr>
          <w:ilvl w:val="0"/>
          <w:numId w:val="1"/>
        </w:numPr>
        <w:spacing w:after="80"/>
      </w:pPr>
      <w:r>
        <w:t xml:space="preserve">Para una segunda iteración de este análisis: incorporar codificación independiente de al menos una submuestra de transiciones (idealmente las de mayor disrupción, T6 y T7) y calcular un estadístico de acuerdo entre codificadores.</w:t>
      </w:r>
    </w:p>
    <w:p>
      <w:pPr>
        <w:pStyle w:val="ListParagraph"/>
        <w:numPr>
          <w:ilvl w:val="0"/>
          <w:numId w:val="1"/>
        </w:numPr>
        <w:spacing w:after="80"/>
      </w:pPr>
      <w:r>
        <w:t xml:space="preserve">Verificar visualmente, página por página, el PNDIP 2019-2022 para resolver la discrepancia de paginación detectada (345 saltos de página extraídos frente a 361 páginas físicas) antes de usar ese documento para citas más allá de las ya verificadas en este informe.</w:t>
      </w:r>
    </w:p>
    <w:p>
      <w:pPr>
        <w:pStyle w:val="ListParagraph"/>
        <w:numPr>
          <w:ilvl w:val="0"/>
          <w:numId w:val="1"/>
        </w:numPr>
        <w:spacing w:after="80"/>
      </w:pPr>
      <w:r>
        <w:t xml:space="preserve">Extender la búsqueda de referencia nominal explícita y de léxico de continuidad/ruptura a los tres tomos 1998-2002 (con OCR validado) y, si se justifica el esfuerzo, a los cuatro documentos escaneados 1990-1998 mediante OCR nuevo, para completar la cobertura de la dimensión D2 en las tres transiciones más tempranas.</w:t>
      </w:r>
    </w:p>
    <w:p>
      <w:pPr>
        <w:pStyle w:val="ListParagraph"/>
        <w:numPr>
          <w:ilvl w:val="0"/>
          <w:numId w:val="1"/>
        </w:numPr>
        <w:spacing w:after="80"/>
      </w:pPr>
      <w:r>
        <w:t xml:space="preserve">Si se desea poner a prueba con mayor rigor la hipótesis del cambio metodológico de Mideplan como factor explicativo (frente al partido gobernante), sería útil una tercera variable de contexto —fecha de adopción formal de cada metodología de planificación— y ampliar el corpus con los reglamentos o directrices de Mideplan de cada periodo, actualmente fuera del alcance de esta carpeta.</w:t>
      </w:r>
    </w:p>
    <w:p>
      <w:pPr>
        <w:pStyle w:val="ListParagraph"/>
        <w:numPr>
          <w:ilvl w:val="0"/>
          <w:numId w:val="1"/>
        </w:numPr>
        <w:spacing w:after="80"/>
      </w:pPr>
      <w:r>
        <w:t xml:space="preserve">Verificar externamente, cuando se conozca, el resultado y la afiliación partidaria de la administración 2026-2030 para completar la evaluación de H2 en la transición T9, actualmente marcada como no evaluable.</w:t>
      </w:r>
    </w:p>
    <w:p>
      <w:pPr>
        <w:pStyle w:val="Heading1"/>
        <w:spacing w:after="150" w:before="300"/>
      </w:pPr>
      <w:r>
        <w:t xml:space="preserve">11. Limitaciones</w:t>
      </w:r>
    </w:p>
    <w:p>
      <w:pPr>
        <w:pStyle w:val="ListParagraph"/>
        <w:numPr>
          <w:ilvl w:val="0"/>
          <w:numId w:val="1"/>
        </w:numPr>
        <w:spacing w:after="80"/>
      </w:pPr>
      <w:r>
        <w:t xml:space="preserve">Codificación por un solo investigador (piloto); no hay codificación independiente doble ni estadístico de acuerdo entre codificadores.</w:t>
      </w:r>
    </w:p>
    <w:p>
      <w:pPr>
        <w:pStyle w:val="ListParagraph"/>
        <w:numPr>
          <w:ilvl w:val="0"/>
          <w:numId w:val="1"/>
        </w:numPr>
        <w:spacing w:after="80"/>
      </w:pPr>
      <w:r>
        <w:t xml:space="preserve">La arquitectura programática de los cuatro documentos sin capa de texto (1990-1998) se hereda del inventario óptico de una sesión previa, con verificación cruzada limitada en este análisis.</w:t>
      </w:r>
    </w:p>
    <w:p>
      <w:pPr>
        <w:pStyle w:val="ListParagraph"/>
        <w:numPr>
          <w:ilvl w:val="0"/>
          <w:numId w:val="1"/>
        </w:numPr>
        <w:spacing w:after="80"/>
      </w:pPr>
      <w:r>
        <w:t xml:space="preserve">El crosswalk de dominios normalizados implica juicio del investigador; nombres de sectores no siempre son semánticamente equivalentes aunque se agrupen bajo el mismo dominio.</w:t>
      </w:r>
    </w:p>
    <w:p>
      <w:pPr>
        <w:pStyle w:val="ListParagraph"/>
        <w:numPr>
          <w:ilvl w:val="0"/>
          <w:numId w:val="1"/>
        </w:numPr>
        <w:spacing w:after="80"/>
      </w:pPr>
      <w:r>
        <w:t xml:space="preserve">La búsqueda léxica de continuidad/ruptura y de referencia nominal depende de los términos elegidos por el investigador; términos no incluidos podrían existir en el texto y no fueron buscados.</w:t>
      </w:r>
    </w:p>
    <w:p>
      <w:pPr>
        <w:pStyle w:val="ListParagraph"/>
        <w:numPr>
          <w:ilvl w:val="0"/>
          <w:numId w:val="1"/>
        </w:numPr>
        <w:spacing w:after="80"/>
      </w:pPr>
      <w:r>
        <w:t xml:space="preserve">No se cuenta con los anexos técnicos externos de varios planes recientes (fichas de indicadores 2019-2022, anexos A-C de 2023-2026, fichas técnicas de 2027-2030), lo que limita el nivel de detalle de proyecto/intervención disponible para esos periodos frente a planes con todo su contenido en un solo archivo.</w:t>
      </w:r>
    </w:p>
    <w:p>
      <w:pPr>
        <w:pStyle w:val="ListParagraph"/>
        <w:numPr>
          <w:ilvl w:val="0"/>
          <w:numId w:val="1"/>
        </w:numPr>
        <w:spacing w:after="80"/>
      </w:pPr>
      <w:r>
        <w:t xml:space="preserve">El resultado de la elección presidencial de 2026 no se verifica dentro de este estudio; la variable de partido gobernante para el periodo 2026-2030 se marca explícitamente como no determinada.</w:t>
      </w:r>
    </w:p>
    <w:p>
      <w:pPr>
        <w:pStyle w:val="ListParagraph"/>
        <w:numPr>
          <w:ilvl w:val="0"/>
          <w:numId w:val="1"/>
        </w:numPr>
        <w:spacing w:after="80"/>
      </w:pPr>
      <w:r>
        <w:t xml:space="preserve">Este estudio compara diseño documental, no ejecución ni resultados: un cambio de nombre de sector no implica cambio real de gestión, y una arquitectura estable no implica buena ejecución ni buenos resultados de política pública.</w:t>
      </w:r>
    </w:p>
    <w:p>
      <w:pPr>
        <w:pStyle w:val="ListParagraph"/>
        <w:numPr>
          <w:ilvl w:val="0"/>
          <w:numId w:val="1"/>
        </w:numPr>
        <w:spacing w:after="80"/>
      </w:pPr>
      <w:r>
        <w:t xml:space="preserve">Con solo 8-9 transiciones, ningún patrón reportado (incluida la relación con el partido gobernante) debe interpretarse como una prueba estadística generalizable; se reporta como descripción del corpus observado.</w:t>
      </w:r>
    </w:p>
    <w:p>
      <w:r>
        <w:br w:type="page"/>
      </w:r>
    </w:p>
    <w:p>
      <w:pPr>
        <w:pStyle w:val="Heading1"/>
        <w:spacing w:after="150" w:before="300"/>
      </w:pPr>
      <w:r>
        <w:t xml:space="preserve">Referencias (APA 7)</w:t>
      </w:r>
    </w:p>
    <w:p>
      <w:pPr>
        <w:spacing w:after="140"/>
        <w:ind w:left="720" w:hanging="720"/>
      </w:pPr>
      <w:r>
        <w:t xml:space="preserve">Ministerio de Planificación Nacional y Política Económica. (1990). Plan Nacional de Desarrollo 1990-1994 (Tomos I-III). MIDEPLAN.</w:t>
      </w:r>
    </w:p>
    <w:p>
      <w:pPr>
        <w:spacing w:after="140"/>
        <w:ind w:left="720" w:hanging="720"/>
      </w:pPr>
      <w:r>
        <w:t xml:space="preserve">Ministerio de Planificación Nacional y Política Económica. (1994). Plan Nacional de Desarrollo 1994-1998 “Francisco J. Orlich”. MIDEPLAN.</w:t>
      </w:r>
    </w:p>
    <w:p>
      <w:pPr>
        <w:spacing w:after="140"/>
        <w:ind w:left="720" w:hanging="720"/>
      </w:pPr>
      <w:r>
        <w:t xml:space="preserve">Ministerio de Planificación Nacional y Política Económica. (1998). Plan Nacional de Desarrollo Humano 1998-2002 (Tomos I-III). MIDEPLAN.</w:t>
      </w:r>
    </w:p>
    <w:p>
      <w:pPr>
        <w:spacing w:after="140"/>
        <w:ind w:left="720" w:hanging="720"/>
      </w:pPr>
      <w:r>
        <w:t xml:space="preserve">Ministerio de Planificación Nacional y Política Económica. (2002). Plan Nacional de Desarrollo 2002-2006 [plataforma web archivada]. MIDEPLAN.</w:t>
      </w:r>
    </w:p>
    <w:p>
      <w:pPr>
        <w:spacing w:after="140"/>
        <w:ind w:left="720" w:hanging="720"/>
      </w:pPr>
      <w:r>
        <w:t xml:space="preserve">Ministerio de Planificación Nacional y Política Económica. (2006). Plan Nacional de Desarrollo 2006-2010 “Jorge Manuel Dengo Obregón”. MIDEPLAN.</w:t>
      </w:r>
    </w:p>
    <w:p>
      <w:pPr>
        <w:spacing w:after="140"/>
        <w:ind w:left="720" w:hanging="720"/>
      </w:pPr>
      <w:r>
        <w:t xml:space="preserve">Ministerio de Planificación Nacional y Política Económica. (2011). Plan Nacional de Desarrollo 2011-2014 “María Teresa Obregón Zamora”. MIDEPLAN.</w:t>
      </w:r>
    </w:p>
    <w:p>
      <w:pPr>
        <w:spacing w:after="140"/>
        <w:ind w:left="720" w:hanging="720"/>
      </w:pPr>
      <w:r>
        <w:t xml:space="preserve">Ministerio de Planificación Nacional y Política Económica. (2015). Plan Nacional de Desarrollo 2015-2018 “Alberto Cañas Escalante”. MIDEPLAN.</w:t>
      </w:r>
    </w:p>
    <w:p>
      <w:pPr>
        <w:spacing w:after="140"/>
        <w:ind w:left="720" w:hanging="720"/>
      </w:pPr>
      <w:r>
        <w:t xml:space="preserve">Ministerio de Planificación Nacional y Política Económica. (2018). Plan Nacional de Desarrollo y de Inversión Pública del Bicentenario 2019-2022. MIDEPLAN. https://sites.google.com/expedientesmideplan.go.cr/pndip-2019-2022/</w:t>
      </w:r>
    </w:p>
    <w:p>
      <w:pPr>
        <w:spacing w:after="140"/>
        <w:ind w:left="720" w:hanging="720"/>
      </w:pPr>
      <w:r>
        <w:t xml:space="preserve">Ministerio de Planificación Nacional y Política Económica. (2023). Plan Nacional de Desarrollo e Inversión Pública 2023-2026 “Rogelio Fernández Güell”. MIDEPLAN.</w:t>
      </w:r>
    </w:p>
    <w:p>
      <w:pPr>
        <w:spacing w:after="140"/>
        <w:ind w:left="720" w:hanging="720"/>
      </w:pPr>
      <w:r>
        <w:t xml:space="preserve">Ministerio de Planificación Nacional y Política Económica. (2027). Plan Nacional de Desarrollo e Inversión Pública 2027-2030 “Braulio Carrillo Colina”. MIDEPLAN.</w:t>
      </w:r>
    </w:p>
    <w:p>
      <w:pPr>
        <w:spacing w:after="160" w:line="276"/>
      </w:pPr>
      <w:r>
        <w:rPr>
          <w:b w:val="false"/>
          <w:bCs w:val="false"/>
          <w:i/>
          <w:iCs/>
        </w:rPr>
        <w:t xml:space="preserve">Nota APA 7: se registra a Mideplan como autor institucional y el nombre honorífico entre comillas como parte del título, siguiendo la advertencia del manual de corpus de no inferir autoría a partir de una dedicatoria. El año de publicación exacto de cada plan no fue verificado más allá del año de inicio del periodo de gobierno declarado en la portada; podría diferir del año real de imprenta.</w:t>
      </w:r>
    </w:p>
    <w:p>
      <w:r>
        <w:br w:type="page"/>
      </w:r>
    </w:p>
    <w:p>
      <w:pPr>
        <w:pStyle w:val="Heading1"/>
        <w:spacing w:after="150" w:before="300"/>
      </w:pPr>
      <w:r>
        <w:t xml:space="preserve">Apéndices</w:t>
      </w:r>
    </w:p>
    <w:p>
      <w:pPr>
        <w:pStyle w:val="Heading2"/>
        <w:spacing w:after="120" w:before="240"/>
      </w:pPr>
      <w:r>
        <w:t xml:space="preserve">A. Paquete de evidencia auditable</w:t>
      </w:r>
    </w:p>
    <w:p>
      <w:pPr>
        <w:spacing w:after="160" w:line="276"/>
      </w:pPr>
      <w:r>
        <w:rPr>
          <w:b w:val="false"/>
          <w:bCs w:val="false"/>
          <w:i w:val="false"/>
          <w:iCs w:val="false"/>
        </w:rPr>
        <w:t xml:space="preserve">Este informe se acompaña de un paquete completo de artefactos de investigación, todos validados programáticamente contra los esquemas 0.3.0 del pipeline scientific-research-pipeline (0 errores de validación), disponible en la subcarpeta Analisis_Continuidad_Disrupcion_PND:</w:t>
      </w:r>
    </w:p>
    <w:p>
      <w:pPr>
        <w:pStyle w:val="ListParagraph"/>
        <w:numPr>
          <w:ilvl w:val="0"/>
          <w:numId w:val="1"/>
        </w:numPr>
        <w:spacing w:after="80"/>
      </w:pPr>
      <w:r>
        <w:t xml:space="preserve">00_research_charter.md — carta de investigación completa.</w:t>
      </w:r>
    </w:p>
    <w:p>
      <w:pPr>
        <w:pStyle w:val="ListParagraph"/>
        <w:numPr>
          <w:ilvl w:val="0"/>
          <w:numId w:val="1"/>
        </w:numPr>
        <w:spacing w:after="80"/>
      </w:pPr>
      <w:r>
        <w:t xml:space="preserve">01_research_protocol.json — protocolo formal (preguntas, hipótesis, variables, criterios de contraste).</w:t>
      </w:r>
    </w:p>
    <w:p>
      <w:pPr>
        <w:pStyle w:val="ListParagraph"/>
        <w:numPr>
          <w:ilvl w:val="0"/>
          <w:numId w:val="1"/>
        </w:numPr>
        <w:spacing w:after="80"/>
      </w:pPr>
      <w:r>
        <w:t xml:space="preserve">02_corpus_manifest.json — manifiesto de corpus (14 documentos, periodos observados, riesgos de comparabilidad).</w:t>
      </w:r>
    </w:p>
    <w:p>
      <w:pPr>
        <w:pStyle w:val="ListParagraph"/>
        <w:numPr>
          <w:ilvl w:val="0"/>
          <w:numId w:val="1"/>
        </w:numPr>
        <w:spacing w:after="80"/>
      </w:pPr>
      <w:r>
        <w:t xml:space="preserve">03_document_registry.json — registro de los 14 documentos con checksum, páginas, calidad de extracción y limitaciones.</w:t>
      </w:r>
    </w:p>
    <w:p>
      <w:pPr>
        <w:pStyle w:val="ListParagraph"/>
        <w:numPr>
          <w:ilvl w:val="0"/>
          <w:numId w:val="1"/>
        </w:numPr>
        <w:spacing w:after="80"/>
      </w:pPr>
      <w:r>
        <w:t xml:space="preserve">05_evidence.json — 24 registros de evidencia atómica, cada uno con página física, método de extracción y confianza.</w:t>
      </w:r>
    </w:p>
    <w:p>
      <w:pPr>
        <w:pStyle w:val="ListParagraph"/>
        <w:numPr>
          <w:ilvl w:val="0"/>
          <w:numId w:val="1"/>
        </w:numPr>
        <w:spacing w:after="80"/>
      </w:pPr>
      <w:r>
        <w:t xml:space="preserve">06_longitudinal_codebook.md — codebook de dos dimensiones con anclas observables 0-4.</w:t>
      </w:r>
    </w:p>
    <w:p>
      <w:pPr>
        <w:pStyle w:val="ListParagraph"/>
        <w:numPr>
          <w:ilvl w:val="0"/>
          <w:numId w:val="1"/>
        </w:numPr>
        <w:spacing w:after="80"/>
      </w:pPr>
      <w:r>
        <w:t xml:space="preserve">07_comparative_scores.json — 18 puntuaciones comparativas (9 transiciones × 2 dimensiones) con evidencia y racional.</w:t>
      </w:r>
    </w:p>
    <w:p>
      <w:pPr>
        <w:pStyle w:val="ListParagraph"/>
        <w:numPr>
          <w:ilvl w:val="0"/>
          <w:numId w:val="1"/>
        </w:numPr>
        <w:spacing w:after="80"/>
      </w:pPr>
      <w:r>
        <w:t xml:space="preserve">08a_analysis_records.json / 08b_result_records.json — análisis descriptivos y resultados con casos negativos.</w:t>
      </w:r>
    </w:p>
    <w:p>
      <w:pPr>
        <w:pStyle w:val="ListParagraph"/>
        <w:numPr>
          <w:ilvl w:val="0"/>
          <w:numId w:val="1"/>
        </w:numPr>
        <w:spacing w:after="80"/>
      </w:pPr>
      <w:r>
        <w:t xml:space="preserve">09_hypothesis_assessment.json — evaluación formal de H1 y H2 con criterios y decisión.</w:t>
      </w:r>
    </w:p>
    <w:p>
      <w:pPr>
        <w:pStyle w:val="ListParagraph"/>
        <w:numPr>
          <w:ilvl w:val="0"/>
          <w:numId w:val="1"/>
        </w:numPr>
        <w:spacing w:after="80"/>
      </w:pPr>
      <w:r>
        <w:t xml:space="preserve">10_traceability_matrix.csv — matriz de trazabilidad de cada afirmación material del informe.</w:t>
      </w:r>
    </w:p>
    <w:p>
      <w:pPr>
        <w:pStyle w:val="ListParagraph"/>
        <w:numPr>
          <w:ilvl w:val="0"/>
          <w:numId w:val="1"/>
        </w:numPr>
        <w:spacing w:after="80"/>
      </w:pPr>
      <w:r>
        <w:t xml:space="preserve">11_audit_report.md — auditoría de calidad científica con decisión de release (PASS WITH WARNINGS).</w:t>
      </w:r>
    </w:p>
    <w:p>
      <w:pPr>
        <w:pStyle w:val="Heading2"/>
        <w:spacing w:after="120" w:before="240"/>
      </w:pPr>
      <w:r>
        <w:t xml:space="preserve">B. Declaración de auditoría y trazabilidad</w:t>
      </w:r>
    </w:p>
    <w:p>
      <w:pPr>
        <w:spacing w:after="160" w:line="276"/>
      </w:pPr>
      <w:r>
        <w:rPr>
          <w:b w:val="false"/>
          <w:bCs w:val="false"/>
          <w:i w:val="false"/>
          <w:iCs w:val="false"/>
        </w:rPr>
        <w:t xml:space="preserve">Decisión de release: PASS WITH WARNINGS. Las tres advertencias documentadas (discrepancia de paginación en el PNDIP 2019-2022; ausencia de segunda codificación independiente; checksum agregado del sitio 2002-2006 heredado sin recalcular) están acotadas, declaradas explícitamente y no alteran la dirección de los hallazgos principales. Ninguna corresponde a una categoría que bloquee el release (fabricación, inconsistencia numérica, conclusión no sustentada o causalidad inválida). El detalle completo de la auditoría está en 11_audit_report.md.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F3864"/>
      <w:sz w:val="28"/>
      <w:szCs w:val="28"/>
    </w:rPr>
  </w:style>
  <w:style w:type="paragraph" w:styleId="Heading2">
    <w:name w:val="Heading 2"/>
    <w:basedOn w:val="Normal"/>
    <w:next w:val="Normal"/>
    <w:qFormat/>
    <w:rPr>
      <w:b/>
      <w:bCs/>
      <w:color w:val="2E5395"/>
      <w:sz w:val="24"/>
      <w:szCs w:val="24"/>
    </w:rPr>
  </w:style>
  <w:style w:type="paragraph" w:styleId="Heading3">
    <w:name w:val="Heading 3"/>
    <w:basedOn w:val="Normal"/>
    <w:next w:val="Normal"/>
    <w:qFormat/>
    <w:rPr>
      <w:b/>
      <w:bCs/>
      <w:color w:val="2E539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2026-08-26T16:25:08.813Z</dcterms:created>
  <dcterms:modified xsi:type="dcterms:W3CDTF">2026-08-26T16:25:08.831Z</dcterms:modified>
</cp:coreProperties>
</file>

<file path=docProps/custom.xml><?xml version="1.0" encoding="utf-8"?>
<Properties xmlns="http://schemas.openxmlformats.org/officeDocument/2006/custom-properties" xmlns:vt="http://schemas.openxmlformats.org/officeDocument/2006/docPropsVTypes"/>
</file>