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300"/>
        <w:jc w:val="center"/>
      </w:pPr>
      <w:r>
        <w:rPr>
          <w:rFonts w:ascii="Arial" w:cs="Arial" w:eastAsia="Arial" w:hAnsi="Arial"/>
          <w:i/>
          <w:iCs/>
          <w:color w:val="555555"/>
          <w:sz w:val="18"/>
          <w:szCs w:val="18"/>
        </w:rPr>
        <w:t xml:space="preserve">VERSIÓN AJUSTADA TRAS AUDITORÍA — Los porcentajes se presentan como juicios probabilísticos estructurados, no como resultados de un modelo bayesiano formal. Corte de información: 18 de agosto de 2026.</w:t>
      </w:r>
    </w:p>
    <w:p>
      <w:pPr>
        <w:spacing w:before="1600"/>
      </w:pPr>
    </w:p>
    <w:p>
      <w:pPr>
        <w:spacing w:after="200"/>
        <w:jc w:val="center"/>
      </w:pPr>
      <w:r>
        <w:rPr>
          <w:rFonts w:ascii="Arial" w:cs="Arial" w:eastAsia="Arial" w:hAnsi="Arial"/>
          <w:b/>
          <w:bCs/>
          <w:color w:val="1B3A5C"/>
          <w:sz w:val="46"/>
          <w:szCs w:val="46"/>
        </w:rPr>
        <w:t xml:space="preserve">ESTIMACIÓN PROBABILÍSTICA</w:t>
      </w:r>
    </w:p>
    <w:p>
      <w:pPr>
        <w:spacing w:after="100"/>
        <w:jc w:val="center"/>
      </w:pPr>
      <w:r>
        <w:rPr>
          <w:rFonts w:ascii="Arial" w:cs="Arial" w:eastAsia="Arial" w:hAnsi="Arial"/>
          <w:color w:val="2E75B6"/>
          <w:sz w:val="38"/>
          <w:szCs w:val="38"/>
        </w:rPr>
        <w:t xml:space="preserve">Escalada a Conflicto Global</w:t>
      </w:r>
    </w:p>
    <w:p>
      <w:pPr>
        <w:pBdr>
          <w:bottom w:val="single" w:color="8B1A1A" w:sz="6" w:space="1"/>
        </w:pBdr>
        <w:spacing w:after="400"/>
        <w:jc w:val="center"/>
      </w:pPr>
    </w:p>
    <w:p>
      <w:pPr>
        <w:spacing w:after="100"/>
        <w:jc w:val="center"/>
      </w:pPr>
      <w:r>
        <w:rPr>
          <w:rFonts w:ascii="Arial" w:cs="Arial" w:eastAsia="Arial" w:hAnsi="Arial"/>
          <w:i/>
          <w:iCs/>
          <w:color w:val="555555"/>
          <w:sz w:val="24"/>
          <w:szCs w:val="24"/>
        </w:rPr>
        <w:t xml:space="preserve">Revisión retrospectiva y prospectiva a seis meses de guerra</w:t>
      </w:r>
    </w:p>
    <w:p>
      <w:pPr>
        <w:spacing w:after="100"/>
        <w:jc w:val="center"/>
      </w:pPr>
      <w:r>
        <w:rPr>
          <w:rFonts w:ascii="Arial" w:cs="Arial" w:eastAsia="Arial" w:hAnsi="Arial"/>
          <w:color w:val="555555"/>
          <w:sz w:val="24"/>
          <w:szCs w:val="24"/>
        </w:rPr>
        <w:t xml:space="preserve">Versión 8.0 — 18 de agosto de 2026 (Día 172 del conflicto)</w:t>
      </w:r>
    </w:p>
    <w:p>
      <w:pPr>
        <w:spacing w:before="700"/>
      </w:pPr>
    </w:p>
    <w:p>
      <w:pPr>
        <w:spacing w:after="120"/>
        <w:jc w:val="center"/>
      </w:pPr>
      <w:r>
        <w:rPr>
          <w:rFonts w:ascii="Arial" w:cs="Arial" w:eastAsia="Arial" w:hAnsi="Arial"/>
          <w:b/>
          <w:bCs/>
          <w:color w:val="8B1A1A"/>
          <w:sz w:val="22"/>
          <w:szCs w:val="22"/>
        </w:rPr>
        <w:t xml:space="preserve">NOVEDADES DE ESTA VERSIÓN</w:t>
      </w:r>
    </w:p>
    <w:p>
      <w:pPr>
        <w:spacing w:after="400"/>
        <w:jc w:val="center"/>
      </w:pPr>
      <w:r>
        <w:rPr>
          <w:rFonts w:ascii="Arial" w:cs="Arial" w:eastAsia="Arial" w:hAnsi="Arial"/>
          <w:color w:val="8B1A1A"/>
          <w:sz w:val="20"/>
          <w:szCs w:val="20"/>
        </w:rPr>
        <w:t xml:space="preserve">Fase VI (29 jul – 18 ago) · Acuerdo de La Meca (7 ago) · Sexto ciclo de Ormuz
Expiración del plazo de 60 días del Memorándum sin acuerdo (17 ago)</w:t>
      </w:r>
    </w:p>
    <w:p>
      <w:pPr>
        <w:spacing w:after="80"/>
        <w:jc w:val="center"/>
      </w:pPr>
      <w:r>
        <w:rPr>
          <w:rFonts w:ascii="Arial" w:cs="Arial" w:eastAsia="Arial" w:hAnsi="Arial"/>
          <w:color w:val="555555"/>
          <w:sz w:val="22"/>
          <w:szCs w:val="22"/>
        </w:rPr>
        <w:t xml:space="preserve">Documento de trabajo analítico</w:t>
      </w:r>
    </w:p>
    <w:p>
      <w:pPr>
        <w:spacing w:after="80"/>
        <w:jc w:val="center"/>
      </w:pPr>
      <w:r>
        <w:rPr>
          <w:rFonts w:ascii="Arial" w:cs="Arial" w:eastAsia="Arial" w:hAnsi="Arial"/>
          <w:i/>
          <w:iCs/>
          <w:color w:val="555555"/>
          <w:sz w:val="20"/>
          <w:szCs w:val="20"/>
        </w:rPr>
        <w:t xml:space="preserve">Generado con asistencia de Claude (Anthropic) | Revisión humana requerida</w:t>
      </w:r>
    </w:p>
    <w:p>
      <w:pPr>
        <w:jc w:val="center"/>
      </w:pPr>
      <w:r>
        <w:rPr>
          <w:rFonts w:ascii="Arial" w:cs="Arial" w:eastAsia="Arial" w:hAnsi="Arial"/>
          <w:b/>
          <w:bCs/>
          <w:color w:val="8B1A1A"/>
          <w:sz w:val="18"/>
          <w:szCs w:val="18"/>
        </w:rPr>
        <w:t xml:space="preserve">Ejercicio de juicio probabilístico estructurado, no modelo estadístico validado.</w:t>
      </w:r>
    </w:p>
    <w:p>
      <w:pPr>
        <w:sectPr>
          <w:pgSz w:w="12240" w:h="15840" w:orient="portrait"/>
          <w:pgMar w:top="1440" w:right="1440" w:bottom="1440" w:left="1440" w:header="708" w:footer="708" w:gutter="0"/>
          <w:pgNumType/>
          <w:docGrid w:linePitch="360"/>
        </w:sectPr>
      </w:pPr>
    </w:p>
    <w:p>
      <w:pPr>
        <w:pStyle w:val="Heading1"/>
      </w:pPr>
      <w:r>
        <w:t xml:space="preserve">ÍNDICE</w:t>
      </w:r>
    </w:p>
    <w:p>
      <w:pPr>
        <w:spacing w:after="60"/>
      </w:pPr>
    </w:p>
    <w:p>
      <w:pPr>
        <w:spacing w:after="90"/>
        <w:ind w:left="0"/>
      </w:pPr>
      <w:r>
        <w:rPr>
          <w:rFonts w:ascii="Arial" w:cs="Arial" w:eastAsia="Arial" w:hAnsi="Arial"/>
          <w:b/>
          <w:bCs/>
          <w:color w:val="1B3A5C"/>
          <w:sz w:val="22"/>
          <w:szCs w:val="22"/>
        </w:rPr>
        <w:t xml:space="preserve">1. </w:t>
      </w:r>
      <w:r>
        <w:rPr>
          <w:rFonts w:ascii="Arial" w:cs="Arial" w:eastAsia="Arial" w:hAnsi="Arial"/>
          <w:b/>
          <w:bCs/>
          <w:color w:val="1B3A5C"/>
          <w:sz w:val="22"/>
          <w:szCs w:val="22"/>
        </w:rPr>
        <w:t xml:space="preserve">Nota sobre esta versión</w:t>
      </w:r>
    </w:p>
    <w:p>
      <w:pPr>
        <w:spacing w:after="90"/>
        <w:ind w:left="0"/>
      </w:pPr>
      <w:r>
        <w:rPr>
          <w:rFonts w:ascii="Arial" w:cs="Arial" w:eastAsia="Arial" w:hAnsi="Arial"/>
          <w:b/>
          <w:bCs/>
          <w:color w:val="1B3A5C"/>
          <w:sz w:val="22"/>
          <w:szCs w:val="22"/>
        </w:rPr>
        <w:t xml:space="preserve">2. </w:t>
      </w:r>
      <w:r>
        <w:rPr>
          <w:rFonts w:ascii="Arial" w:cs="Arial" w:eastAsia="Arial" w:hAnsi="Arial"/>
          <w:b/>
          <w:bCs/>
          <w:color w:val="1B3A5C"/>
          <w:sz w:val="22"/>
          <w:szCs w:val="22"/>
        </w:rPr>
        <w:t xml:space="preserve">Definición Operativa (revisada)</w:t>
      </w:r>
    </w:p>
    <w:p>
      <w:pPr>
        <w:spacing w:after="90"/>
        <w:ind w:left="0"/>
      </w:pPr>
      <w:r>
        <w:rPr>
          <w:rFonts w:ascii="Arial" w:cs="Arial" w:eastAsia="Arial" w:hAnsi="Arial"/>
          <w:b/>
          <w:bCs/>
          <w:color w:val="1B3A5C"/>
          <w:sz w:val="22"/>
          <w:szCs w:val="22"/>
        </w:rPr>
        <w:t xml:space="preserve">3. </w:t>
      </w:r>
      <w:r>
        <w:rPr>
          <w:rFonts w:ascii="Arial" w:cs="Arial" w:eastAsia="Arial" w:hAnsi="Arial"/>
          <w:b/>
          <w:bCs/>
          <w:color w:val="1B3A5C"/>
          <w:sz w:val="22"/>
          <w:szCs w:val="22"/>
        </w:rPr>
        <w:t xml:space="preserve">Cronología: seis fases de la guerra</w:t>
      </w:r>
    </w:p>
    <w:p>
      <w:pPr>
        <w:spacing w:after="55"/>
        <w:ind w:left="480"/>
      </w:pPr>
      <w:r>
        <w:rPr>
          <w:rFonts w:ascii="Arial" w:cs="Arial" w:eastAsia="Arial" w:hAnsi="Arial"/>
          <w:b w:val="false"/>
          <w:bCs w:val="false"/>
          <w:color w:val="1B3A5C"/>
          <w:sz w:val="20"/>
          <w:szCs w:val="20"/>
        </w:rPr>
        <w:t xml:space="preserve">3.1 </w:t>
      </w:r>
      <w:r>
        <w:rPr>
          <w:rFonts w:ascii="Arial" w:cs="Arial" w:eastAsia="Arial" w:hAnsi="Arial"/>
          <w:b w:val="false"/>
          <w:bCs w:val="false"/>
          <w:color w:val="555555"/>
          <w:sz w:val="20"/>
          <w:szCs w:val="20"/>
        </w:rPr>
        <w:t xml:space="preserve">Fase I — Guerra abierta (28 feb – 7 abr)</w:t>
      </w:r>
    </w:p>
    <w:p>
      <w:pPr>
        <w:spacing w:after="55"/>
        <w:ind w:left="480"/>
      </w:pPr>
      <w:r>
        <w:rPr>
          <w:rFonts w:ascii="Arial" w:cs="Arial" w:eastAsia="Arial" w:hAnsi="Arial"/>
          <w:b w:val="false"/>
          <w:bCs w:val="false"/>
          <w:color w:val="1B3A5C"/>
          <w:sz w:val="20"/>
          <w:szCs w:val="20"/>
        </w:rPr>
        <w:t xml:space="preserve">3.2 </w:t>
      </w:r>
      <w:r>
        <w:rPr>
          <w:rFonts w:ascii="Arial" w:cs="Arial" w:eastAsia="Arial" w:hAnsi="Arial"/>
          <w:b w:val="false"/>
          <w:bCs w:val="false"/>
          <w:color w:val="555555"/>
          <w:sz w:val="20"/>
          <w:szCs w:val="20"/>
        </w:rPr>
        <w:t xml:space="preserve">Fase II — Alto el fuego y bloqueo naval (8 abr – 11 jun)</w:t>
      </w:r>
    </w:p>
    <w:p>
      <w:pPr>
        <w:spacing w:after="55"/>
        <w:ind w:left="480"/>
      </w:pPr>
      <w:r>
        <w:rPr>
          <w:rFonts w:ascii="Arial" w:cs="Arial" w:eastAsia="Arial" w:hAnsi="Arial"/>
          <w:b w:val="false"/>
          <w:bCs w:val="false"/>
          <w:color w:val="1B3A5C"/>
          <w:sz w:val="20"/>
          <w:szCs w:val="20"/>
        </w:rPr>
        <w:t xml:space="preserve">3.3 </w:t>
      </w:r>
      <w:r>
        <w:rPr>
          <w:rFonts w:ascii="Arial" w:cs="Arial" w:eastAsia="Arial" w:hAnsi="Arial"/>
          <w:b w:val="false"/>
          <w:bCs w:val="false"/>
          <w:color w:val="555555"/>
          <w:sz w:val="20"/>
          <w:szCs w:val="20"/>
        </w:rPr>
        <w:t xml:space="preserve">Fase III — Memorándum de Islamabad (12 – 30 jun)</w:t>
      </w:r>
    </w:p>
    <w:p>
      <w:pPr>
        <w:spacing w:after="55"/>
        <w:ind w:left="480"/>
      </w:pPr>
      <w:r>
        <w:rPr>
          <w:rFonts w:ascii="Arial" w:cs="Arial" w:eastAsia="Arial" w:hAnsi="Arial"/>
          <w:b w:val="false"/>
          <w:bCs w:val="false"/>
          <w:color w:val="1B3A5C"/>
          <w:sz w:val="20"/>
          <w:szCs w:val="20"/>
        </w:rPr>
        <w:t xml:space="preserve">3.4 </w:t>
      </w:r>
      <w:r>
        <w:rPr>
          <w:rFonts w:ascii="Arial" w:cs="Arial" w:eastAsia="Arial" w:hAnsi="Arial"/>
          <w:b w:val="false"/>
          <w:bCs w:val="false"/>
          <w:color w:val="555555"/>
          <w:sz w:val="20"/>
          <w:szCs w:val="20"/>
        </w:rPr>
        <w:t xml:space="preserve">Fase IV — Colapso y recampaña (1 – 24 jul)</w:t>
      </w:r>
    </w:p>
    <w:p>
      <w:pPr>
        <w:spacing w:after="55"/>
        <w:ind w:left="480"/>
      </w:pPr>
      <w:r>
        <w:rPr>
          <w:rFonts w:ascii="Arial" w:cs="Arial" w:eastAsia="Arial" w:hAnsi="Arial"/>
          <w:b w:val="false"/>
          <w:bCs w:val="false"/>
          <w:color w:val="1B3A5C"/>
          <w:sz w:val="20"/>
          <w:szCs w:val="20"/>
        </w:rPr>
        <w:t xml:space="preserve">3.5 </w:t>
      </w:r>
      <w:r>
        <w:rPr>
          <w:rFonts w:ascii="Arial" w:cs="Arial" w:eastAsia="Arial" w:hAnsi="Arial"/>
          <w:b w:val="false"/>
          <w:bCs w:val="false"/>
          <w:color w:val="555555"/>
          <w:sz w:val="20"/>
          <w:szCs w:val="20"/>
        </w:rPr>
        <w:t xml:space="preserve">Fase V — Pausa operativa (25 – 28 jul)</w:t>
      </w:r>
    </w:p>
    <w:p>
      <w:pPr>
        <w:spacing w:after="55"/>
        <w:ind w:left="480"/>
      </w:pPr>
      <w:r>
        <w:rPr>
          <w:rFonts w:ascii="Arial" w:cs="Arial" w:eastAsia="Arial" w:hAnsi="Arial"/>
          <w:b w:val="false"/>
          <w:bCs w:val="false"/>
          <w:color w:val="1B3A5C"/>
          <w:sz w:val="20"/>
          <w:szCs w:val="20"/>
        </w:rPr>
        <w:t xml:space="preserve">3.6 </w:t>
      </w:r>
      <w:r>
        <w:rPr>
          <w:rFonts w:ascii="Arial" w:cs="Arial" w:eastAsia="Arial" w:hAnsi="Arial"/>
          <w:b w:val="false"/>
          <w:bCs w:val="false"/>
          <w:color w:val="555555"/>
          <w:sz w:val="20"/>
          <w:szCs w:val="20"/>
        </w:rPr>
        <w:t xml:space="preserve">Fase VI — Negociación fallida y realineamiento (29 jul – 18 ago)</w:t>
      </w:r>
    </w:p>
    <w:p>
      <w:pPr>
        <w:spacing w:after="90"/>
        <w:ind w:left="0"/>
      </w:pPr>
      <w:r>
        <w:rPr>
          <w:rFonts w:ascii="Arial" w:cs="Arial" w:eastAsia="Arial" w:hAnsi="Arial"/>
          <w:b/>
          <w:bCs/>
          <w:color w:val="1B3A5C"/>
          <w:sz w:val="22"/>
          <w:szCs w:val="22"/>
        </w:rPr>
        <w:t xml:space="preserve">4. </w:t>
      </w:r>
      <w:r>
        <w:rPr>
          <w:rFonts w:ascii="Arial" w:cs="Arial" w:eastAsia="Arial" w:hAnsi="Arial"/>
          <w:b/>
          <w:bCs/>
          <w:color w:val="1B3A5C"/>
          <w:sz w:val="22"/>
          <w:szCs w:val="22"/>
        </w:rPr>
        <w:t xml:space="preserve">Estado actual (Día 172)</w:t>
      </w:r>
    </w:p>
    <w:p>
      <w:pPr>
        <w:spacing w:after="90"/>
        <w:ind w:left="0"/>
      </w:pPr>
      <w:r>
        <w:rPr>
          <w:rFonts w:ascii="Arial" w:cs="Arial" w:eastAsia="Arial" w:hAnsi="Arial"/>
          <w:b/>
          <w:bCs/>
          <w:color w:val="1B3A5C"/>
          <w:sz w:val="22"/>
          <w:szCs w:val="22"/>
        </w:rPr>
        <w:t xml:space="preserve">5. </w:t>
      </w:r>
      <w:r>
        <w:rPr>
          <w:rFonts w:ascii="Arial" w:cs="Arial" w:eastAsia="Arial" w:hAnsi="Arial"/>
          <w:b/>
          <w:bCs/>
          <w:color w:val="1B3A5C"/>
          <w:sz w:val="22"/>
          <w:szCs w:val="22"/>
        </w:rPr>
        <w:t xml:space="preserve">Balance humano y material</w:t>
      </w:r>
    </w:p>
    <w:p>
      <w:pPr>
        <w:spacing w:after="90"/>
        <w:ind w:left="0"/>
      </w:pPr>
      <w:r>
        <w:rPr>
          <w:rFonts w:ascii="Arial" w:cs="Arial" w:eastAsia="Arial" w:hAnsi="Arial"/>
          <w:b/>
          <w:bCs/>
          <w:color w:val="1B3A5C"/>
          <w:sz w:val="22"/>
          <w:szCs w:val="22"/>
        </w:rPr>
        <w:t xml:space="preserve">6. </w:t>
      </w:r>
      <w:r>
        <w:rPr>
          <w:rFonts w:ascii="Arial" w:cs="Arial" w:eastAsia="Arial" w:hAnsi="Arial"/>
          <w:b/>
          <w:bCs/>
          <w:color w:val="1B3A5C"/>
          <w:sz w:val="22"/>
          <w:szCs w:val="22"/>
        </w:rPr>
        <w:t xml:space="preserve">El Estrecho de Ormuz: el nudo del conflicto</w:t>
      </w:r>
    </w:p>
    <w:p>
      <w:pPr>
        <w:spacing w:after="55"/>
        <w:ind w:left="480"/>
      </w:pPr>
      <w:r>
        <w:rPr>
          <w:rFonts w:ascii="Arial" w:cs="Arial" w:eastAsia="Arial" w:hAnsi="Arial"/>
          <w:b w:val="false"/>
          <w:bCs w:val="false"/>
          <w:color w:val="1B3A5C"/>
          <w:sz w:val="20"/>
          <w:szCs w:val="20"/>
        </w:rPr>
        <w:t xml:space="preserve">6.1 </w:t>
      </w:r>
      <w:r>
        <w:rPr>
          <w:rFonts w:ascii="Arial" w:cs="Arial" w:eastAsia="Arial" w:hAnsi="Arial"/>
          <w:b w:val="false"/>
          <w:bCs w:val="false"/>
          <w:color w:val="555555"/>
          <w:sz w:val="20"/>
          <w:szCs w:val="20"/>
        </w:rPr>
        <w:t xml:space="preserve">Importancia estructural</w:t>
      </w:r>
    </w:p>
    <w:p>
      <w:pPr>
        <w:spacing w:after="55"/>
        <w:ind w:left="480"/>
      </w:pPr>
      <w:r>
        <w:rPr>
          <w:rFonts w:ascii="Arial" w:cs="Arial" w:eastAsia="Arial" w:hAnsi="Arial"/>
          <w:b w:val="false"/>
          <w:bCs w:val="false"/>
          <w:color w:val="1B3A5C"/>
          <w:sz w:val="20"/>
          <w:szCs w:val="20"/>
        </w:rPr>
        <w:t xml:space="preserve">6.2 </w:t>
      </w:r>
      <w:r>
        <w:rPr>
          <w:rFonts w:ascii="Arial" w:cs="Arial" w:eastAsia="Arial" w:hAnsi="Arial"/>
          <w:b w:val="false"/>
          <w:bCs w:val="false"/>
          <w:color w:val="555555"/>
          <w:sz w:val="20"/>
          <w:szCs w:val="20"/>
        </w:rPr>
        <w:t xml:space="preserve">Cronología de cierres y aperturas: seis ciclos</w:t>
      </w:r>
    </w:p>
    <w:p>
      <w:pPr>
        <w:spacing w:after="55"/>
        <w:ind w:left="480"/>
      </w:pPr>
      <w:r>
        <w:rPr>
          <w:rFonts w:ascii="Arial" w:cs="Arial" w:eastAsia="Arial" w:hAnsi="Arial"/>
          <w:b w:val="false"/>
          <w:bCs w:val="false"/>
          <w:color w:val="1B3A5C"/>
          <w:sz w:val="20"/>
          <w:szCs w:val="20"/>
        </w:rPr>
        <w:t xml:space="preserve">6.3 </w:t>
      </w:r>
      <w:r>
        <w:rPr>
          <w:rFonts w:ascii="Arial" w:cs="Arial" w:eastAsia="Arial" w:hAnsi="Arial"/>
          <w:b w:val="false"/>
          <w:bCs w:val="false"/>
          <w:color w:val="555555"/>
          <w:sz w:val="20"/>
          <w:szCs w:val="20"/>
        </w:rPr>
        <w:t xml:space="preserve">Incidentes y ataques a la navegación</w:t>
      </w:r>
    </w:p>
    <w:p>
      <w:pPr>
        <w:spacing w:after="55"/>
        <w:ind w:left="480"/>
      </w:pPr>
      <w:r>
        <w:rPr>
          <w:rFonts w:ascii="Arial" w:cs="Arial" w:eastAsia="Arial" w:hAnsi="Arial"/>
          <w:b w:val="false"/>
          <w:bCs w:val="false"/>
          <w:color w:val="1B3A5C"/>
          <w:sz w:val="20"/>
          <w:szCs w:val="20"/>
        </w:rPr>
        <w:t xml:space="preserve">6.4 </w:t>
      </w:r>
      <w:r>
        <w:rPr>
          <w:rFonts w:ascii="Arial" w:cs="Arial" w:eastAsia="Arial" w:hAnsi="Arial"/>
          <w:b w:val="false"/>
          <w:bCs w:val="false"/>
          <w:color w:val="555555"/>
          <w:sz w:val="20"/>
          <w:szCs w:val="20"/>
        </w:rPr>
        <w:t xml:space="preserve">Correlación con los precios del crudo</w:t>
      </w:r>
    </w:p>
    <w:p>
      <w:pPr>
        <w:spacing w:after="55"/>
        <w:ind w:left="480"/>
      </w:pPr>
      <w:r>
        <w:rPr>
          <w:rFonts w:ascii="Arial" w:cs="Arial" w:eastAsia="Arial" w:hAnsi="Arial"/>
          <w:b w:val="false"/>
          <w:bCs w:val="false"/>
          <w:color w:val="1B3A5C"/>
          <w:sz w:val="20"/>
          <w:szCs w:val="20"/>
        </w:rPr>
        <w:t xml:space="preserve">6.5 </w:t>
      </w:r>
      <w:r>
        <w:rPr>
          <w:rFonts w:ascii="Arial" w:cs="Arial" w:eastAsia="Arial" w:hAnsi="Arial"/>
          <w:b w:val="false"/>
          <w:bCs w:val="false"/>
          <w:color w:val="555555"/>
          <w:sz w:val="20"/>
          <w:szCs w:val="20"/>
        </w:rPr>
        <w:t xml:space="preserve">Costos de seguro y reenrutamiento</w:t>
      </w:r>
    </w:p>
    <w:p>
      <w:pPr>
        <w:spacing w:after="55"/>
        <w:ind w:left="480"/>
      </w:pPr>
      <w:r>
        <w:rPr>
          <w:rFonts w:ascii="Arial" w:cs="Arial" w:eastAsia="Arial" w:hAnsi="Arial"/>
          <w:b w:val="false"/>
          <w:bCs w:val="false"/>
          <w:color w:val="1B3A5C"/>
          <w:sz w:val="20"/>
          <w:szCs w:val="20"/>
        </w:rPr>
        <w:t xml:space="preserve">6.6 </w:t>
      </w:r>
      <w:r>
        <w:rPr>
          <w:rFonts w:ascii="Arial" w:cs="Arial" w:eastAsia="Arial" w:hAnsi="Arial"/>
          <w:b w:val="false"/>
          <w:bCs w:val="false"/>
          <w:color w:val="555555"/>
          <w:sz w:val="20"/>
          <w:szCs w:val="20"/>
        </w:rPr>
        <w:t xml:space="preserve">La arquitectura de gobernanza en disputa</w:t>
      </w:r>
    </w:p>
    <w:p>
      <w:pPr>
        <w:spacing w:after="55"/>
        <w:ind w:left="480"/>
      </w:pPr>
      <w:r>
        <w:rPr>
          <w:rFonts w:ascii="Arial" w:cs="Arial" w:eastAsia="Arial" w:hAnsi="Arial"/>
          <w:b w:val="false"/>
          <w:bCs w:val="false"/>
          <w:color w:val="1B3A5C"/>
          <w:sz w:val="20"/>
          <w:szCs w:val="20"/>
        </w:rPr>
        <w:t xml:space="preserve">6.7 </w:t>
      </w:r>
      <w:r>
        <w:rPr>
          <w:rFonts w:ascii="Arial" w:cs="Arial" w:eastAsia="Arial" w:hAnsi="Arial"/>
          <w:b w:val="false"/>
          <w:bCs w:val="false"/>
          <w:color w:val="555555"/>
          <w:sz w:val="20"/>
          <w:szCs w:val="20"/>
        </w:rPr>
        <w:t xml:space="preserve">Por qué Ormuz determina el desenlace</w:t>
      </w:r>
    </w:p>
    <w:p>
      <w:pPr>
        <w:spacing w:after="90"/>
        <w:ind w:left="0"/>
      </w:pPr>
      <w:r>
        <w:rPr>
          <w:rFonts w:ascii="Arial" w:cs="Arial" w:eastAsia="Arial" w:hAnsi="Arial"/>
          <w:b/>
          <w:bCs/>
          <w:color w:val="1B3A5C"/>
          <w:sz w:val="22"/>
          <w:szCs w:val="22"/>
        </w:rPr>
        <w:t xml:space="preserve">7. </w:t>
      </w:r>
      <w:r>
        <w:rPr>
          <w:rFonts w:ascii="Arial" w:cs="Arial" w:eastAsia="Arial" w:hAnsi="Arial"/>
          <w:b/>
          <w:bCs/>
          <w:color w:val="1B3A5C"/>
          <w:sz w:val="22"/>
          <w:szCs w:val="22"/>
        </w:rPr>
        <w:t xml:space="preserve">Impacto económico global</w:t>
      </w:r>
    </w:p>
    <w:p>
      <w:pPr>
        <w:spacing w:after="90"/>
        <w:ind w:left="0"/>
      </w:pPr>
      <w:r>
        <w:rPr>
          <w:rFonts w:ascii="Arial" w:cs="Arial" w:eastAsia="Arial" w:hAnsi="Arial"/>
          <w:b/>
          <w:bCs/>
          <w:color w:val="1B3A5C"/>
          <w:sz w:val="22"/>
          <w:szCs w:val="22"/>
        </w:rPr>
        <w:t xml:space="preserve">8. </w:t>
      </w:r>
      <w:r>
        <w:rPr>
          <w:rFonts w:ascii="Arial" w:cs="Arial" w:eastAsia="Arial" w:hAnsi="Arial"/>
          <w:b/>
          <w:bCs/>
          <w:color w:val="1B3A5C"/>
          <w:sz w:val="22"/>
          <w:szCs w:val="22"/>
        </w:rPr>
        <w:t xml:space="preserve">El Acuerdo de La Meca (7 de agosto de 2026)</w:t>
      </w:r>
    </w:p>
    <w:p>
      <w:pPr>
        <w:spacing w:after="55"/>
        <w:ind w:left="480"/>
      </w:pPr>
      <w:r>
        <w:rPr>
          <w:rFonts w:ascii="Arial" w:cs="Arial" w:eastAsia="Arial" w:hAnsi="Arial"/>
          <w:b w:val="false"/>
          <w:bCs w:val="false"/>
          <w:color w:val="1B3A5C"/>
          <w:sz w:val="20"/>
          <w:szCs w:val="20"/>
        </w:rPr>
        <w:t xml:space="preserve">8.1 </w:t>
      </w:r>
      <w:r>
        <w:rPr>
          <w:rFonts w:ascii="Arial" w:cs="Arial" w:eastAsia="Arial" w:hAnsi="Arial"/>
          <w:b w:val="false"/>
          <w:bCs w:val="false"/>
          <w:color w:val="555555"/>
          <w:sz w:val="20"/>
          <w:szCs w:val="20"/>
        </w:rPr>
        <w:t xml:space="preserve">Composición, fecha y contenido declarado</w:t>
      </w:r>
    </w:p>
    <w:p>
      <w:pPr>
        <w:spacing w:after="55"/>
        <w:ind w:left="480"/>
      </w:pPr>
      <w:r>
        <w:rPr>
          <w:rFonts w:ascii="Arial" w:cs="Arial" w:eastAsia="Arial" w:hAnsi="Arial"/>
          <w:b w:val="false"/>
          <w:bCs w:val="false"/>
          <w:color w:val="1B3A5C"/>
          <w:sz w:val="20"/>
          <w:szCs w:val="20"/>
        </w:rPr>
        <w:t xml:space="preserve">8.2 </w:t>
      </w:r>
      <w:r>
        <w:rPr>
          <w:rFonts w:ascii="Arial" w:cs="Arial" w:eastAsia="Arial" w:hAnsi="Arial"/>
          <w:b w:val="false"/>
          <w:bCs w:val="false"/>
          <w:color w:val="555555"/>
          <w:sz w:val="20"/>
          <w:szCs w:val="20"/>
        </w:rPr>
        <w:t xml:space="preserve">La cláusula de defensa mutua: alcance real</w:t>
      </w:r>
    </w:p>
    <w:p>
      <w:pPr>
        <w:spacing w:after="55"/>
        <w:ind w:left="480"/>
      </w:pPr>
      <w:r>
        <w:rPr>
          <w:rFonts w:ascii="Arial" w:cs="Arial" w:eastAsia="Arial" w:hAnsi="Arial"/>
          <w:b w:val="false"/>
          <w:bCs w:val="false"/>
          <w:color w:val="1B3A5C"/>
          <w:sz w:val="20"/>
          <w:szCs w:val="20"/>
        </w:rPr>
        <w:t xml:space="preserve">8.3 </w:t>
      </w:r>
      <w:r>
        <w:rPr>
          <w:rFonts w:ascii="Arial" w:cs="Arial" w:eastAsia="Arial" w:hAnsi="Arial"/>
          <w:b w:val="false"/>
          <w:bCs w:val="false"/>
          <w:color w:val="555555"/>
          <w:sz w:val="20"/>
          <w:szCs w:val="20"/>
        </w:rPr>
        <w:t xml:space="preserve">El despliegue pakistaní: qué ocurrió realmente</w:t>
      </w:r>
    </w:p>
    <w:p>
      <w:pPr>
        <w:spacing w:after="55"/>
        <w:ind w:left="480"/>
      </w:pPr>
      <w:r>
        <w:rPr>
          <w:rFonts w:ascii="Arial" w:cs="Arial" w:eastAsia="Arial" w:hAnsi="Arial"/>
          <w:b w:val="false"/>
          <w:bCs w:val="false"/>
          <w:color w:val="1B3A5C"/>
          <w:sz w:val="20"/>
          <w:szCs w:val="20"/>
        </w:rPr>
        <w:t xml:space="preserve">8.4 </w:t>
      </w:r>
      <w:r>
        <w:rPr>
          <w:rFonts w:ascii="Arial" w:cs="Arial" w:eastAsia="Arial" w:hAnsi="Arial"/>
          <w:b w:val="false"/>
          <w:bCs w:val="false"/>
          <w:color w:val="555555"/>
          <w:sz w:val="20"/>
          <w:szCs w:val="20"/>
        </w:rPr>
        <w:t xml:space="preserve">Capacidades combinadas y ambigüedad nuclear</w:t>
      </w:r>
    </w:p>
    <w:p>
      <w:pPr>
        <w:spacing w:after="55"/>
        <w:ind w:left="480"/>
      </w:pPr>
      <w:r>
        <w:rPr>
          <w:rFonts w:ascii="Arial" w:cs="Arial" w:eastAsia="Arial" w:hAnsi="Arial"/>
          <w:b w:val="false"/>
          <w:bCs w:val="false"/>
          <w:color w:val="1B3A5C"/>
          <w:sz w:val="20"/>
          <w:szCs w:val="20"/>
        </w:rPr>
        <w:t xml:space="preserve">8.5 </w:t>
      </w:r>
      <w:r>
        <w:rPr>
          <w:rFonts w:ascii="Arial" w:cs="Arial" w:eastAsia="Arial" w:hAnsi="Arial"/>
          <w:b w:val="false"/>
          <w:bCs w:val="false"/>
          <w:color w:val="555555"/>
          <w:sz w:val="20"/>
          <w:szCs w:val="20"/>
        </w:rPr>
        <w:t xml:space="preserve">Lecturas encontradas e implicaciones</w:t>
      </w:r>
    </w:p>
    <w:p>
      <w:pPr>
        <w:spacing w:after="90"/>
        <w:ind w:left="0"/>
      </w:pPr>
      <w:r>
        <w:rPr>
          <w:rFonts w:ascii="Arial" w:cs="Arial" w:eastAsia="Arial" w:hAnsi="Arial"/>
          <w:b/>
          <w:bCs/>
          <w:color w:val="1B3A5C"/>
          <w:sz w:val="22"/>
          <w:szCs w:val="22"/>
        </w:rPr>
        <w:t xml:space="preserve">9. </w:t>
      </w:r>
      <w:r>
        <w:rPr>
          <w:rFonts w:ascii="Arial" w:cs="Arial" w:eastAsia="Arial" w:hAnsi="Arial"/>
          <w:b/>
          <w:bCs/>
          <w:color w:val="1B3A5C"/>
          <w:sz w:val="22"/>
          <w:szCs w:val="22"/>
        </w:rPr>
        <w:t xml:space="preserve">Posiciones de actores clave</w:t>
      </w:r>
    </w:p>
    <w:p>
      <w:pPr>
        <w:spacing w:after="90"/>
        <w:ind w:left="0"/>
      </w:pPr>
      <w:r>
        <w:rPr>
          <w:rFonts w:ascii="Arial" w:cs="Arial" w:eastAsia="Arial" w:hAnsi="Arial"/>
          <w:b/>
          <w:bCs/>
          <w:color w:val="1B3A5C"/>
          <w:sz w:val="22"/>
          <w:szCs w:val="22"/>
        </w:rPr>
        <w:t xml:space="preserve">10. </w:t>
      </w:r>
      <w:r>
        <w:rPr>
          <w:rFonts w:ascii="Arial" w:cs="Arial" w:eastAsia="Arial" w:hAnsi="Arial"/>
          <w:b/>
          <w:bCs/>
          <w:color w:val="1B3A5C"/>
          <w:sz w:val="22"/>
          <w:szCs w:val="22"/>
        </w:rPr>
        <w:t xml:space="preserve">Frentes secundarios: Líbano, Irak, Yemen</w:t>
      </w:r>
    </w:p>
    <w:p>
      <w:pPr>
        <w:spacing w:after="90"/>
        <w:ind w:left="0"/>
      </w:pPr>
      <w:r>
        <w:rPr>
          <w:rFonts w:ascii="Arial" w:cs="Arial" w:eastAsia="Arial" w:hAnsi="Arial"/>
          <w:b/>
          <w:bCs/>
          <w:color w:val="1B3A5C"/>
          <w:sz w:val="22"/>
          <w:szCs w:val="22"/>
        </w:rPr>
        <w:t xml:space="preserve">11. </w:t>
      </w:r>
      <w:r>
        <w:rPr>
          <w:rFonts w:ascii="Arial" w:cs="Arial" w:eastAsia="Arial" w:hAnsi="Arial"/>
          <w:b/>
          <w:bCs/>
          <w:color w:val="1B3A5C"/>
          <w:sz w:val="22"/>
          <w:szCs w:val="22"/>
        </w:rPr>
        <w:t xml:space="preserve">Post-mortem del modelo</w:t>
      </w:r>
    </w:p>
    <w:p>
      <w:pPr>
        <w:spacing w:after="90"/>
        <w:ind w:left="0"/>
      </w:pPr>
      <w:r>
        <w:rPr>
          <w:rFonts w:ascii="Arial" w:cs="Arial" w:eastAsia="Arial" w:hAnsi="Arial"/>
          <w:b/>
          <w:bCs/>
          <w:color w:val="1B3A5C"/>
          <w:sz w:val="22"/>
          <w:szCs w:val="22"/>
        </w:rPr>
        <w:t xml:space="preserve">12. </w:t>
      </w:r>
      <w:r>
        <w:rPr>
          <w:rFonts w:ascii="Arial" w:cs="Arial" w:eastAsia="Arial" w:hAnsi="Arial"/>
          <w:b/>
          <w:bCs/>
          <w:color w:val="1B3A5C"/>
          <w:sz w:val="22"/>
          <w:szCs w:val="22"/>
        </w:rPr>
        <w:t xml:space="preserve">Juicio probabilístico revisado</w:t>
      </w:r>
    </w:p>
    <w:p>
      <w:pPr>
        <w:spacing w:after="90"/>
        <w:ind w:left="0"/>
      </w:pPr>
      <w:r>
        <w:rPr>
          <w:rFonts w:ascii="Arial" w:cs="Arial" w:eastAsia="Arial" w:hAnsi="Arial"/>
          <w:b/>
          <w:bCs/>
          <w:color w:val="1B3A5C"/>
          <w:sz w:val="22"/>
          <w:szCs w:val="22"/>
        </w:rPr>
        <w:t xml:space="preserve">13. </w:t>
      </w:r>
      <w:r>
        <w:rPr>
          <w:rFonts w:ascii="Arial" w:cs="Arial" w:eastAsia="Arial" w:hAnsi="Arial"/>
          <w:b/>
          <w:bCs/>
          <w:color w:val="1B3A5C"/>
          <w:sz w:val="22"/>
          <w:szCs w:val="22"/>
        </w:rPr>
        <w:t xml:space="preserve">Trigger points vigentes</w:t>
      </w:r>
    </w:p>
    <w:p>
      <w:pPr>
        <w:spacing w:after="90"/>
        <w:ind w:left="0"/>
      </w:pPr>
      <w:r>
        <w:rPr>
          <w:rFonts w:ascii="Arial" w:cs="Arial" w:eastAsia="Arial" w:hAnsi="Arial"/>
          <w:b/>
          <w:bCs/>
          <w:color w:val="1B3A5C"/>
          <w:sz w:val="22"/>
          <w:szCs w:val="22"/>
        </w:rPr>
        <w:t xml:space="preserve">14. </w:t>
      </w:r>
      <w:r>
        <w:rPr>
          <w:rFonts w:ascii="Arial" w:cs="Arial" w:eastAsia="Arial" w:hAnsi="Arial"/>
          <w:b/>
          <w:bCs/>
          <w:color w:val="1B3A5C"/>
          <w:sz w:val="22"/>
          <w:szCs w:val="22"/>
        </w:rPr>
        <w:t xml:space="preserve">Escenarios prospectivos (ago – dic 2026)</w:t>
      </w:r>
    </w:p>
    <w:p>
      <w:pPr>
        <w:spacing w:after="90"/>
        <w:ind w:left="0"/>
      </w:pPr>
      <w:r>
        <w:rPr>
          <w:rFonts w:ascii="Arial" w:cs="Arial" w:eastAsia="Arial" w:hAnsi="Arial"/>
          <w:b/>
          <w:bCs/>
          <w:color w:val="1B3A5C"/>
          <w:sz w:val="22"/>
          <w:szCs w:val="22"/>
        </w:rPr>
        <w:t xml:space="preserve">15. </w:t>
      </w:r>
      <w:r>
        <w:rPr>
          <w:rFonts w:ascii="Arial" w:cs="Arial" w:eastAsia="Arial" w:hAnsi="Arial"/>
          <w:b/>
          <w:bCs/>
          <w:color w:val="1B3A5C"/>
          <w:sz w:val="22"/>
          <w:szCs w:val="22"/>
        </w:rPr>
        <w:t xml:space="preserve">Caveats metodológicos</w:t>
      </w:r>
    </w:p>
    <w:p>
      <w:pPr>
        <w:spacing w:after="90"/>
        <w:ind w:left="0"/>
      </w:pPr>
      <w:r>
        <w:rPr>
          <w:rFonts w:ascii="Arial" w:cs="Arial" w:eastAsia="Arial" w:hAnsi="Arial"/>
          <w:b/>
          <w:bCs/>
          <w:color w:val="1B3A5C"/>
          <w:sz w:val="22"/>
          <w:szCs w:val="22"/>
        </w:rPr>
        <w:t xml:space="preserve">16. </w:t>
      </w:r>
      <w:r>
        <w:rPr>
          <w:rFonts w:ascii="Arial" w:cs="Arial" w:eastAsia="Arial" w:hAnsi="Arial"/>
          <w:b/>
          <w:bCs/>
          <w:color w:val="1B3A5C"/>
          <w:sz w:val="22"/>
          <w:szCs w:val="22"/>
        </w:rPr>
        <w:t xml:space="preserve">Conclusión</w:t>
      </w:r>
    </w:p>
    <w:p>
      <w:r>
        <w:br w:type="page"/>
      </w:r>
    </w:p>
    <w:p>
      <w:pPr>
        <w:pStyle w:val="Heading1"/>
      </w:pPr>
      <w:r>
        <w:t xml:space="preserve">1. Nota sobre esta versión</w:t>
      </w:r>
    </w:p>
    <w:p>
      <w:pPr>
        <w:spacing w:after="120" w:line="276"/>
        <w:jc w:val="both"/>
      </w:pPr>
      <w:r>
        <w:rPr>
          <w:rFonts w:ascii="Arial" w:cs="Arial" w:eastAsia="Arial" w:hAnsi="Arial"/>
          <w:sz w:val="22"/>
          <w:szCs w:val="22"/>
        </w:rPr>
        <w:t xml:space="preserve">Las versiones 1 a 6 fueron elaboradas entre el 1 y el 16 de marzo de 2026. En ese periodo, el juicio agregado sobre una escalada a conflicto global pasó de 3–8% a 20–28%. Esos rangos no constituían intervalos de confianza ni una distribución normalizada. La versión 7.0 (28 de julio, Día 151) corrigió ese juicio a la baja y reformuló la metodología.</w:t>
      </w:r>
    </w:p>
    <w:p>
      <w:pPr>
        <w:spacing w:after="120" w:line="276"/>
        <w:jc w:val="both"/>
      </w:pPr>
      <w:r>
        <w:rPr>
          <w:rFonts w:ascii="Arial" w:cs="Arial" w:eastAsia="Arial" w:hAnsi="Arial"/>
          <w:b/>
          <w:bCs/>
          <w:sz w:val="22"/>
          <w:szCs w:val="22"/>
        </w:rPr>
        <w:t xml:space="preserve">Esta versión 8.0 extiende el corte al 18 de agosto de 2026 (Día 172) e incorpora tres desarrollos que quedaban fuera del corte anterior: </w:t>
      </w:r>
    </w:p>
    <w:p>
      <w:pPr>
        <w:pStyle w:val="ListParagraph"/>
        <w:numPr>
          <w:ilvl w:val="0"/>
          <w:numId w:val="2"/>
        </w:numPr>
        <w:spacing w:after="80"/>
      </w:pPr>
      <w:r>
        <w:rPr>
          <w:rFonts w:ascii="Arial" w:cs="Arial" w:eastAsia="Arial" w:hAnsi="Arial"/>
          <w:b/>
          <w:bCs/>
          <w:sz w:val="22"/>
          <w:szCs w:val="22"/>
        </w:rPr>
        <w:t xml:space="preserve">La expiración del plazo de 60 días del Memorándum de Islamabad el 17 de agosto </w:t>
      </w:r>
      <w:r>
        <w:rPr>
          <w:rFonts w:ascii="Arial" w:cs="Arial" w:eastAsia="Arial" w:hAnsi="Arial"/>
          <w:sz w:val="22"/>
          <w:szCs w:val="22"/>
        </w:rPr>
        <w:t xml:space="preserve">sin acuerdo, con las partes en punto muerto sobre la gestión de Ormuz y los fondos iraníes congelados.</w:t>
      </w:r>
    </w:p>
    <w:p>
      <w:pPr>
        <w:pStyle w:val="ListParagraph"/>
        <w:numPr>
          <w:ilvl w:val="0"/>
          <w:numId w:val="2"/>
        </w:numPr>
        <w:spacing w:after="80"/>
      </w:pPr>
      <w:r>
        <w:rPr>
          <w:rFonts w:ascii="Arial" w:cs="Arial" w:eastAsia="Arial" w:hAnsi="Arial"/>
          <w:b/>
          <w:bCs/>
          <w:sz w:val="22"/>
          <w:szCs w:val="22"/>
        </w:rPr>
        <w:t xml:space="preserve">El Acuerdo de Defensa Conjunta de La Meca del 7 de agosto </w:t>
      </w:r>
      <w:r>
        <w:rPr>
          <w:rFonts w:ascii="Arial" w:cs="Arial" w:eastAsia="Arial" w:hAnsi="Arial"/>
          <w:sz w:val="22"/>
          <w:szCs w:val="22"/>
        </w:rPr>
        <w:t xml:space="preserve">entre Arabia Saudita, Turquía y Pakistán, que introduce una cláusula de defensa colectiva en la región e involucra formalmente a un Estado con armas nucleares. Se trata en sección propia (Sección 8).</w:t>
      </w:r>
    </w:p>
    <w:p>
      <w:pPr>
        <w:pStyle w:val="ListParagraph"/>
        <w:numPr>
          <w:ilvl w:val="0"/>
          <w:numId w:val="2"/>
        </w:numPr>
        <w:spacing w:after="80"/>
      </w:pPr>
      <w:r>
        <w:rPr>
          <w:rFonts w:ascii="Arial" w:cs="Arial" w:eastAsia="Arial" w:hAnsi="Arial"/>
          <w:b/>
          <w:bCs/>
          <w:sz w:val="22"/>
          <w:szCs w:val="22"/>
        </w:rPr>
        <w:t xml:space="preserve">Un sexto ciclo de Ormuz, </w:t>
      </w:r>
      <w:r>
        <w:rPr>
          <w:rFonts w:ascii="Arial" w:cs="Arial" w:eastAsia="Arial" w:hAnsi="Arial"/>
          <w:sz w:val="22"/>
          <w:szCs w:val="22"/>
        </w:rPr>
        <w:t xml:space="preserve">con acuerdo técnico Irán-Omán alcanzado en principio pero no ejecutado, tráfico en mínimos históricos y amenaza explícita de Trump de bombardear Omán.</w:t>
      </w:r>
    </w:p>
    <w:p>
      <w:pPr>
        <w:spacing w:after="120" w:line="276"/>
        <w:jc w:val="both"/>
      </w:pPr>
      <w:r>
        <w:rPr>
          <w:rFonts w:ascii="Arial" w:cs="Arial" w:eastAsia="Arial" w:hAnsi="Arial"/>
          <w:i/>
          <w:iCs/>
          <w:color w:val="555555"/>
          <w:sz w:val="22"/>
          <w:szCs w:val="22"/>
        </w:rPr>
        <w:t xml:space="preserve">Nota epistemológica (se mantiene de la v7 ajustada): una estimación útil debe corregirse frente a evidencia nueva y conservar un registro previo verificable. Este documento reconoce que sus porcentajes no fueron generados por priors, verosimilitudes o pesos reproducibles; por ello se describen como juicios estructurados y no como un modelo bayesiano formal.</w:t>
      </w:r>
    </w:p>
    <w:p>
      <w:pPr>
        <w:spacing w:after="120" w:line="276"/>
        <w:jc w:val="both"/>
      </w:pPr>
      <w:r>
        <w:rPr>
          <w:rFonts w:ascii="Arial" w:cs="Arial" w:eastAsia="Arial" w:hAnsi="Arial"/>
          <w:b/>
          <w:bCs/>
          <w:color w:val="8B1A1A"/>
          <w:sz w:val="22"/>
          <w:szCs w:val="22"/>
        </w:rPr>
        <w:t xml:space="preserve">Advertencia sobre el balance de riesgos: </w:t>
      </w:r>
      <w:r>
        <w:rPr>
          <w:rFonts w:ascii="Arial" w:cs="Arial" w:eastAsia="Arial" w:hAnsi="Arial"/>
          <w:sz w:val="22"/>
          <w:szCs w:val="22"/>
        </w:rPr>
        <w:t xml:space="preserve">la v7 advirtió del riesgo de sobrecorregir tras una sobreestimación. Los desarrollos de agosto contienen elementos que empujan en direcciones opuestas y esta versión ajusta el juicio central al alza de forma modesta, explicitando el razonamiento en la Sección 12. No se trata de un retorno a la lógica de marzo.</w:t>
      </w:r>
    </w:p>
    <w:p>
      <w:pPr>
        <w:pStyle w:val="Heading1"/>
      </w:pPr>
      <w:r>
        <w:t xml:space="preserve">2. Definición Operativa (revisada)</w:t>
      </w:r>
    </w:p>
    <w:p>
      <w:pPr>
        <w:spacing w:after="120" w:line="276"/>
        <w:jc w:val="both"/>
      </w:pPr>
      <w:r>
        <w:rPr>
          <w:rFonts w:ascii="Arial" w:cs="Arial" w:eastAsia="Arial" w:hAnsi="Arial"/>
          <w:sz w:val="22"/>
          <w:szCs w:val="22"/>
        </w:rPr>
        <w:t xml:space="preserve">Se mantienen los cuatro criterios conjuntos establecidos en la v1, con evaluación actualizada al 18 de agosto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4860"/>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Criterio</w:t>
            </w:r>
          </w:p>
        </w:tc>
        <w:tc>
          <w:tcPr>
            <w:tcW w:type="dxa" w:w="1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Estado</w:t>
            </w:r>
          </w:p>
        </w:tc>
        <w:tc>
          <w:tcPr>
            <w:tcW w:type="dxa" w:w="4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Evaluación al Día 172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1. Beligerancia directa entre potencias nucleares</w:t>
            </w:r>
          </w:p>
        </w:tc>
        <w:tc>
          <w:tcPr>
            <w:tcW w:type="dxa" w:w="1300"/>
            <w:tcBorders>
              <w:top w:val="single" w:color="CCCCCC" w:sz="1"/>
              <w:left w:val="single" w:color="CCCCCC" w:sz="1"/>
              <w:bottom w:val="single" w:color="CCCCCC" w:sz="1"/>
              <w:right w:val="single" w:color="CCCCCC" w:sz="1"/>
            </w:tcBorders>
            <w:shd w:fill="DFF0D8"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EE.UU. e Israel (nuclear de facto) vs. Irán (no nuclear). Rusia y China nunca entraron. NUEVO: el Acuerdo de La Meca vincula formalmente a Pakistán — potencia nuclear — con la defensa de Arabia Saudita, pero no se ha activado y su despliegue previo fue en rol asesor.</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2. Múltiples teatros interconectados</w:t>
            </w:r>
          </w:p>
        </w:tc>
        <w:tc>
          <w:tcPr>
            <w:tcW w:type="dxa" w:w="1300"/>
            <w:tcBorders>
              <w:top w:val="single" w:color="CCCCCC" w:sz="1"/>
              <w:left w:val="single" w:color="CCCCCC" w:sz="1"/>
              <w:bottom w:val="single" w:color="CCCCCC" w:sz="1"/>
              <w:right w:val="single" w:color="CCCCCC" w:sz="1"/>
            </w:tcBorders>
            <w:shd w:fill="2E6B3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SÍ</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Irán, Líbano, Golfo (6 países CCG), Irak, Yemen/Mar Rojo, Ormuz, Chipre, Caspio. Criterio cumplido de forma sostenida y ampliado en julio con el nuevo frente hutí.</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3. Ruptura de la disuasión nuclear</w:t>
            </w:r>
          </w:p>
        </w:tc>
        <w:tc>
          <w:tcPr>
            <w:tcW w:type="dxa" w:w="1300"/>
            <w:tcBorders>
              <w:top w:val="single" w:color="CCCCCC" w:sz="1"/>
              <w:left w:val="single" w:color="CCCCCC" w:sz="1"/>
              <w:bottom w:val="single" w:color="CCCCCC" w:sz="1"/>
              <w:right w:val="single" w:color="CCCCCC" w:sz="1"/>
            </w:tcBorders>
            <w:shd w:fill="DFF0D8"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Ningún uso ni amenaza creíble inminente. MAD nunca fue puesta en cuestión. Persisten dos vectores de proliferación a plazo: el acuerdo nuclear EE.UU.–Arabia Saudita y la ambigüedad del paraguas pakistaní.</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4. Colapso de contención diplomática</w:t>
            </w:r>
          </w:p>
        </w:tc>
        <w:tc>
          <w:tcPr>
            <w:tcW w:type="dxa" w:w="13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PARCIAL</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DETERIORO EN AGOSTO: expiró el plazo del memorándum sin acuerdo (17 ago) y Trump amenazó con bombardear a Omán, el principal mediador técnico. Los canales siguen abiertos pero bajo presión mayor que en julio.</w:t>
            </w:r>
          </w:p>
        </w:tc>
      </w:tr>
    </w:tbl>
    <w:p>
      <w:pPr>
        <w:spacing w:after="60"/>
      </w:pPr>
    </w:p>
    <w:p>
      <w:pPr>
        <w:spacing w:after="120" w:line="276"/>
        <w:jc w:val="both"/>
      </w:pPr>
      <w:r>
        <w:rPr>
          <w:rFonts w:ascii="Arial" w:cs="Arial" w:eastAsia="Arial" w:hAnsi="Arial"/>
          <w:i/>
          <w:iCs/>
          <w:color w:val="555555"/>
          <w:sz w:val="22"/>
          <w:szCs w:val="22"/>
        </w:rPr>
        <w:t xml:space="preserve">Resultado descriptivo: uno de cuatro criterios se observa claramente y otro de forma parcial, con deterioro en el criterio 4 respecto de la v7. Este conteo no produce matemáticamente la probabilidad agregada; funciona únicamente como lista de comprobación cualitativa.</w:t>
      </w:r>
    </w:p>
    <w:p>
      <w:r>
        <w:br w:type="page"/>
      </w:r>
    </w:p>
    <w:p>
      <w:pPr>
        <w:pStyle w:val="Heading1"/>
      </w:pPr>
      <w:r>
        <w:t xml:space="preserve">3. Cronología: seis fases de la guerra</w:t>
      </w:r>
    </w:p>
    <w:p>
      <w:pPr>
        <w:spacing w:after="120" w:line="276"/>
        <w:jc w:val="both"/>
      </w:pPr>
      <w:r>
        <w:rPr>
          <w:rFonts w:ascii="Arial" w:cs="Arial" w:eastAsia="Arial" w:hAnsi="Arial"/>
          <w:sz w:val="22"/>
          <w:szCs w:val="22"/>
        </w:rPr>
        <w:t xml:space="preserve">El conflicto no siguió un patrón de escalada lineal sino un ciclo oscilatorio de escalada, negociación, acuerdo parcial y recaída. La Fase VI añade una variante: negociación prolongada sin acuerdo y con realineamiento de alianzas regionales.</w:t>
      </w:r>
    </w:p>
    <w:p>
      <w:pPr>
        <w:pStyle w:val="Heading2"/>
      </w:pPr>
      <w:r>
        <w:t xml:space="preserve">3.1 Fase I — Guerra abierta (28 feb – 7 abr)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Fecha</w:t>
            </w:r>
          </w:p>
        </w:tc>
        <w:tc>
          <w:tcPr>
            <w:tcW w:type="dxa" w:w="7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Hito</w:t>
            </w:r>
          </w:p>
        </w:tc>
      </w:tr>
      <w:tr>
        <w:tc>
          <w:tcPr>
            <w:tcW w:type="dxa" w:w="1500"/>
            <w:tcBorders>
              <w:top w:val="single" w:color="CCCCCC" w:sz="1"/>
              <w:left w:val="single" w:color="CCCCCC" w:sz="1"/>
              <w:bottom w:val="single" w:color="CCCCCC" w:sz="1"/>
              <w:right w:val="single" w:color="CCCCCC" w:sz="1"/>
            </w:tcBorders>
            <w:shd w:fill="F2DCDB"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28 feb</w:t>
            </w:r>
          </w:p>
        </w:tc>
        <w:tc>
          <w:tcPr>
            <w:tcW w:type="dxa" w:w="7860"/>
            <w:tcBorders>
              <w:top w:val="single" w:color="CCCCCC" w:sz="1"/>
              <w:left w:val="single" w:color="CCCCCC" w:sz="1"/>
              <w:bottom w:val="single" w:color="CCCCCC" w:sz="1"/>
              <w:right w:val="single" w:color="CCCCCC" w:sz="1"/>
            </w:tcBorders>
            <w:shd w:fill="F2DCDB" w:val="clear"/>
            <w:tcMar>
              <w:top w:type="dxa" w:w="60"/>
              <w:left w:type="dxa" w:w="100"/>
              <w:bottom w:type="dxa" w:w="60"/>
              <w:right w:type="dxa" w:w="100"/>
            </w:tcMar>
            <w:vAlign w:val="center"/>
          </w:tcPr>
          <w:p>
            <w:pPr>
              <w:jc w:val="left"/>
            </w:pPr>
            <w:r>
              <w:rPr>
                <w:rFonts w:ascii="Arial" w:cs="Arial" w:eastAsia="Arial" w:hAnsi="Arial"/>
                <w:b/>
                <w:bCs/>
                <w:color w:val="8B1A1A"/>
                <w:sz w:val="18"/>
                <w:szCs w:val="18"/>
              </w:rPr>
              <w:t xml:space="preserve">Operación «Epic Fury»: ataques conjuntos EE.UU.–Israel. Muerte del Líder Supremo Ali Khamenei y buena parte de la cúpula militar.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1–4 mar</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Represalia iraní: 500+ misiles balísticos contra los 6 miembros del CCG, Irak, Jordania y la base británica de Akrotiri. Cierre de Ormuz con minas, lanchas rápidas y misiles antibuque. Brent supera $120.</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 mar</w:t>
            </w:r>
          </w:p>
        </w:tc>
        <w:tc>
          <w:tcPr>
            <w:tcW w:type="dxa" w:w="7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Apertura del frente libanés: Hezbollah entra en la guerra; Israel inicia campaña aérea y luego terrestre en el sur.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8 mar</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Mojtaba Khamenei designado Líder Supremo. Perfil de línea dura, vínculos profundos con el IRGC.</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17–24 mar</w:t>
            </w:r>
          </w:p>
        </w:tc>
        <w:tc>
          <w:tcPr>
            <w:tcW w:type="dxa" w:w="7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Invasión limitada israelí en Líbano. El 24 de marzo Katz anuncia planes para ocupar el sur hasta el río Litani. Guterres declara la guerra «fuera de control» (25 mar) y nombra a Jean Arnault enviado personal.</w:t>
            </w:r>
          </w:p>
        </w:tc>
      </w:tr>
      <w:tr>
        <w:tc>
          <w:tcPr>
            <w:tcW w:type="dxa" w:w="1500"/>
            <w:tcBorders>
              <w:top w:val="single" w:color="CCCCCC" w:sz="1"/>
              <w:left w:val="single" w:color="CCCCCC" w:sz="1"/>
              <w:bottom w:val="single" w:color="CCCCCC" w:sz="1"/>
              <w:right w:val="single" w:color="CCCCCC" w:sz="1"/>
            </w:tcBorders>
            <w:shd w:fill="DFF0D8"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7–8 abr</w:t>
            </w:r>
          </w:p>
        </w:tc>
        <w:tc>
          <w:tcPr>
            <w:tcW w:type="dxa" w:w="7860"/>
            <w:tcBorders>
              <w:top w:val="single" w:color="CCCCCC" w:sz="1"/>
              <w:left w:val="single" w:color="CCCCCC" w:sz="1"/>
              <w:bottom w:val="single" w:color="CCCCCC" w:sz="1"/>
              <w:right w:val="single" w:color="CCCCCC" w:sz="1"/>
            </w:tcBorders>
            <w:shd w:fill="DFF0D8" w:val="clear"/>
            <w:tcMar>
              <w:top w:type="dxa" w:w="60"/>
              <w:left w:type="dxa" w:w="100"/>
              <w:bottom w:type="dxa" w:w="60"/>
              <w:right w:type="dxa" w:w="100"/>
            </w:tcMar>
            <w:vAlign w:val="center"/>
          </w:tcPr>
          <w:p>
            <w:pPr>
              <w:jc w:val="left"/>
            </w:pPr>
            <w:r>
              <w:rPr>
                <w:rFonts w:ascii="Arial" w:cs="Arial" w:eastAsia="Arial" w:hAnsi="Arial"/>
                <w:b/>
                <w:bCs/>
                <w:color w:val="2E6B3E"/>
                <w:sz w:val="18"/>
                <w:szCs w:val="18"/>
              </w:rPr>
              <w:t xml:space="preserve">PRIMER ALTO EL FUEGO: tregua de dos semanas mediada por Pakistán. Punto de inflexión contra la hipótesis de escalada.</w:t>
            </w:r>
          </w:p>
        </w:tc>
      </w:tr>
      <w:tr>
        <w:tc>
          <w:tcPr>
            <w:tcW w:type="dxa" w:w="1500"/>
            <w:tcBorders>
              <w:top w:val="single" w:color="CCCCCC" w:sz="1"/>
              <w:left w:val="single" w:color="CCCCCC" w:sz="1"/>
              <w:bottom w:val="single" w:color="CCCCCC" w:sz="1"/>
              <w:right w:val="single" w:color="CCCCCC" w:sz="1"/>
            </w:tcBorders>
            <w:shd w:fill="F2DCDB"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8 abr</w:t>
            </w:r>
          </w:p>
        </w:tc>
        <w:tc>
          <w:tcPr>
            <w:tcW w:type="dxa" w:w="7860"/>
            <w:tcBorders>
              <w:top w:val="single" w:color="CCCCCC" w:sz="1"/>
              <w:left w:val="single" w:color="CCCCCC" w:sz="1"/>
              <w:bottom w:val="single" w:color="CCCCCC" w:sz="1"/>
              <w:right w:val="single" w:color="CCCCCC" w:sz="1"/>
            </w:tcBorders>
            <w:shd w:fill="F2DCDB" w:val="clear"/>
            <w:tcMar>
              <w:top w:type="dxa" w:w="60"/>
              <w:left w:type="dxa" w:w="100"/>
              <w:bottom w:type="dxa" w:w="60"/>
              <w:right w:type="dxa" w:w="100"/>
            </w:tcMar>
            <w:vAlign w:val="center"/>
          </w:tcPr>
          <w:p>
            <w:pPr>
              <w:jc w:val="left"/>
            </w:pPr>
            <w:r>
              <w:rPr>
                <w:rFonts w:ascii="Arial" w:cs="Arial" w:eastAsia="Arial" w:hAnsi="Arial"/>
                <w:color w:val="8B1A1A"/>
                <w:sz w:val="18"/>
                <w:szCs w:val="18"/>
              </w:rPr>
              <w:t xml:space="preserve">«Black Wednesday» en Líbano: 357+ muertos en un solo día (Min. Salud libanés: 182 en el recuento inicial). Israel declara que el alto el fuego con Irán no aplica a Líbano — desacoplamiento de teatros.</w:t>
            </w:r>
          </w:p>
        </w:tc>
      </w:tr>
    </w:tbl>
    <w:p>
      <w:pPr>
        <w:spacing w:after="60"/>
      </w:pPr>
    </w:p>
    <w:p>
      <w:pPr>
        <w:pStyle w:val="Heading2"/>
      </w:pPr>
      <w:r>
        <w:t xml:space="preserve">3.2 Fase II — Alto el fuego y bloqueo naval (8 abr – 11 jun)</w:t>
      </w:r>
    </w:p>
    <w:p>
      <w:pPr>
        <w:spacing w:after="120" w:line="276"/>
        <w:jc w:val="both"/>
      </w:pPr>
      <w:r>
        <w:rPr>
          <w:rFonts w:ascii="Arial" w:cs="Arial" w:eastAsia="Arial" w:hAnsi="Arial"/>
          <w:sz w:val="22"/>
          <w:szCs w:val="22"/>
        </w:rPr>
        <w:t xml:space="preserve">Las conversaciones de Islamabad fracasan y EE.UU. impone un bloqueo naval a los puertos iraníes el 13 de abril. El 21 de abril Trump extiende el alto el fuego indefinidamente. El conflicto muta a un juego de brinkmanship sobre el acceso a Ormuz. El 23 de abril Trump ordena a la Marina destruir cualquier embarcación iraní que coloque minas; el 3 de mayo lanza la Operación «Project Freedom» para liberar buques, y el 6 la pausa citando «gran progreso» hacia un acuerdo. La escasez de combustible se propaga a Asia y la IEA califica el episodio como la mayor disrupción de suministro en la historia del mercado petrolero global.</w:t>
      </w:r>
    </w:p>
    <w:p>
      <w:pPr>
        <w:pStyle w:val="Heading2"/>
      </w:pPr>
      <w:r>
        <w:t xml:space="preserve">3.3 Fase III — Memorándum de Islamabad (12 – 30 jun)</w:t>
      </w:r>
    </w:p>
    <w:p>
      <w:pPr>
        <w:pStyle w:val="ListParagraph"/>
        <w:numPr>
          <w:ilvl w:val="0"/>
          <w:numId w:val="2"/>
        </w:numPr>
        <w:spacing w:after="80"/>
      </w:pPr>
      <w:r>
        <w:rPr>
          <w:rFonts w:ascii="Arial" w:cs="Arial" w:eastAsia="Arial" w:hAnsi="Arial"/>
          <w:b/>
          <w:bCs/>
          <w:sz w:val="22"/>
          <w:szCs w:val="22"/>
        </w:rPr>
        <w:t xml:space="preserve">12 jun: </w:t>
      </w:r>
      <w:r>
        <w:rPr>
          <w:rFonts w:ascii="Arial" w:cs="Arial" w:eastAsia="Arial" w:hAnsi="Arial"/>
          <w:sz w:val="22"/>
          <w:szCs w:val="22"/>
        </w:rPr>
        <w:t xml:space="preserve">Shehbaz Sharif anuncia texto final acordado.</w:t>
      </w:r>
    </w:p>
    <w:p>
      <w:pPr>
        <w:pStyle w:val="ListParagraph"/>
        <w:numPr>
          <w:ilvl w:val="0"/>
          <w:numId w:val="2"/>
        </w:numPr>
        <w:spacing w:after="80"/>
      </w:pPr>
      <w:r>
        <w:rPr>
          <w:rFonts w:ascii="Arial" w:cs="Arial" w:eastAsia="Arial" w:hAnsi="Arial"/>
          <w:b/>
          <w:bCs/>
          <w:sz w:val="22"/>
          <w:szCs w:val="22"/>
        </w:rPr>
        <w:t xml:space="preserve">14 jun: </w:t>
      </w:r>
      <w:r>
        <w:rPr>
          <w:rFonts w:ascii="Arial" w:cs="Arial" w:eastAsia="Arial" w:hAnsi="Arial"/>
          <w:sz w:val="22"/>
          <w:szCs w:val="22"/>
        </w:rPr>
        <w:t xml:space="preserve">Trump — «¡Que fluya el petróleo!». Anuncio del memorándum y levantamiento del bloqueo naval. Vance confirma la firma digital el 15.</w:t>
      </w:r>
    </w:p>
    <w:p>
      <w:pPr>
        <w:pStyle w:val="ListParagraph"/>
        <w:numPr>
          <w:ilvl w:val="0"/>
          <w:numId w:val="2"/>
        </w:numPr>
        <w:spacing w:after="80"/>
      </w:pPr>
      <w:r>
        <w:rPr>
          <w:rFonts w:ascii="Arial" w:cs="Arial" w:eastAsia="Arial" w:hAnsi="Arial"/>
          <w:b/>
          <w:bCs/>
          <w:sz w:val="22"/>
          <w:szCs w:val="22"/>
        </w:rPr>
        <w:t xml:space="preserve">17 jun: </w:t>
      </w:r>
      <w:r>
        <w:rPr>
          <w:rFonts w:ascii="Arial" w:cs="Arial" w:eastAsia="Arial" w:hAnsi="Arial"/>
          <w:sz w:val="22"/>
          <w:szCs w:val="22"/>
        </w:rPr>
        <w:t xml:space="preserve">firma remota. Trump desde el Palacio de Versalles tras el G7; Pezeshkian desde Teherán. Mojtaba Khamenei lo respalda por escrito «pese a reservas».</w:t>
      </w:r>
    </w:p>
    <w:p>
      <w:pPr>
        <w:spacing w:after="120" w:line="276"/>
        <w:jc w:val="both"/>
      </w:pPr>
      <w:r>
        <w:rPr>
          <w:rFonts w:ascii="Arial" w:cs="Arial" w:eastAsia="Arial" w:hAnsi="Arial"/>
          <w:b/>
          <w:bCs/>
          <w:sz w:val="22"/>
          <w:szCs w:val="22"/>
        </w:rPr>
        <w:t xml:space="preserve">Contenido (14 puntos): </w:t>
      </w:r>
      <w:r>
        <w:rPr>
          <w:rFonts w:ascii="Arial" w:cs="Arial" w:eastAsia="Arial" w:hAnsi="Arial"/>
          <w:sz w:val="22"/>
          <w:szCs w:val="22"/>
        </w:rPr>
        <w:t xml:space="preserve">cese de hostilidades en todos los frentes incluido Líbano; reapertura de Ormuz sin peaje por 60 días; fin del bloqueo naval; reducción de activos militares de EE.UU. en la región; alivio de sanciones; plan de reconstrucción para Irán; reafirmación iraní de no perseguir arma nuclear; y plazo de 60 días — prorrogable por consentimiento mutuo — para negociar el programa nuclear y el alivio de sanciones.</w:t>
      </w:r>
    </w:p>
    <w:p>
      <w:pPr>
        <w:spacing w:after="120" w:line="276"/>
        <w:jc w:val="both"/>
      </w:pPr>
      <w:r>
        <w:rPr>
          <w:rFonts w:ascii="Arial" w:cs="Arial" w:eastAsia="Arial" w:hAnsi="Arial"/>
          <w:i/>
          <w:iCs/>
          <w:color w:val="555555"/>
          <w:sz w:val="22"/>
          <w:szCs w:val="22"/>
        </w:rPr>
        <w:t xml:space="preserve">El gobierno de Netanyahu se opuso al acuerdo y ha favorecido operaciones militares orientadas al cambio de régimen. Ni EE.UU. ni Irán publicaron copia física del texto.</w:t>
      </w:r>
    </w:p>
    <w:p>
      <w:pPr>
        <w:pStyle w:val="Heading2"/>
      </w:pPr>
      <w:r>
        <w:t xml:space="preserve">3.4 Fase IV — Colapso y recampaña (1 – 24 jul)</w:t>
      </w:r>
    </w:p>
    <w:p>
      <w:pPr>
        <w:pStyle w:val="ListParagraph"/>
        <w:numPr>
          <w:ilvl w:val="0"/>
          <w:numId w:val="2"/>
        </w:numPr>
        <w:spacing w:after="80"/>
      </w:pPr>
      <w:r>
        <w:rPr>
          <w:rFonts w:ascii="Arial" w:cs="Arial" w:eastAsia="Arial" w:hAnsi="Arial"/>
          <w:b/>
          <w:bCs/>
          <w:sz w:val="22"/>
          <w:szCs w:val="22"/>
        </w:rPr>
        <w:t xml:space="preserve">5–7 jul: </w:t>
      </w:r>
      <w:r>
        <w:rPr>
          <w:rFonts w:ascii="Arial" w:cs="Arial" w:eastAsia="Arial" w:hAnsi="Arial"/>
          <w:sz w:val="22"/>
          <w:szCs w:val="22"/>
        </w:rPr>
        <w:t xml:space="preserve">Irán ataca tres buques comerciales que eludieron su ruta preaprobada. Trump declara la tregua terminada. CENTCOM responde con 80+ ataques.</w:t>
      </w:r>
    </w:p>
    <w:p>
      <w:pPr>
        <w:pStyle w:val="ListParagraph"/>
        <w:numPr>
          <w:ilvl w:val="0"/>
          <w:numId w:val="2"/>
        </w:numPr>
        <w:spacing w:after="80"/>
      </w:pPr>
      <w:r>
        <w:rPr>
          <w:rFonts w:ascii="Arial" w:cs="Arial" w:eastAsia="Arial" w:hAnsi="Arial"/>
          <w:b/>
          <w:bCs/>
          <w:sz w:val="22"/>
          <w:szCs w:val="22"/>
        </w:rPr>
        <w:t xml:space="preserve">9–24 jul: </w:t>
      </w:r>
      <w:r>
        <w:rPr>
          <w:rFonts w:ascii="Arial" w:cs="Arial" w:eastAsia="Arial" w:hAnsi="Arial"/>
          <w:sz w:val="22"/>
          <w:szCs w:val="22"/>
        </w:rPr>
        <w:t xml:space="preserve">90 objetivos el 9; 140 el 12–13; trece noches consecutivas hasta el 24, expandiéndose a Tabriz. Irán contraataca a aliados árabes — Bahréin, Jordania y Kuwait absorben el grueso.</w:t>
      </w:r>
    </w:p>
    <w:p>
      <w:pPr>
        <w:pStyle w:val="ListParagraph"/>
        <w:numPr>
          <w:ilvl w:val="0"/>
          <w:numId w:val="2"/>
        </w:numPr>
        <w:spacing w:after="80"/>
      </w:pPr>
      <w:r>
        <w:rPr>
          <w:rFonts w:ascii="Arial" w:cs="Arial" w:eastAsia="Arial" w:hAnsi="Arial"/>
          <w:b/>
          <w:bCs/>
          <w:sz w:val="22"/>
          <w:szCs w:val="22"/>
        </w:rPr>
        <w:t xml:space="preserve">21 jul: </w:t>
      </w:r>
      <w:r>
        <w:rPr>
          <w:rFonts w:ascii="Arial" w:cs="Arial" w:eastAsia="Arial" w:hAnsi="Arial"/>
          <w:sz w:val="22"/>
          <w:szCs w:val="22"/>
        </w:rPr>
        <w:t xml:space="preserve">visita de Joseph Aoun a la Casa Blanca: marco de retirada israelí de «zonas piloto» a cambio de desarme de Hezbollah.</w:t>
      </w:r>
    </w:p>
    <w:p>
      <w:pPr>
        <w:pStyle w:val="ListParagraph"/>
        <w:numPr>
          <w:ilvl w:val="0"/>
          <w:numId w:val="2"/>
        </w:numPr>
        <w:spacing w:after="80"/>
      </w:pPr>
      <w:r>
        <w:rPr>
          <w:rFonts w:ascii="Arial" w:cs="Arial" w:eastAsia="Arial" w:hAnsi="Arial"/>
          <w:b/>
          <w:bCs/>
          <w:sz w:val="22"/>
          <w:szCs w:val="22"/>
        </w:rPr>
        <w:t xml:space="preserve">24 jul: </w:t>
      </w:r>
      <w:r>
        <w:rPr>
          <w:rFonts w:ascii="Arial" w:cs="Arial" w:eastAsia="Arial" w:hAnsi="Arial"/>
          <w:sz w:val="22"/>
          <w:szCs w:val="22"/>
        </w:rPr>
        <w:t xml:space="preserve">Trump sopesa un «ataque masivo». El IRGC declara el estrecho «completamente cerrado». Brent cierra en $100.69. La Cámara vota 214–208 por el fin de la guerra; el Senado queda a 49–47. EE.UU. firma acuerdo nuclear de 30 años con Arabia Saudita.</w:t>
      </w:r>
    </w:p>
    <w:p>
      <w:pPr>
        <w:pStyle w:val="Heading2"/>
      </w:pPr>
      <w:r>
        <w:t xml:space="preserve">3.5 Fase V — Pausa operativa (25 – 28 jul)</w:t>
      </w:r>
    </w:p>
    <w:p>
      <w:pPr>
        <w:spacing w:after="120" w:line="276"/>
        <w:jc w:val="both"/>
      </w:pPr>
      <w:r>
        <w:rPr>
          <w:rFonts w:ascii="Arial" w:cs="Arial" w:eastAsia="Arial" w:hAnsi="Arial"/>
          <w:sz w:val="22"/>
          <w:szCs w:val="22"/>
        </w:rPr>
        <w:t xml:space="preserve">Tras la reunión del 24 de julio — en la que Vance y el general Dan Caine objetaron la escalada citando el inventario de municiones — los ataques se detuvieron. El 27 de julio el portavoz del ejército iraní, Mohammad Akraminia, declaró que Teherán «también ha detenido» sus represalias: reciprocidad tácita sin acuerdo formal. El 28 de julio Trump y Netanyahu se reunieron por primera vez desde el inicio de la guerra.</w:t>
      </w:r>
    </w:p>
    <w:p>
      <w:pPr>
        <w:pStyle w:val="Heading2"/>
      </w:pPr>
      <w:r>
        <w:t xml:space="preserve">3.6 Fase VI — Negociación fallida y realineamiento (29 jul – 18 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Fecha</w:t>
            </w:r>
          </w:p>
        </w:tc>
        <w:tc>
          <w:tcPr>
            <w:tcW w:type="dxa" w:w="7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Hito</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3 ago</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Trump afirma que las conversaciones van a comenzar y habla de «última oportunidad» para un acuerdo. Teherán insta a EE.UU. a honrar el memorándum.</w:t>
            </w:r>
          </w:p>
        </w:tc>
      </w:tr>
      <w:tr>
        <w:tc>
          <w:tcPr>
            <w:tcW w:type="dxa" w:w="1500"/>
            <w:tcBorders>
              <w:top w:val="single" w:color="CCCCCC" w:sz="1"/>
              <w:left w:val="single" w:color="CCCCCC" w:sz="1"/>
              <w:bottom w:val="single" w:color="CCCCCC" w:sz="1"/>
              <w:right w:val="single" w:color="CCCCCC" w:sz="1"/>
            </w:tcBorders>
            <w:shd w:fill="DFF0D8"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5–6 ago</w:t>
            </w:r>
          </w:p>
        </w:tc>
        <w:tc>
          <w:tcPr>
            <w:tcW w:type="dxa" w:w="7860"/>
            <w:tcBorders>
              <w:top w:val="single" w:color="CCCCCC" w:sz="1"/>
              <w:left w:val="single" w:color="CCCCCC" w:sz="1"/>
              <w:bottom w:val="single" w:color="CCCCCC" w:sz="1"/>
              <w:right w:val="single" w:color="CCCCCC" w:sz="1"/>
            </w:tcBorders>
            <w:shd w:fill="DFF0D8" w:val="clear"/>
            <w:tcMar>
              <w:top w:type="dxa" w:w="60"/>
              <w:left w:type="dxa" w:w="100"/>
              <w:bottom w:type="dxa" w:w="60"/>
              <w:right w:type="dxa" w:w="100"/>
            </w:tcMar>
            <w:vAlign w:val="center"/>
          </w:tcPr>
          <w:p>
            <w:pPr>
              <w:jc w:val="left"/>
            </w:pPr>
            <w:r>
              <w:rPr>
                <w:rFonts w:ascii="Arial" w:cs="Arial" w:eastAsia="Arial" w:hAnsi="Arial"/>
                <w:color w:val="2E6B3E"/>
                <w:sz w:val="18"/>
                <w:szCs w:val="18"/>
              </w:rPr>
              <w:t xml:space="preserve">Irán anuncia acuerdo con Omán sobre una ruta propuesta para el tránsito por Ormuz. El portavoz Esmail Baghaei declara que la declaración conjunta está «en revisión y en fase final de redacción» y que habrá acuerdo «si ciertas terceras partes no obstruyen este proceso». El Parlamento iraní revisa el texto.</w:t>
            </w:r>
          </w:p>
        </w:tc>
      </w:tr>
      <w:tr>
        <w:tc>
          <w:tcPr>
            <w:tcW w:type="dxa" w:w="15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7 ago</w:t>
            </w:r>
          </w:p>
        </w:tc>
        <w:tc>
          <w:tcPr>
            <w:tcW w:type="dxa" w:w="78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left"/>
            </w:pPr>
            <w:r>
              <w:rPr>
                <w:rFonts w:ascii="Arial" w:cs="Arial" w:eastAsia="Arial" w:hAnsi="Arial"/>
                <w:b/>
                <w:bCs/>
                <w:color w:val="C65911"/>
                <w:sz w:val="18"/>
                <w:szCs w:val="18"/>
              </w:rPr>
              <w:t xml:space="preserve">ACUERDO DE DEFENSA CONJUNTA DE LA MECA. Arabia Saudita, Turquía y Pakistán firman un pacto de defensa colectiva en la cumbre de Makkah Al-Mukarrama. Véase la Sección 8.</w:t>
            </w:r>
          </w:p>
        </w:tc>
      </w:tr>
      <w:tr>
        <w:tc>
          <w:tcPr>
            <w:tcW w:type="dxa" w:w="1500"/>
            <w:tcBorders>
              <w:top w:val="single" w:color="CCCCCC" w:sz="1"/>
              <w:left w:val="single" w:color="CCCCCC" w:sz="1"/>
              <w:bottom w:val="single" w:color="CCCCCC" w:sz="1"/>
              <w:right w:val="single" w:color="CCCCCC" w:sz="1"/>
            </w:tcBorders>
            <w:shd w:fill="F2DCDB"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9 ago</w:t>
            </w:r>
          </w:p>
        </w:tc>
        <w:tc>
          <w:tcPr>
            <w:tcW w:type="dxa" w:w="7860"/>
            <w:tcBorders>
              <w:top w:val="single" w:color="CCCCCC" w:sz="1"/>
              <w:left w:val="single" w:color="CCCCCC" w:sz="1"/>
              <w:bottom w:val="single" w:color="CCCCCC" w:sz="1"/>
              <w:right w:val="single" w:color="CCCCCC" w:sz="1"/>
            </w:tcBorders>
            <w:shd w:fill="F2DCDB" w:val="clear"/>
            <w:tcMar>
              <w:top w:type="dxa" w:w="60"/>
              <w:left w:type="dxa" w:w="100"/>
              <w:bottom w:type="dxa" w:w="60"/>
              <w:right w:type="dxa" w:w="100"/>
            </w:tcMar>
            <w:vAlign w:val="center"/>
          </w:tcPr>
          <w:p>
            <w:pPr>
              <w:jc w:val="left"/>
            </w:pPr>
            <w:r>
              <w:rPr>
                <w:rFonts w:ascii="Arial" w:cs="Arial" w:eastAsia="Arial" w:hAnsi="Arial"/>
                <w:b/>
                <w:bCs/>
                <w:color w:val="8B1A1A"/>
                <w:sz w:val="18"/>
                <w:szCs w:val="18"/>
              </w:rPr>
              <w:t xml:space="preserve">MÍNIMO HISTÓRICO DE TRÁFICO: un solo tránsito registrado por IMF PortWatch, contra una línea base pre-crisis de ~73 diarios.</w:t>
            </w:r>
          </w:p>
        </w:tc>
      </w:tr>
      <w:tr>
        <w:tc>
          <w:tcPr>
            <w:tcW w:type="dxa" w:w="1500"/>
            <w:tcBorders>
              <w:top w:val="single" w:color="CCCCCC" w:sz="1"/>
              <w:left w:val="single" w:color="CCCCCC" w:sz="1"/>
              <w:bottom w:val="single" w:color="CCCCCC" w:sz="1"/>
              <w:right w:val="single" w:color="CCCCCC" w:sz="1"/>
            </w:tcBorders>
            <w:shd w:fill="F2DCDB"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17 ago</w:t>
            </w:r>
          </w:p>
        </w:tc>
        <w:tc>
          <w:tcPr>
            <w:tcW w:type="dxa" w:w="7860"/>
            <w:tcBorders>
              <w:top w:val="single" w:color="CCCCCC" w:sz="1"/>
              <w:left w:val="single" w:color="CCCCCC" w:sz="1"/>
              <w:bottom w:val="single" w:color="CCCCCC" w:sz="1"/>
              <w:right w:val="single" w:color="CCCCCC" w:sz="1"/>
            </w:tcBorders>
            <w:shd w:fill="F2DCDB" w:val="clear"/>
            <w:tcMar>
              <w:top w:type="dxa" w:w="60"/>
              <w:left w:type="dxa" w:w="100"/>
              <w:bottom w:type="dxa" w:w="60"/>
              <w:right w:type="dxa" w:w="100"/>
            </w:tcMar>
            <w:vAlign w:val="center"/>
          </w:tcPr>
          <w:p>
            <w:pPr>
              <w:jc w:val="left"/>
            </w:pPr>
            <w:r>
              <w:rPr>
                <w:rFonts w:ascii="Arial" w:cs="Arial" w:eastAsia="Arial" w:hAnsi="Arial"/>
                <w:b/>
                <w:bCs/>
                <w:color w:val="8B1A1A"/>
                <w:sz w:val="18"/>
                <w:szCs w:val="18"/>
              </w:rPr>
              <w:t xml:space="preserve">EXPIRA EL PLAZO DE 60 DÍAS del memorándum sin acuerdo. Ambas partes quedan en punto muerto sobre la gestión de Ormuz y el futuro de los fondos iraníes congelados. Trump amenaza a Omán — mediador técnico del proceso — en entrevista con Fox News: si Omán «se interpone», EE.UU. lo bombardeará. Trump declara que Irán debería ondear «la bandera blanca». Kushner se reúne más de cuatro horas con Netanyahu presionándolo sobre el plan de alto el fuego en Gaza.</w:t>
            </w:r>
          </w:p>
        </w:tc>
      </w:tr>
      <w:tr>
        <w:tc>
          <w:tcPr>
            <w:tcW w:type="dxa" w:w="1500"/>
            <w:tcBorders>
              <w:top w:val="single" w:color="CCCCCC" w:sz="1"/>
              <w:left w:val="single" w:color="CCCCCC" w:sz="1"/>
              <w:bottom w:val="single" w:color="CCCCCC" w:sz="1"/>
              <w:right w:val="single" w:color="CCCCCC" w:sz="1"/>
            </w:tcBorders>
            <w:shd w:fill="F2DCDB"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18 ago</w:t>
            </w:r>
          </w:p>
        </w:tc>
        <w:tc>
          <w:tcPr>
            <w:tcW w:type="dxa" w:w="7860"/>
            <w:tcBorders>
              <w:top w:val="single" w:color="CCCCCC" w:sz="1"/>
              <w:left w:val="single" w:color="CCCCCC" w:sz="1"/>
              <w:bottom w:val="single" w:color="CCCCCC" w:sz="1"/>
              <w:right w:val="single" w:color="CCCCCC" w:sz="1"/>
            </w:tcBorders>
            <w:shd w:fill="F2DCDB" w:val="clear"/>
            <w:tcMar>
              <w:top w:type="dxa" w:w="60"/>
              <w:left w:type="dxa" w:w="100"/>
              <w:bottom w:type="dxa" w:w="60"/>
              <w:right w:type="dxa" w:w="100"/>
            </w:tcMar>
            <w:vAlign w:val="center"/>
          </w:tcPr>
          <w:p>
            <w:pPr>
              <w:jc w:val="left"/>
            </w:pPr>
            <w:r>
              <w:rPr>
                <w:rFonts w:ascii="Arial" w:cs="Arial" w:eastAsia="Arial" w:hAnsi="Arial"/>
                <w:color w:val="8B1A1A"/>
                <w:sz w:val="18"/>
                <w:szCs w:val="18"/>
              </w:rPr>
              <w:t xml:space="preserve">Buque atacado durante su tránsito por el Estrecho de Ormuz (AP). El plazo está vencido, no hay acuerdo y la fricción marítima continúa.</w:t>
            </w:r>
          </w:p>
        </w:tc>
      </w:tr>
    </w:tbl>
    <w:p>
      <w:pPr>
        <w:spacing w:after="60"/>
      </w:pPr>
    </w:p>
    <w:p>
      <w:pPr>
        <w:spacing w:after="120" w:line="276"/>
        <w:jc w:val="both"/>
      </w:pPr>
      <w:r>
        <w:rPr>
          <w:rFonts w:ascii="Arial" w:cs="Arial" w:eastAsia="Arial" w:hAnsi="Arial"/>
          <w:b/>
          <w:bCs/>
          <w:sz w:val="22"/>
          <w:szCs w:val="22"/>
        </w:rPr>
        <w:t xml:space="preserve">Dos desarrollos de julio con efecto en agosto: </w:t>
      </w:r>
      <w:r>
        <w:rPr>
          <w:rFonts w:ascii="Arial" w:cs="Arial" w:eastAsia="Arial" w:hAnsi="Arial"/>
          <w:sz w:val="22"/>
          <w:szCs w:val="22"/>
        </w:rPr>
        <w:t xml:space="preserve">los hutíes abrieron un nuevo frente en la guerra regional en apoyo de Irán, y fuerzas saudíes se unieron a fuerzas estadounidenses en ataques aéreos contra milicias respaldadas por Irán en Irak. Este segundo hecho es relevante: Arabia Saudita pasó de postura defensiva a participación en operaciones ofensivas conjuntas, lo que complica la lectura de que el Pacto de La Meca represente un distanciamiento saudí de Washington.</w:t>
      </w:r>
    </w:p>
    <w:p>
      <w:r>
        <w:br w:type="page"/>
      </w:r>
    </w:p>
    <w:p>
      <w:pPr>
        <w:pStyle w:val="Heading1"/>
      </w:pPr>
      <w:r>
        <w:t xml:space="preserve">4. Estado actual (Día 172)</w:t>
      </w:r>
    </w:p>
    <w:p>
      <w:pPr>
        <w:pStyle w:val="Heading2"/>
      </w:pPr>
      <w:r>
        <w:t xml:space="preserve">4.1 Situación militar</w:t>
      </w:r>
    </w:p>
    <w:p>
      <w:pPr>
        <w:pStyle w:val="ListParagraph"/>
        <w:numPr>
          <w:ilvl w:val="0"/>
          <w:numId w:val="2"/>
        </w:numPr>
        <w:spacing w:after="80"/>
      </w:pPr>
      <w:r>
        <w:rPr>
          <w:rFonts w:ascii="Arial" w:cs="Arial" w:eastAsia="Arial" w:hAnsi="Arial"/>
          <w:b/>
          <w:bCs/>
          <w:sz w:val="22"/>
          <w:szCs w:val="22"/>
        </w:rPr>
        <w:t xml:space="preserve">Sin campaña aérea sostenida: </w:t>
      </w:r>
      <w:r>
        <w:rPr>
          <w:rFonts w:ascii="Arial" w:cs="Arial" w:eastAsia="Arial" w:hAnsi="Arial"/>
          <w:sz w:val="22"/>
          <w:szCs w:val="22"/>
        </w:rPr>
        <w:t xml:space="preserve">la pausa iniciada el 25 de julio no ha derivado en una recampaña de la escala de julio, pero tampoco en un alto el fuego formal. La situación es de baja intensidad con incidentes marítimos recurrentes.</w:t>
      </w:r>
    </w:p>
    <w:p>
      <w:pPr>
        <w:pStyle w:val="ListParagraph"/>
        <w:numPr>
          <w:ilvl w:val="0"/>
          <w:numId w:val="2"/>
        </w:numPr>
        <w:spacing w:after="80"/>
      </w:pPr>
      <w:r>
        <w:rPr>
          <w:rFonts w:ascii="Arial" w:cs="Arial" w:eastAsia="Arial" w:hAnsi="Arial"/>
          <w:b/>
          <w:bCs/>
          <w:sz w:val="22"/>
          <w:szCs w:val="22"/>
        </w:rPr>
        <w:t xml:space="preserve">Ormuz: </w:t>
      </w:r>
      <w:r>
        <w:rPr>
          <w:rFonts w:ascii="Arial" w:cs="Arial" w:eastAsia="Arial" w:hAnsi="Arial"/>
          <w:sz w:val="22"/>
          <w:szCs w:val="22"/>
        </w:rPr>
        <w:t xml:space="preserve">efectivamente cerrado al tráfico comercial rutinario. Un solo tránsito registrado el 9 de agosto frente a ~73 diarios pre-crisis. Al 17 de agosto había 449 buques en espera sin atracar. Convoyes bajo escolta naval y buques transitando con transpondedores apagados, por lo que el flujo real puede ser algo mayor que el visible.</w:t>
      </w:r>
    </w:p>
    <w:p>
      <w:pPr>
        <w:pStyle w:val="ListParagraph"/>
        <w:numPr>
          <w:ilvl w:val="0"/>
          <w:numId w:val="2"/>
        </w:numPr>
        <w:spacing w:after="80"/>
      </w:pPr>
      <w:r>
        <w:rPr>
          <w:rFonts w:ascii="Arial" w:cs="Arial" w:eastAsia="Arial" w:hAnsi="Arial"/>
          <w:b/>
          <w:bCs/>
          <w:sz w:val="22"/>
          <w:szCs w:val="22"/>
        </w:rPr>
        <w:t xml:space="preserve">Ataque del 18 de agosto: </w:t>
      </w:r>
      <w:r>
        <w:rPr>
          <w:rFonts w:ascii="Arial" w:cs="Arial" w:eastAsia="Arial" w:hAnsi="Arial"/>
          <w:sz w:val="22"/>
          <w:szCs w:val="22"/>
        </w:rPr>
        <w:t xml:space="preserve">un buque fue atacado durante su tránsito por el estrecho, el mismo día siguiente a la expiración del plazo.</w:t>
      </w:r>
    </w:p>
    <w:p>
      <w:pPr>
        <w:pStyle w:val="ListParagraph"/>
        <w:numPr>
          <w:ilvl w:val="0"/>
          <w:numId w:val="2"/>
        </w:numPr>
        <w:spacing w:after="80"/>
      </w:pPr>
      <w:r>
        <w:rPr>
          <w:rFonts w:ascii="Arial" w:cs="Arial" w:eastAsia="Arial" w:hAnsi="Arial"/>
          <w:b/>
          <w:bCs/>
          <w:sz w:val="22"/>
          <w:szCs w:val="22"/>
        </w:rPr>
        <w:t xml:space="preserve">Nuevos frentes activos: </w:t>
      </w:r>
      <w:r>
        <w:rPr>
          <w:rFonts w:ascii="Arial" w:cs="Arial" w:eastAsia="Arial" w:hAnsi="Arial"/>
          <w:sz w:val="22"/>
          <w:szCs w:val="22"/>
        </w:rPr>
        <w:t xml:space="preserve">los hutíes reabrieron el frente del Mar Rojo en julio en apoyo de Irán; Arabia Saudita participó con EE.UU. en ataques contra milicias pro-iraníes en Irak.</w:t>
      </w:r>
    </w:p>
    <w:p>
      <w:pPr>
        <w:pStyle w:val="Heading2"/>
      </w:pPr>
      <w:r>
        <w:t xml:space="preserve">4.2 Situación diplomática</w:t>
      </w:r>
    </w:p>
    <w:p>
      <w:pPr>
        <w:spacing w:after="120" w:line="276"/>
        <w:jc w:val="both"/>
      </w:pPr>
      <w:r>
        <w:rPr>
          <w:rFonts w:ascii="Arial" w:cs="Arial" w:eastAsia="Arial" w:hAnsi="Arial"/>
          <w:b/>
          <w:bCs/>
          <w:sz w:val="22"/>
          <w:szCs w:val="22"/>
        </w:rPr>
        <w:t xml:space="preserve">El marco negociador formal expiró sin sustituto. </w:t>
      </w:r>
      <w:r>
        <w:rPr>
          <w:rFonts w:ascii="Arial" w:cs="Arial" w:eastAsia="Arial" w:hAnsi="Arial"/>
          <w:sz w:val="22"/>
          <w:szCs w:val="22"/>
        </w:rPr>
        <w:t xml:space="preserve">El memorándum contemplaba la posibilidad de extender el plazo por consentimiento mutuo, pero al 18 de agosto no se ha anunciado prórroga. Los dos puntos de bloqueo son la gestión de Ormuz y el destino de los fondos iraníes congelados — no, significativamente, el programa nuclear, que era el objeto declarado de la negociación.</w:t>
      </w:r>
    </w:p>
    <w:p>
      <w:pPr>
        <w:pStyle w:val="ListParagraph"/>
        <w:numPr>
          <w:ilvl w:val="0"/>
          <w:numId w:val="2"/>
        </w:numPr>
        <w:spacing w:after="80"/>
      </w:pPr>
      <w:r>
        <w:rPr>
          <w:rFonts w:ascii="Arial" w:cs="Arial" w:eastAsia="Arial" w:hAnsi="Arial"/>
          <w:b/>
          <w:bCs/>
          <w:sz w:val="22"/>
          <w:szCs w:val="22"/>
        </w:rPr>
        <w:t xml:space="preserve">Amenaza a un mediador: </w:t>
      </w:r>
      <w:r>
        <w:rPr>
          <w:rFonts w:ascii="Arial" w:cs="Arial" w:eastAsia="Arial" w:hAnsi="Arial"/>
          <w:sz w:val="22"/>
          <w:szCs w:val="22"/>
        </w:rPr>
        <w:t xml:space="preserve">la advertencia de Trump de bombardear Omán si interfiere es cualitativamente nueva. Omán no es beligerante: es el canal técnico que negoció el protocolo de navegación. Amenazar al mediador degrada el mecanismo que ha producido los dos altos el fuego previos.</w:t>
      </w:r>
    </w:p>
    <w:p>
      <w:pPr>
        <w:pStyle w:val="ListParagraph"/>
        <w:numPr>
          <w:ilvl w:val="0"/>
          <w:numId w:val="2"/>
        </w:numPr>
        <w:spacing w:after="80"/>
      </w:pPr>
      <w:r>
        <w:rPr>
          <w:rFonts w:ascii="Arial" w:cs="Arial" w:eastAsia="Arial" w:hAnsi="Arial"/>
          <w:b/>
          <w:bCs/>
          <w:sz w:val="22"/>
          <w:szCs w:val="22"/>
        </w:rPr>
        <w:t xml:space="preserve">Retórica de rendición: </w:t>
      </w:r>
      <w:r>
        <w:rPr>
          <w:rFonts w:ascii="Arial" w:cs="Arial" w:eastAsia="Arial" w:hAnsi="Arial"/>
          <w:sz w:val="22"/>
          <w:szCs w:val="22"/>
        </w:rPr>
        <w:t xml:space="preserve">la exigencia de que Irán ondee «la bandera blanca» reproduce la posición de «rendición incondicional» del 6 de marzo, que ya fracasó una vez.</w:t>
      </w:r>
    </w:p>
    <w:p>
      <w:pPr>
        <w:pStyle w:val="ListParagraph"/>
        <w:numPr>
          <w:ilvl w:val="0"/>
          <w:numId w:val="2"/>
        </w:numPr>
        <w:spacing w:after="80"/>
      </w:pPr>
      <w:r>
        <w:rPr>
          <w:rFonts w:ascii="Arial" w:cs="Arial" w:eastAsia="Arial" w:hAnsi="Arial"/>
          <w:b/>
          <w:bCs/>
          <w:sz w:val="22"/>
          <w:szCs w:val="22"/>
        </w:rPr>
        <w:t xml:space="preserve">Canal omání activo pese a todo: </w:t>
      </w:r>
      <w:r>
        <w:rPr>
          <w:rFonts w:ascii="Arial" w:cs="Arial" w:eastAsia="Arial" w:hAnsi="Arial"/>
          <w:sz w:val="22"/>
          <w:szCs w:val="22"/>
        </w:rPr>
        <w:t xml:space="preserve">Irán y Omán alcanzaron acuerdo en principio sobre la ruta el 5–6 de agosto; el texto está en revisión parlamentaria iraní. Es la vía más avanzada disponible.</w:t>
      </w:r>
    </w:p>
    <w:p>
      <w:pPr>
        <w:pStyle w:val="ListParagraph"/>
        <w:numPr>
          <w:ilvl w:val="0"/>
          <w:numId w:val="2"/>
        </w:numPr>
        <w:spacing w:after="80"/>
      </w:pPr>
      <w:r>
        <w:rPr>
          <w:rFonts w:ascii="Arial" w:cs="Arial" w:eastAsia="Arial" w:hAnsi="Arial"/>
          <w:b/>
          <w:bCs/>
          <w:sz w:val="22"/>
          <w:szCs w:val="22"/>
        </w:rPr>
        <w:t xml:space="preserve">Erdoğan pide la reapertura: </w:t>
      </w:r>
      <w:r>
        <w:rPr>
          <w:rFonts w:ascii="Arial" w:cs="Arial" w:eastAsia="Arial" w:hAnsi="Arial"/>
          <w:sz w:val="22"/>
          <w:szCs w:val="22"/>
        </w:rPr>
        <w:t xml:space="preserve">Turquía, ahora firmante del Acuerdo de La Meca, ha llamado públicamente a reabrir el estrecho — señal de que el nuevo bloque no se alinea con la posición iraní sobre Ormuz.</w:t>
      </w:r>
    </w:p>
    <w:p>
      <w:pPr>
        <w:pStyle w:val="Heading1"/>
      </w:pPr>
      <w:r>
        <w:t xml:space="preserve">5. Balance humano y material</w:t>
      </w:r>
    </w:p>
    <w:p>
      <w:pPr>
        <w:spacing w:after="120" w:line="276"/>
        <w:jc w:val="both"/>
      </w:pPr>
      <w:r>
        <w:rPr>
          <w:rFonts w:ascii="Arial" w:cs="Arial" w:eastAsia="Arial" w:hAnsi="Arial"/>
          <w:sz w:val="22"/>
          <w:szCs w:val="22"/>
        </w:rPr>
        <w:t xml:space="preserve">Las cifras varían sustancialmente por fuente. Se presentan rangos con atribución explícita. La última reconciliación cruzada disponible corresponde al 20 de julio (Día 143); no se ha publicado una actualización integral posterior, por lo que estas cifras deben leerse como piso, no como total al Día 172.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200"/>
        <w:gridCol w:w="2860"/>
      </w:tblGrid>
      <w:tr>
        <w:tc>
          <w:tcPr>
            <w:tcW w:type="dxa" w:w="1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País / Actor</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Muertos</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Heridos</w:t>
            </w:r>
          </w:p>
        </w:tc>
        <w:tc>
          <w:tcPr>
            <w:tcW w:type="dxa" w:w="2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Fuente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Irán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3,468 – 6,000+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15,000 – 26,500</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Fundación de Mártires 3,468; HRANA 3,636; EE.UU./Israel 6,000+</w:t>
            </w:r>
          </w:p>
        </w:tc>
      </w:tr>
      <w:tr>
        <w:tc>
          <w:tcPr>
            <w:tcW w:type="dxa" w:w="1900"/>
            <w:tcBorders>
              <w:top w:val="single" w:color="CCCCCC" w:sz="1"/>
              <w:left w:val="single" w:color="CCCCCC" w:sz="1"/>
              <w:bottom w:val="single" w:color="CCCCCC" w:sz="1"/>
              <w:right w:val="single" w:color="CCCCCC" w:sz="1"/>
            </w:tcBorders>
            <w:shd w:fill="F2DCDB"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Líbano</w:t>
            </w:r>
          </w:p>
        </w:tc>
        <w:tc>
          <w:tcPr>
            <w:tcW w:type="dxa" w:w="2400"/>
            <w:tcBorders>
              <w:top w:val="single" w:color="CCCCCC" w:sz="1"/>
              <w:left w:val="single" w:color="CCCCCC" w:sz="1"/>
              <w:bottom w:val="single" w:color="CCCCCC" w:sz="1"/>
              <w:right w:val="single" w:color="CCCCCC" w:sz="1"/>
            </w:tcBorders>
            <w:shd w:fill="F2DCDB" w:val="clear"/>
            <w:tcMar>
              <w:top w:type="dxa" w:w="60"/>
              <w:left w:type="dxa" w:w="100"/>
              <w:bottom w:type="dxa" w:w="60"/>
              <w:right w:type="dxa" w:w="100"/>
            </w:tcMar>
            <w:vAlign w:val="center"/>
          </w:tcPr>
          <w:p>
            <w:pPr>
              <w:jc w:val="center"/>
            </w:pPr>
            <w:r>
              <w:rPr>
                <w:rFonts w:ascii="Arial" w:cs="Arial" w:eastAsia="Arial" w:hAnsi="Arial"/>
                <w:b/>
                <w:bCs/>
                <w:color w:val="8B1A1A"/>
                <w:sz w:val="18"/>
                <w:szCs w:val="18"/>
              </w:rPr>
              <w:t xml:space="preserve">4,328</w:t>
            </w:r>
          </w:p>
        </w:tc>
        <w:tc>
          <w:tcPr>
            <w:tcW w:type="dxa" w:w="2200"/>
            <w:tcBorders>
              <w:top w:val="single" w:color="CCCCCC" w:sz="1"/>
              <w:left w:val="single" w:color="CCCCCC" w:sz="1"/>
              <w:bottom w:val="single" w:color="CCCCCC" w:sz="1"/>
              <w:right w:val="single" w:color="CCCCCC" w:sz="1"/>
            </w:tcBorders>
            <w:shd w:fill="F2DCD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12,229</w:t>
            </w:r>
          </w:p>
        </w:tc>
        <w:tc>
          <w:tcPr>
            <w:tcW w:type="dxa" w:w="2860"/>
            <w:tcBorders>
              <w:top w:val="single" w:color="CCCCCC" w:sz="1"/>
              <w:left w:val="single" w:color="CCCCCC" w:sz="1"/>
              <w:bottom w:val="single" w:color="CCCCCC" w:sz="1"/>
              <w:right w:val="single" w:color="CCCCCC" w:sz="1"/>
            </w:tcBorders>
            <w:shd w:fill="F2DCD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Min. Salud Líbano (19 jul). 1.2M+ desplazados (&gt;1/6 de la población)</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Israel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8,966</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Autoridades israelíes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Estados Unidos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13 – 20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365 – 543</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Pentágono 13 (tras retirar 4 el 26 jul); recuentos independientes 18–20</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Irak</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119+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370</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Autoridades iraquíes; pérdidas económicas hasta $45B</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Estados del Golfo</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~450</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EAU 13, Kuwait 10, Bahréin 3, Arabia Saudita 3, Omán 3, Qatar 0 (20 heridos)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Otros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~25</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Cisjordania 14, Francia 3, Siria 2, Filipinas 2</w:t>
            </w:r>
          </w:p>
        </w:tc>
      </w:tr>
      <w:tr>
        <w:tc>
          <w:tcPr>
            <w:tcW w:type="dxa" w:w="1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TOTAL</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7,144 – 9,676+</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~46,965</w:t>
            </w:r>
          </w:p>
        </w:tc>
        <w:tc>
          <w:tcPr>
            <w:tcW w:type="dxa" w:w="2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color w:val="FFFFFF"/>
                <w:sz w:val="18"/>
                <w:szCs w:val="18"/>
              </w:rPr>
              <w:t xml:space="preserve">Reconciliación cruzada al 20 jul (Día 143)</w:t>
            </w:r>
          </w:p>
        </w:tc>
      </w:tr>
    </w:tbl>
    <w:p>
      <w:pPr>
        <w:spacing w:after="60"/>
      </w:pPr>
    </w:p>
    <w:p>
      <w:pPr>
        <w:spacing w:after="120" w:line="276"/>
        <w:jc w:val="both"/>
      </w:pPr>
      <w:r>
        <w:rPr>
          <w:rFonts w:ascii="Arial" w:cs="Arial" w:eastAsia="Arial" w:hAnsi="Arial"/>
          <w:b/>
          <w:bCs/>
          <w:color w:val="8B1A1A"/>
          <w:sz w:val="22"/>
          <w:szCs w:val="22"/>
        </w:rPr>
        <w:t xml:space="preserve">Observación: </w:t>
      </w:r>
      <w:r>
        <w:rPr>
          <w:rFonts w:ascii="Arial" w:cs="Arial" w:eastAsia="Arial" w:hAnsi="Arial"/>
          <w:sz w:val="22"/>
          <w:szCs w:val="22"/>
        </w:rPr>
        <w:t xml:space="preserve">Líbano — no Irán — es el teatro con mayor mortalidad confirmada por ministerio de salud y con el desplazamiento proporcionalmente más severo. Fue subestimado sistemáticamente en las versiones 1–6, que lo trataban como teatro secundario.</w:t>
      </w:r>
    </w:p>
    <w:p>
      <w:r>
        <w:br w:type="page"/>
      </w:r>
    </w:p>
    <w:p>
      <w:pPr>
        <w:pStyle w:val="Heading1"/>
      </w:pPr>
      <w:r>
        <w:t xml:space="preserve">6. El Estrecho de Ormuz: el nudo del conflicto</w:t>
      </w:r>
    </w:p>
    <w:p>
      <w:pPr>
        <w:spacing w:after="120" w:line="276"/>
        <w:jc w:val="both"/>
      </w:pPr>
      <w:r>
        <w:rPr>
          <w:rFonts w:ascii="Arial" w:cs="Arial" w:eastAsia="Arial" w:hAnsi="Arial"/>
          <w:sz w:val="22"/>
          <w:szCs w:val="22"/>
        </w:rPr>
        <w:t xml:space="preserve">Ormuz no es un teatro más: es la variable independiente del conflicto. Los dos altos el fuego colapsaron por incidentes en el estrecho, la expiración del plazo del memorándum el 17 de agosto se debió al desacuerdo sobre su gestión, y es el único instrumento de coerción estratégica que le queda a Irán.</w:t>
      </w:r>
    </w:p>
    <w:p>
      <w:pPr>
        <w:pStyle w:val="Heading2"/>
      </w:pPr>
      <w:r>
        <w:t xml:space="preserve">6.1 Importancia estructural</w:t>
      </w:r>
    </w:p>
    <w:p>
      <w:pPr>
        <w:pStyle w:val="ListParagraph"/>
        <w:numPr>
          <w:ilvl w:val="0"/>
          <w:numId w:val="2"/>
        </w:numPr>
        <w:spacing w:after="80"/>
      </w:pPr>
      <w:r>
        <w:rPr>
          <w:rFonts w:ascii="Arial" w:cs="Arial" w:eastAsia="Arial" w:hAnsi="Arial"/>
          <w:b/>
          <w:bCs/>
          <w:sz w:val="22"/>
          <w:szCs w:val="22"/>
        </w:rPr>
        <w:t xml:space="preserve">Geografía: </w:t>
      </w:r>
      <w:r>
        <w:rPr>
          <w:rFonts w:ascii="Arial" w:cs="Arial" w:eastAsia="Arial" w:hAnsi="Arial"/>
          <w:sz w:val="22"/>
          <w:szCs w:val="22"/>
        </w:rPr>
        <w:t xml:space="preserve">33 km de ancho en su punto más estrecho. Los carriles internacionales reconocidos fueron establecidos por la OMI en 1968 y están hoy inutilizables por riesgo de minas.</w:t>
      </w:r>
    </w:p>
    <w:p>
      <w:pPr>
        <w:pStyle w:val="ListParagraph"/>
        <w:numPr>
          <w:ilvl w:val="0"/>
          <w:numId w:val="2"/>
        </w:numPr>
        <w:spacing w:after="80"/>
      </w:pPr>
      <w:r>
        <w:rPr>
          <w:rFonts w:ascii="Arial" w:cs="Arial" w:eastAsia="Arial" w:hAnsi="Arial"/>
          <w:b/>
          <w:bCs/>
          <w:sz w:val="22"/>
          <w:szCs w:val="22"/>
        </w:rPr>
        <w:t xml:space="preserve">Volumen: </w:t>
      </w:r>
      <w:r>
        <w:rPr>
          <w:rFonts w:ascii="Arial" w:cs="Arial" w:eastAsia="Arial" w:hAnsi="Arial"/>
          <w:sz w:val="22"/>
          <w:szCs w:val="22"/>
        </w:rPr>
        <w:t xml:space="preserve">~20–21 millones de barriles diarios — una quinta parte del consumo mundial de petróleo, más de una cuarta parte del comercio marítimo de crudo y ~20% del GNL global.</w:t>
      </w:r>
    </w:p>
    <w:p>
      <w:pPr>
        <w:pStyle w:val="ListParagraph"/>
        <w:numPr>
          <w:ilvl w:val="0"/>
          <w:numId w:val="2"/>
        </w:numPr>
        <w:spacing w:after="80"/>
      </w:pPr>
      <w:r>
        <w:rPr>
          <w:rFonts w:ascii="Arial" w:cs="Arial" w:eastAsia="Arial" w:hAnsi="Arial"/>
          <w:b/>
          <w:bCs/>
          <w:sz w:val="22"/>
          <w:szCs w:val="22"/>
        </w:rPr>
        <w:t xml:space="preserve">Tráfico: </w:t>
      </w:r>
      <w:r>
        <w:rPr>
          <w:rFonts w:ascii="Arial" w:cs="Arial" w:eastAsia="Arial" w:hAnsi="Arial"/>
          <w:sz w:val="22"/>
          <w:szCs w:val="22"/>
        </w:rPr>
        <w:t xml:space="preserve">línea base pre-crisis de ~73 a 130 buques diarios según metodología. El 23 de julio transitaron 10; el 9 de agosto, uno.</w:t>
      </w:r>
    </w:p>
    <w:p>
      <w:pPr>
        <w:pStyle w:val="ListParagraph"/>
        <w:numPr>
          <w:ilvl w:val="0"/>
          <w:numId w:val="2"/>
        </w:numPr>
        <w:spacing w:after="80"/>
      </w:pPr>
      <w:r>
        <w:rPr>
          <w:rFonts w:ascii="Arial" w:cs="Arial" w:eastAsia="Arial" w:hAnsi="Arial"/>
          <w:b/>
          <w:bCs/>
          <w:sz w:val="22"/>
          <w:szCs w:val="22"/>
        </w:rPr>
        <w:t xml:space="preserve">Sin sustituto: </w:t>
      </w:r>
      <w:r>
        <w:rPr>
          <w:rFonts w:ascii="Arial" w:cs="Arial" w:eastAsia="Arial" w:hAnsi="Arial"/>
          <w:sz w:val="22"/>
          <w:szCs w:val="22"/>
        </w:rPr>
        <w:t xml:space="preserve">el oleoducto Este-Oeste saudí y el de Abu Dabi a Fujairah absorben solo una fracción. Kuwait, Qatar, Bahréin e Irak carecen de salida alternativa material.</w:t>
      </w:r>
    </w:p>
    <w:p>
      <w:pPr>
        <w:pStyle w:val="Heading2"/>
      </w:pPr>
      <w:r>
        <w:t xml:space="preserve">6.2 Cronología de cierres y aperturas: seis ciclos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1550"/>
        <w:gridCol w:w="6360"/>
      </w:tblGrid>
      <w:tr>
        <w:tc>
          <w:tcPr>
            <w:tcW w:type="dxa" w:w="145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Ciclo</w:t>
            </w:r>
          </w:p>
        </w:tc>
        <w:tc>
          <w:tcPr>
            <w:tcW w:type="dxa" w:w="155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Período</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Desarrollo</w:t>
            </w:r>
          </w:p>
        </w:tc>
      </w:tr>
      <w:tr>
        <w:tc>
          <w:tcPr>
            <w:tcW w:type="dxa" w:w="1450"/>
            <w:tcBorders>
              <w:top w:val="single" w:color="CCCCCC" w:sz="1"/>
              <w:left w:val="single" w:color="CCCCCC" w:sz="1"/>
              <w:bottom w:val="single" w:color="CCCCCC" w:sz="1"/>
              <w:right w:val="single" w:color="CCCCCC" w:sz="1"/>
            </w:tcBorders>
            <w:shd w:fill="F2DCDB"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I — Cierre total</w:t>
            </w:r>
          </w:p>
        </w:tc>
        <w:tc>
          <w:tcPr>
            <w:tcW w:type="dxa" w:w="1550"/>
            <w:tcBorders>
              <w:top w:val="single" w:color="CCCCCC" w:sz="1"/>
              <w:left w:val="single" w:color="CCCCCC" w:sz="1"/>
              <w:bottom w:val="single" w:color="CCCCCC" w:sz="1"/>
              <w:right w:val="single" w:color="CCCCCC" w:sz="1"/>
            </w:tcBorders>
            <w:shd w:fill="F2DCD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28 feb – 7 abr</w:t>
            </w:r>
          </w:p>
        </w:tc>
        <w:tc>
          <w:tcPr>
            <w:tcW w:type="dxa" w:w="6360"/>
            <w:tcBorders>
              <w:top w:val="single" w:color="CCCCCC" w:sz="1"/>
              <w:left w:val="single" w:color="CCCCCC" w:sz="1"/>
              <w:bottom w:val="single" w:color="CCCCCC" w:sz="1"/>
              <w:right w:val="single" w:color="CCCCCC" w:sz="1"/>
            </w:tcBorders>
            <w:shd w:fill="F2DCDB" w:val="clear"/>
            <w:tcMar>
              <w:top w:type="dxa" w:w="60"/>
              <w:left w:type="dxa" w:w="100"/>
              <w:bottom w:type="dxa" w:w="60"/>
              <w:right w:type="dxa" w:w="100"/>
            </w:tcMar>
            <w:vAlign w:val="center"/>
          </w:tcPr>
          <w:p>
            <w:pPr>
              <w:jc w:val="left"/>
            </w:pPr>
            <w:r>
              <w:rPr>
                <w:rFonts w:ascii="Arial" w:cs="Arial" w:eastAsia="Arial" w:hAnsi="Arial"/>
                <w:color w:val="8B1A1A"/>
                <w:sz w:val="18"/>
                <w:szCs w:val="18"/>
              </w:rPr>
              <w:t xml:space="preserve">Tráfico cae 70% y luego más del 95%. Maersk, MSC, CMA CGM y Hapag-Lloyd suspenden tránsitos; 150+ petroleros fondean fuera. El IRGC anuncia el cierre el 2 de marzo. El 19 de marzo comienza la campaña aérea de EE.UU. para reabrirlo. Israel elimina a Alireza Tangsiri, comandante de la Marina del IRGC y arquitecto del bloqueo.</w:t>
            </w:r>
          </w:p>
        </w:tc>
      </w:tr>
      <w:tr>
        <w:tc>
          <w:tcPr>
            <w:tcW w:type="dxa" w:w="145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II — Apertura fallida</w:t>
            </w:r>
          </w:p>
        </w:tc>
        <w:tc>
          <w:tcPr>
            <w:tcW w:type="dxa" w:w="155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8 – 18 abr</w:t>
            </w:r>
          </w:p>
        </w:tc>
        <w:tc>
          <w:tcPr>
            <w:tcW w:type="dxa" w:w="6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El alto el fuego permite reapertura parcial; 800+ buques quedan varados dentro del Golfo. El 13 de abril EE.UU. impone bloqueo naval. El 17 Irán anuncia reapertura completa; el 18 revierte y vuelve a cerrar alegando que el bloqueo constituye incumplimiento. Lanchas artilladas disparan contra un petrolero y un buque de bandera india.</w:t>
            </w:r>
          </w:p>
        </w:tc>
      </w:tr>
      <w:tr>
        <w:tc>
          <w:tcPr>
            <w:tcW w:type="dxa" w:w="145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III — Brinkmanship</w:t>
            </w:r>
          </w:p>
        </w:tc>
        <w:tc>
          <w:tcPr>
            <w:tcW w:type="dxa" w:w="155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19 abr – 16 jun</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Tránsitos limitados bajo escolta. Operación «Project Freedom» (4–6 mayo) y pausa por «gran progreso» negociador. Irán mantiene exportaciones propias de ~1.5 millones b/d.</w:t>
            </w:r>
          </w:p>
        </w:tc>
      </w:tr>
      <w:tr>
        <w:tc>
          <w:tcPr>
            <w:tcW w:type="dxa" w:w="1450"/>
            <w:tcBorders>
              <w:top w:val="single" w:color="CCCCCC" w:sz="1"/>
              <w:left w:val="single" w:color="CCCCCC" w:sz="1"/>
              <w:bottom w:val="single" w:color="CCCCCC" w:sz="1"/>
              <w:right w:val="single" w:color="CCCCCC" w:sz="1"/>
            </w:tcBorders>
            <w:shd w:fill="DFF0D8"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IV — Apertura real</w:t>
            </w:r>
          </w:p>
        </w:tc>
        <w:tc>
          <w:tcPr>
            <w:tcW w:type="dxa" w:w="1550"/>
            <w:tcBorders>
              <w:top w:val="single" w:color="CCCCCC" w:sz="1"/>
              <w:left w:val="single" w:color="CCCCCC" w:sz="1"/>
              <w:bottom w:val="single" w:color="CCCCCC" w:sz="1"/>
              <w:right w:val="single" w:color="CCCCCC" w:sz="1"/>
            </w:tcBorders>
            <w:shd w:fill="DFF0D8"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17 jun – 4 jul</w:t>
            </w:r>
          </w:p>
        </w:tc>
        <w:tc>
          <w:tcPr>
            <w:tcW w:type="dxa" w:w="6360"/>
            <w:tcBorders>
              <w:top w:val="single" w:color="CCCCCC" w:sz="1"/>
              <w:left w:val="single" w:color="CCCCCC" w:sz="1"/>
              <w:bottom w:val="single" w:color="CCCCCC" w:sz="1"/>
              <w:right w:val="single" w:color="CCCCCC" w:sz="1"/>
            </w:tcBorders>
            <w:shd w:fill="DFF0D8" w:val="clear"/>
            <w:tcMar>
              <w:top w:type="dxa" w:w="60"/>
              <w:left w:type="dxa" w:w="100"/>
              <w:bottom w:type="dxa" w:w="60"/>
              <w:right w:type="dxa" w:w="100"/>
            </w:tcMar>
            <w:vAlign w:val="center"/>
          </w:tcPr>
          <w:p>
            <w:pPr>
              <w:jc w:val="left"/>
            </w:pPr>
            <w:r>
              <w:rPr>
                <w:rFonts w:ascii="Arial" w:cs="Arial" w:eastAsia="Arial" w:hAnsi="Arial"/>
                <w:b/>
                <w:bCs/>
                <w:color w:val="2E6B3E"/>
                <w:sz w:val="18"/>
                <w:szCs w:val="18"/>
              </w:rPr>
              <w:t xml:space="preserve">El Memorándum reabre el estrecho sin peaje por 60 días y levanta el bloqueo. El 2 de julio salen 35 petroleros en un día — primera vez que el volumen vuelve al rango pre-guerra, aunque el promedio se mantuvo por debajo de lo normal.</w:t>
            </w:r>
          </w:p>
        </w:tc>
      </w:tr>
      <w:tr>
        <w:tc>
          <w:tcPr>
            <w:tcW w:type="dxa" w:w="1450"/>
            <w:tcBorders>
              <w:top w:val="single" w:color="CCCCCC" w:sz="1"/>
              <w:left w:val="single" w:color="CCCCCC" w:sz="1"/>
              <w:bottom w:val="single" w:color="CCCCCC" w:sz="1"/>
              <w:right w:val="single" w:color="CCCCCC" w:sz="1"/>
            </w:tcBorders>
            <w:shd w:fill="F2DCDB"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V — Recierre</w:t>
            </w:r>
          </w:p>
        </w:tc>
        <w:tc>
          <w:tcPr>
            <w:tcW w:type="dxa" w:w="1550"/>
            <w:tcBorders>
              <w:top w:val="single" w:color="CCCCCC" w:sz="1"/>
              <w:left w:val="single" w:color="CCCCCC" w:sz="1"/>
              <w:bottom w:val="single" w:color="CCCCCC" w:sz="1"/>
              <w:right w:val="single" w:color="CCCCCC" w:sz="1"/>
            </w:tcBorders>
            <w:shd w:fill="F2DCD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 – 28 jul</w:t>
            </w:r>
          </w:p>
        </w:tc>
        <w:tc>
          <w:tcPr>
            <w:tcW w:type="dxa" w:w="6360"/>
            <w:tcBorders>
              <w:top w:val="single" w:color="CCCCCC" w:sz="1"/>
              <w:left w:val="single" w:color="CCCCCC" w:sz="1"/>
              <w:bottom w:val="single" w:color="CCCCCC" w:sz="1"/>
              <w:right w:val="single" w:color="CCCCCC" w:sz="1"/>
            </w:tcBorders>
            <w:shd w:fill="F2DCDB" w:val="clear"/>
            <w:tcMar>
              <w:top w:type="dxa" w:w="60"/>
              <w:left w:type="dxa" w:w="100"/>
              <w:bottom w:type="dxa" w:w="60"/>
              <w:right w:type="dxa" w:w="100"/>
            </w:tcMar>
            <w:vAlign w:val="center"/>
          </w:tcPr>
          <w:p>
            <w:pPr>
              <w:jc w:val="left"/>
            </w:pPr>
            <w:r>
              <w:rPr>
                <w:rFonts w:ascii="Arial" w:cs="Arial" w:eastAsia="Arial" w:hAnsi="Arial"/>
                <w:color w:val="8B1A1A"/>
                <w:sz w:val="18"/>
                <w:szCs w:val="18"/>
              </w:rPr>
              <w:t xml:space="preserve">Irán ataca tres buques que eludieron su ruta preaprobada. Trump da por terminada la tregua y revoca la licencia petrolera iraní. El 15 de julio EE.UU. reinstaura el bloqueo naval. El 24 el IRGC declara el estrecho «completamente cerrado».</w:t>
            </w:r>
          </w:p>
        </w:tc>
      </w:tr>
      <w:tr>
        <w:tc>
          <w:tcPr>
            <w:tcW w:type="dxa" w:w="145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VI — Negociación sin ejecución</w:t>
            </w:r>
          </w:p>
        </w:tc>
        <w:tc>
          <w:tcPr>
            <w:tcW w:type="dxa" w:w="155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29 jul – hoy</w:t>
            </w:r>
          </w:p>
        </w:tc>
        <w:tc>
          <w:tcPr>
            <w:tcW w:type="dxa" w:w="6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left"/>
            </w:pPr>
            <w:r>
              <w:rPr>
                <w:rFonts w:ascii="Arial" w:cs="Arial" w:eastAsia="Arial" w:hAnsi="Arial"/>
                <w:b/>
                <w:bCs/>
                <w:color w:val="C65911"/>
                <w:sz w:val="18"/>
                <w:szCs w:val="18"/>
              </w:rPr>
              <w:t xml:space="preserve">NUEVO. Irán y Omán alcanzan acuerdo en principio sobre una ruta (5–6 ago), pendiente de revisión parlamentaria iraní. Pero el tráfico cae a su mínimo histórico — un tránsito el 9 de agosto — y el plazo del memorándum expira el 17 sin acuerdo, precisamente por desacuerdo sobre la gestión del estrecho. Trump amenaza con bombardear Omán. El 18 de agosto un buque es atacado en tránsito.</w:t>
            </w:r>
          </w:p>
        </w:tc>
      </w:tr>
    </w:tbl>
    <w:p>
      <w:pPr>
        <w:spacing w:after="60"/>
      </w:pPr>
    </w:p>
    <w:p>
      <w:pPr>
        <w:spacing w:after="120" w:line="276"/>
        <w:jc w:val="both"/>
      </w:pPr>
      <w:r>
        <w:rPr>
          <w:rFonts w:ascii="Arial" w:cs="Arial" w:eastAsia="Arial" w:hAnsi="Arial"/>
          <w:b/>
          <w:bCs/>
          <w:color w:val="1B3A5C"/>
          <w:sz w:val="22"/>
          <w:szCs w:val="22"/>
        </w:rPr>
        <w:t xml:space="preserve">Observación estructural: </w:t>
      </w:r>
      <w:r>
        <w:rPr>
          <w:rFonts w:ascii="Arial" w:cs="Arial" w:eastAsia="Arial" w:hAnsi="Arial"/>
          <w:sz w:val="22"/>
          <w:szCs w:val="22"/>
        </w:rPr>
        <w:t xml:space="preserve">los tres fracasos — abril, julio y agosto — responden al mismo punto muerto. Irán condiciona la apertura al reconocimiento de su papel en la gestión y al levantamiento del bloqueo; EE.UU. condiciona cualquier concesión a la apertura verificada y rechaza tasas obligatorias. No es un malentendido táctico sino un conflicto de soberanía sobre una vía internacional.</w:t>
      </w:r>
    </w:p>
    <w:p>
      <w:pPr>
        <w:pStyle w:val="Heading2"/>
      </w:pPr>
      <w:r>
        <w:t xml:space="preserve">6.3 Incidentes y ataques a la navegación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Categoría</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Cifra acumulada</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Buques mercantes dañados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Al menos 17 (7 de ellos abandonados)</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Buques mercantes capturados</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2</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Remolcadores hundidos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1</w:t>
            </w:r>
          </w:p>
        </w:tc>
      </w:tr>
      <w:tr>
        <w:tc>
          <w:tcPr>
            <w:tcW w:type="dxa" w:w="4680"/>
            <w:tcBorders>
              <w:top w:val="single" w:color="CCCCCC" w:sz="1"/>
              <w:left w:val="single" w:color="CCCCCC" w:sz="1"/>
              <w:bottom w:val="single" w:color="CCCCCC" w:sz="1"/>
              <w:right w:val="single" w:color="CCCCCC" w:sz="1"/>
            </w:tcBorders>
            <w:shd w:fill="F2DCD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Marinos muertos o desaparecidos</w:t>
            </w:r>
          </w:p>
        </w:tc>
        <w:tc>
          <w:tcPr>
            <w:tcW w:type="dxa" w:w="4680"/>
            <w:tcBorders>
              <w:top w:val="single" w:color="CCCCCC" w:sz="1"/>
              <w:left w:val="single" w:color="CCCCCC" w:sz="1"/>
              <w:bottom w:val="single" w:color="CCCCCC" w:sz="1"/>
              <w:right w:val="single" w:color="CCCCCC" w:sz="1"/>
            </w:tcBorders>
            <w:shd w:fill="F2DCDB" w:val="clear"/>
            <w:tcMar>
              <w:top w:type="dxa" w:w="60"/>
              <w:left w:type="dxa" w:w="100"/>
              <w:bottom w:type="dxa" w:w="60"/>
              <w:right w:type="dxa" w:w="100"/>
            </w:tcMar>
            <w:vAlign w:val="center"/>
          </w:tcPr>
          <w:p>
            <w:pPr>
              <w:jc w:val="left"/>
            </w:pPr>
            <w:r>
              <w:rPr>
                <w:rFonts w:ascii="Arial" w:cs="Arial" w:eastAsia="Arial" w:hAnsi="Arial"/>
                <w:b/>
                <w:bCs/>
                <w:color w:val="8B1A1A"/>
                <w:sz w:val="18"/>
                <w:szCs w:val="18"/>
              </w:rPr>
              <w:t xml:space="preserve">12</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Trabajadores portuarios (Bahréin)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1 muerto, 2 heridos</w:t>
            </w:r>
          </w:p>
        </w:tc>
      </w:tr>
    </w:tbl>
    <w:p>
      <w:pPr>
        <w:spacing w:after="60"/>
      </w:pPr>
    </w:p>
    <w:p>
      <w:pPr>
        <w:spacing w:after="120" w:line="276"/>
        <w:jc w:val="both"/>
      </w:pPr>
      <w:r>
        <w:rPr>
          <w:rFonts w:ascii="Arial" w:cs="Arial" w:eastAsia="Arial" w:hAnsi="Arial"/>
          <w:b/>
          <w:bCs/>
          <w:sz w:val="22"/>
          <w:szCs w:val="22"/>
        </w:rPr>
        <w:t xml:space="preserve">Buques identificados nominalmente: </w:t>
      </w:r>
      <w:r>
        <w:rPr>
          <w:rFonts w:ascii="Arial" w:cs="Arial" w:eastAsia="Arial" w:hAnsi="Arial"/>
          <w:sz w:val="22"/>
          <w:szCs w:val="22"/>
        </w:rPr>
        <w:t xml:space="preserve">MKD Vyom (V.Ships Asia) y Hercules Star (vinculado al Reino Unido), alcanzados durante la «Operación Promesa Verdadera 4» de marzo; el granelero tailandés Mayuree Naree, incendiado con 20 tripulantes evacuados por la Marina Real de Omán; el metanero catarí Al-Rekayyat, atacado el 7 de julio; y el HELGA, cuyo arribo a Basora el 24 de abril fue noticia por ser apenas el segundo buque en llegar desde el cierre. El buque atacado el 18 de agosto no había sido identificado al cierre de esta versión.</w:t>
      </w:r>
    </w:p>
    <w:p>
      <w:pPr>
        <w:pStyle w:val="ListParagraph"/>
        <w:numPr>
          <w:ilvl w:val="0"/>
          <w:numId w:val="2"/>
        </w:numPr>
        <w:spacing w:after="80"/>
      </w:pPr>
      <w:r>
        <w:rPr>
          <w:rFonts w:ascii="Arial" w:cs="Arial" w:eastAsia="Arial" w:hAnsi="Arial"/>
          <w:b/>
          <w:bCs/>
          <w:sz w:val="22"/>
          <w:szCs w:val="22"/>
        </w:rPr>
        <w:t xml:space="preserve">Infraestructura conexa: </w:t>
      </w:r>
      <w:r>
        <w:rPr>
          <w:rFonts w:ascii="Arial" w:cs="Arial" w:eastAsia="Arial" w:hAnsi="Arial"/>
          <w:sz w:val="22"/>
          <w:szCs w:val="22"/>
        </w:rPr>
        <w:t xml:space="preserve">la terminal de Fujairah fue atacada con drones. El IRGC alcanzó con misiles crucero la infraestructura central de datos de Amazon en Bahréin.</w:t>
      </w:r>
    </w:p>
    <w:p>
      <w:pPr>
        <w:pStyle w:val="ListParagraph"/>
        <w:numPr>
          <w:ilvl w:val="0"/>
          <w:numId w:val="2"/>
        </w:numPr>
        <w:spacing w:after="80"/>
      </w:pPr>
      <w:r>
        <w:rPr>
          <w:rFonts w:ascii="Arial" w:cs="Arial" w:eastAsia="Arial" w:hAnsi="Arial"/>
          <w:b/>
          <w:bCs/>
          <w:sz w:val="22"/>
          <w:szCs w:val="22"/>
        </w:rPr>
        <w:t xml:space="preserve">Minado y rutas de facto: </w:t>
      </w:r>
      <w:r>
        <w:rPr>
          <w:rFonts w:ascii="Arial" w:cs="Arial" w:eastAsia="Arial" w:hAnsi="Arial"/>
          <w:sz w:val="22"/>
          <w:szCs w:val="22"/>
        </w:rPr>
        <w:t xml:space="preserve">Irán dirige la navegación a una ruta cercana a su propia costa; EE.UU. ofrece asistencia a los buques que usen la ruta cercana a Omán. El paso central está evitado desde febrero.</w:t>
      </w:r>
    </w:p>
    <w:p>
      <w:pPr>
        <w:pStyle w:val="Heading2"/>
      </w:pPr>
      <w:r>
        <w:t xml:space="preserve">6.4 Correlación con los precios del crudo</w:t>
      </w:r>
    </w:p>
    <w:p>
      <w:pPr>
        <w:spacing w:after="120" w:line="276"/>
        <w:jc w:val="both"/>
      </w:pPr>
      <w:r>
        <w:rPr>
          <w:rFonts w:ascii="Arial" w:cs="Arial" w:eastAsia="Arial" w:hAnsi="Arial"/>
          <w:sz w:val="22"/>
          <w:szCs w:val="22"/>
        </w:rPr>
        <w:t xml:space="preserve">La serie de precios reproduce con nitidez los seis ciclos. La correlación entre estado del estrecho y precio es la relación empírica más limpia del conflicto.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700"/>
        <w:gridCol w:w="1100"/>
        <w:gridCol w:w="1100"/>
        <w:gridCol w:w="4310"/>
      </w:tblGrid>
      <w:tr>
        <w:tc>
          <w:tcPr>
            <w:tcW w:type="dxa" w:w="115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Fecha</w:t>
            </w:r>
          </w:p>
        </w:tc>
        <w:tc>
          <w:tcPr>
            <w:tcW w:type="dxa" w:w="1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Estado Ormuz</w:t>
            </w:r>
          </w:p>
        </w:tc>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Brent</w:t>
            </w:r>
          </w:p>
        </w:tc>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WTI</w:t>
            </w:r>
          </w:p>
        </w:tc>
        <w:tc>
          <w:tcPr>
            <w:tcW w:type="dxa" w:w="431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Detonante</w:t>
            </w:r>
          </w:p>
        </w:tc>
      </w:tr>
      <w:tr>
        <w:tc>
          <w:tcPr>
            <w:tcW w:type="dxa" w:w="11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27 feb</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Abierto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~$69</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&lt;$70</w:t>
            </w:r>
          </w:p>
        </w:tc>
        <w:tc>
          <w:tcPr>
            <w:tcW w:type="dxa" w:w="43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Víspera de la guerra. Línea base 2026: $67–71</w:t>
            </w:r>
          </w:p>
        </w:tc>
      </w:tr>
      <w:tr>
        <w:tc>
          <w:tcPr>
            <w:tcW w:type="dxa" w:w="115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5 mar</w:t>
            </w:r>
          </w:p>
        </w:tc>
        <w:tc>
          <w:tcPr>
            <w:tcW w:type="dxa" w:w="17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Cerrado</w:t>
            </w:r>
          </w:p>
        </w:tc>
        <w:tc>
          <w:tcPr>
            <w:tcW w:type="dxa" w:w="11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$83.54</w:t>
            </w:r>
          </w:p>
        </w:tc>
        <w:tc>
          <w:tcPr>
            <w:tcW w:type="dxa" w:w="11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$76.96</w:t>
            </w:r>
          </w:p>
        </w:tc>
        <w:tc>
          <w:tcPr>
            <w:tcW w:type="dxa" w:w="431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Tráfico −95%. Irak declara fuerza mayor. China detiene exportaciones de combustible</w:t>
            </w:r>
          </w:p>
        </w:tc>
      </w:tr>
      <w:tr>
        <w:tc>
          <w:tcPr>
            <w:tcW w:type="dxa" w:w="11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9 mar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Cerrado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$94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43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+50% desde inicio de año; máximo desde sept. 2023 (EIA)</w:t>
            </w:r>
          </w:p>
        </w:tc>
      </w:tr>
      <w:tr>
        <w:tc>
          <w:tcPr>
            <w:tcW w:type="dxa" w:w="1150"/>
            <w:tcBorders>
              <w:top w:val="single" w:color="CCCCCC" w:sz="1"/>
              <w:left w:val="single" w:color="CCCCCC" w:sz="1"/>
              <w:bottom w:val="single" w:color="CCCCCC" w:sz="1"/>
              <w:right w:val="single" w:color="CCCCCC" w:sz="1"/>
            </w:tcBorders>
            <w:shd w:fill="F2DCDB"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fin mar</w:t>
            </w:r>
          </w:p>
        </w:tc>
        <w:tc>
          <w:tcPr>
            <w:tcW w:type="dxa" w:w="1700"/>
            <w:tcBorders>
              <w:top w:val="single" w:color="CCCCCC" w:sz="1"/>
              <w:left w:val="single" w:color="CCCCCC" w:sz="1"/>
              <w:bottom w:val="single" w:color="CCCCCC" w:sz="1"/>
              <w:right w:val="single" w:color="CCCCCC" w:sz="1"/>
            </w:tcBorders>
            <w:shd w:fill="F2DCD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Cerrado</w:t>
            </w:r>
          </w:p>
        </w:tc>
        <w:tc>
          <w:tcPr>
            <w:tcW w:type="dxa" w:w="1100"/>
            <w:tcBorders>
              <w:top w:val="single" w:color="CCCCCC" w:sz="1"/>
              <w:left w:val="single" w:color="CCCCCC" w:sz="1"/>
              <w:bottom w:val="single" w:color="CCCCCC" w:sz="1"/>
              <w:right w:val="single" w:color="CCCCCC" w:sz="1"/>
            </w:tcBorders>
            <w:shd w:fill="F2DCDB" w:val="clear"/>
            <w:tcMar>
              <w:top w:type="dxa" w:w="60"/>
              <w:left w:type="dxa" w:w="100"/>
              <w:bottom w:type="dxa" w:w="60"/>
              <w:right w:type="dxa" w:w="100"/>
            </w:tcMar>
            <w:vAlign w:val="center"/>
          </w:tcPr>
          <w:p>
            <w:pPr>
              <w:jc w:val="center"/>
            </w:pPr>
            <w:r>
              <w:rPr>
                <w:rFonts w:ascii="Arial" w:cs="Arial" w:eastAsia="Arial" w:hAnsi="Arial"/>
                <w:b/>
                <w:bCs/>
                <w:color w:val="8B1A1A"/>
                <w:sz w:val="18"/>
                <w:szCs w:val="18"/>
              </w:rPr>
              <w:t xml:space="preserve">&gt;$140</w:t>
            </w:r>
          </w:p>
        </w:tc>
        <w:tc>
          <w:tcPr>
            <w:tcW w:type="dxa" w:w="1100"/>
            <w:tcBorders>
              <w:top w:val="single" w:color="CCCCCC" w:sz="1"/>
              <w:left w:val="single" w:color="CCCCCC" w:sz="1"/>
              <w:bottom w:val="single" w:color="CCCCCC" w:sz="1"/>
              <w:right w:val="single" w:color="CCCCCC" w:sz="1"/>
            </w:tcBorders>
            <w:shd w:fill="F2DCD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4310"/>
            <w:tcBorders>
              <w:top w:val="single" w:color="CCCCCC" w:sz="1"/>
              <w:left w:val="single" w:color="CCCCCC" w:sz="1"/>
              <w:bottom w:val="single" w:color="CCCCCC" w:sz="1"/>
              <w:right w:val="single" w:color="CCCCCC" w:sz="1"/>
            </w:tcBorders>
            <w:shd w:fill="F2DCDB" w:val="clear"/>
            <w:tcMar>
              <w:top w:type="dxa" w:w="60"/>
              <w:left w:type="dxa" w:w="100"/>
              <w:bottom w:type="dxa" w:w="60"/>
              <w:right w:type="dxa" w:w="100"/>
            </w:tcMar>
            <w:vAlign w:val="center"/>
          </w:tcPr>
          <w:p>
            <w:pPr>
              <w:jc w:val="left"/>
            </w:pPr>
            <w:r>
              <w:rPr>
                <w:rFonts w:ascii="Arial" w:cs="Arial" w:eastAsia="Arial" w:hAnsi="Arial"/>
                <w:b/>
                <w:bCs/>
                <w:color w:val="8B1A1A"/>
                <w:sz w:val="18"/>
                <w:szCs w:val="18"/>
              </w:rPr>
              <w:t xml:space="preserve">PICO ABSOLUTO. Dated Brent, máximo desde 2008</w:t>
            </w:r>
          </w:p>
        </w:tc>
      </w:tr>
      <w:tr>
        <w:tc>
          <w:tcPr>
            <w:tcW w:type="dxa" w:w="11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 abr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Cerrado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$106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43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Pico intradía $109.44. Reportes de protocolo Irán-Omán</w:t>
            </w:r>
          </w:p>
        </w:tc>
      </w:tr>
      <w:tr>
        <w:tc>
          <w:tcPr>
            <w:tcW w:type="dxa" w:w="115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19 abr</w:t>
            </w:r>
          </w:p>
        </w:tc>
        <w:tc>
          <w:tcPr>
            <w:tcW w:type="dxa" w:w="17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Recerrado</w:t>
            </w:r>
          </w:p>
        </w:tc>
        <w:tc>
          <w:tcPr>
            <w:tcW w:type="dxa" w:w="11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~$95</w:t>
            </w:r>
          </w:p>
        </w:tc>
        <w:tc>
          <w:tcPr>
            <w:tcW w:type="dxa" w:w="11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431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+7%. Irán revierte la reapertura</w:t>
            </w:r>
          </w:p>
        </w:tc>
      </w:tr>
      <w:tr>
        <w:tc>
          <w:tcPr>
            <w:tcW w:type="dxa" w:w="1150"/>
            <w:tcBorders>
              <w:top w:val="single" w:color="CCCCCC" w:sz="1"/>
              <w:left w:val="single" w:color="CCCCCC" w:sz="1"/>
              <w:bottom w:val="single" w:color="CCCCCC" w:sz="1"/>
              <w:right w:val="single" w:color="CCCCCC" w:sz="1"/>
            </w:tcBorders>
            <w:shd w:fill="DFF0D8"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26 jun</w:t>
            </w:r>
          </w:p>
        </w:tc>
        <w:tc>
          <w:tcPr>
            <w:tcW w:type="dxa" w:w="1700"/>
            <w:tcBorders>
              <w:top w:val="single" w:color="CCCCCC" w:sz="1"/>
              <w:left w:val="single" w:color="CCCCCC" w:sz="1"/>
              <w:bottom w:val="single" w:color="CCCCCC" w:sz="1"/>
              <w:right w:val="single" w:color="CCCCCC" w:sz="1"/>
            </w:tcBorders>
            <w:shd w:fill="DFF0D8"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Abierto (MOU)</w:t>
            </w:r>
          </w:p>
        </w:tc>
        <w:tc>
          <w:tcPr>
            <w:tcW w:type="dxa" w:w="1100"/>
            <w:tcBorders>
              <w:top w:val="single" w:color="CCCCCC" w:sz="1"/>
              <w:left w:val="single" w:color="CCCCCC" w:sz="1"/>
              <w:bottom w:val="single" w:color="CCCCCC" w:sz="1"/>
              <w:right w:val="single" w:color="CCCCCC" w:sz="1"/>
            </w:tcBorders>
            <w:shd w:fill="DFF0D8"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$71.99</w:t>
            </w:r>
          </w:p>
        </w:tc>
        <w:tc>
          <w:tcPr>
            <w:tcW w:type="dxa" w:w="1100"/>
            <w:tcBorders>
              <w:top w:val="single" w:color="CCCCCC" w:sz="1"/>
              <w:left w:val="single" w:color="CCCCCC" w:sz="1"/>
              <w:bottom w:val="single" w:color="CCCCCC" w:sz="1"/>
              <w:right w:val="single" w:color="CCCCCC" w:sz="1"/>
            </w:tcBorders>
            <w:shd w:fill="DFF0D8"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$69.23</w:t>
            </w:r>
          </w:p>
        </w:tc>
        <w:tc>
          <w:tcPr>
            <w:tcW w:type="dxa" w:w="4310"/>
            <w:tcBorders>
              <w:top w:val="single" w:color="CCCCCC" w:sz="1"/>
              <w:left w:val="single" w:color="CCCCCC" w:sz="1"/>
              <w:bottom w:val="single" w:color="CCCCCC" w:sz="1"/>
              <w:right w:val="single" w:color="CCCCCC" w:sz="1"/>
            </w:tcBorders>
            <w:shd w:fill="DFF0D8" w:val="clear"/>
            <w:tcMar>
              <w:top w:type="dxa" w:w="60"/>
              <w:left w:type="dxa" w:w="100"/>
              <w:bottom w:type="dxa" w:w="60"/>
              <w:right w:type="dxa" w:w="100"/>
            </w:tcMar>
            <w:vAlign w:val="center"/>
          </w:tcPr>
          <w:p>
            <w:pPr>
              <w:jc w:val="left"/>
            </w:pPr>
            <w:r>
              <w:rPr>
                <w:rFonts w:ascii="Arial" w:cs="Arial" w:eastAsia="Arial" w:hAnsi="Arial"/>
                <w:color w:val="2E6B3E"/>
                <w:sz w:val="18"/>
                <w:szCs w:val="18"/>
              </w:rPr>
              <w:t xml:space="preserve">−4.3%. Primer cierre de WTI bajo $70 desde el 27 de febrero</w:t>
            </w:r>
          </w:p>
        </w:tc>
      </w:tr>
      <w:tr>
        <w:tc>
          <w:tcPr>
            <w:tcW w:type="dxa" w:w="1150"/>
            <w:tcBorders>
              <w:top w:val="single" w:color="CCCCCC" w:sz="1"/>
              <w:left w:val="single" w:color="CCCCCC" w:sz="1"/>
              <w:bottom w:val="single" w:color="CCCCCC" w:sz="1"/>
              <w:right w:val="single" w:color="CCCCCC" w:sz="1"/>
            </w:tcBorders>
            <w:shd w:fill="DFF0D8"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 jul</w:t>
            </w:r>
          </w:p>
        </w:tc>
        <w:tc>
          <w:tcPr>
            <w:tcW w:type="dxa" w:w="1700"/>
            <w:tcBorders>
              <w:top w:val="single" w:color="CCCCCC" w:sz="1"/>
              <w:left w:val="single" w:color="CCCCCC" w:sz="1"/>
              <w:bottom w:val="single" w:color="CCCCCC" w:sz="1"/>
              <w:right w:val="single" w:color="CCCCCC" w:sz="1"/>
            </w:tcBorders>
            <w:shd w:fill="DFF0D8"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Abierto</w:t>
            </w:r>
          </w:p>
        </w:tc>
        <w:tc>
          <w:tcPr>
            <w:tcW w:type="dxa" w:w="1100"/>
            <w:tcBorders>
              <w:top w:val="single" w:color="CCCCCC" w:sz="1"/>
              <w:left w:val="single" w:color="CCCCCC" w:sz="1"/>
              <w:bottom w:val="single" w:color="CCCCCC" w:sz="1"/>
              <w:right w:val="single" w:color="CCCCCC" w:sz="1"/>
            </w:tcBorders>
            <w:shd w:fill="DFF0D8" w:val="clear"/>
            <w:tcMar>
              <w:top w:type="dxa" w:w="60"/>
              <w:left w:type="dxa" w:w="100"/>
              <w:bottom w:type="dxa" w:w="60"/>
              <w:right w:type="dxa" w:w="100"/>
            </w:tcMar>
            <w:vAlign w:val="center"/>
          </w:tcPr>
          <w:p>
            <w:pPr>
              <w:jc w:val="center"/>
            </w:pPr>
            <w:r>
              <w:rPr>
                <w:rFonts w:ascii="Arial" w:cs="Arial" w:eastAsia="Arial" w:hAnsi="Arial"/>
                <w:b/>
                <w:bCs/>
                <w:color w:val="2E6B3E"/>
                <w:sz w:val="18"/>
                <w:szCs w:val="18"/>
              </w:rPr>
              <w:t xml:space="preserve">$70.78</w:t>
            </w:r>
          </w:p>
        </w:tc>
        <w:tc>
          <w:tcPr>
            <w:tcW w:type="dxa" w:w="1100"/>
            <w:tcBorders>
              <w:top w:val="single" w:color="CCCCCC" w:sz="1"/>
              <w:left w:val="single" w:color="CCCCCC" w:sz="1"/>
              <w:bottom w:val="single" w:color="CCCCCC" w:sz="1"/>
              <w:right w:val="single" w:color="CCCCCC" w:sz="1"/>
            </w:tcBorders>
            <w:shd w:fill="DFF0D8"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$67.74</w:t>
            </w:r>
          </w:p>
        </w:tc>
        <w:tc>
          <w:tcPr>
            <w:tcW w:type="dxa" w:w="4310"/>
            <w:tcBorders>
              <w:top w:val="single" w:color="CCCCCC" w:sz="1"/>
              <w:left w:val="single" w:color="CCCCCC" w:sz="1"/>
              <w:bottom w:val="single" w:color="CCCCCC" w:sz="1"/>
              <w:right w:val="single" w:color="CCCCCC" w:sz="1"/>
            </w:tcBorders>
            <w:shd w:fill="DFF0D8" w:val="clear"/>
            <w:tcMar>
              <w:top w:type="dxa" w:w="60"/>
              <w:left w:type="dxa" w:w="100"/>
              <w:bottom w:type="dxa" w:w="60"/>
              <w:right w:type="dxa" w:w="100"/>
            </w:tcMar>
            <w:vAlign w:val="center"/>
          </w:tcPr>
          <w:p>
            <w:pPr>
              <w:jc w:val="left"/>
            </w:pPr>
            <w:r>
              <w:rPr>
                <w:rFonts w:ascii="Arial" w:cs="Arial" w:eastAsia="Arial" w:hAnsi="Arial"/>
                <w:b/>
                <w:bCs/>
                <w:color w:val="2E6B3E"/>
                <w:sz w:val="18"/>
                <w:szCs w:val="18"/>
              </w:rPr>
              <w:t xml:space="preserve">MÍNIMO DEL PERÍODO. 35 petroleros salen en un día</w:t>
            </w:r>
          </w:p>
        </w:tc>
      </w:tr>
      <w:tr>
        <w:tc>
          <w:tcPr>
            <w:tcW w:type="dxa" w:w="115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7 jul</w:t>
            </w:r>
          </w:p>
        </w:tc>
        <w:tc>
          <w:tcPr>
            <w:tcW w:type="dxa" w:w="17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Colapso MOU</w:t>
            </w:r>
          </w:p>
        </w:tc>
        <w:tc>
          <w:tcPr>
            <w:tcW w:type="dxa" w:w="11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$74.16</w:t>
            </w:r>
          </w:p>
        </w:tc>
        <w:tc>
          <w:tcPr>
            <w:tcW w:type="dxa" w:w="11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$70.44</w:t>
            </w:r>
          </w:p>
        </w:tc>
        <w:tc>
          <w:tcPr>
            <w:tcW w:type="dxa" w:w="431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+3%; +5.6% en after-hours al revocar EE.UU. la licencia petrolera iraní</w:t>
            </w:r>
          </w:p>
        </w:tc>
      </w:tr>
      <w:tr>
        <w:tc>
          <w:tcPr>
            <w:tcW w:type="dxa" w:w="11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15 jul</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Bloqueo reinstaurado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$84.95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$79.60</w:t>
            </w:r>
          </w:p>
        </w:tc>
        <w:tc>
          <w:tcPr>
            <w:tcW w:type="dxa" w:w="43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EE.UU. reinstaura el bloqueo naval de puertos iraníes</w:t>
            </w:r>
          </w:p>
        </w:tc>
      </w:tr>
      <w:tr>
        <w:tc>
          <w:tcPr>
            <w:tcW w:type="dxa" w:w="1150"/>
            <w:tcBorders>
              <w:top w:val="single" w:color="CCCCCC" w:sz="1"/>
              <w:left w:val="single" w:color="CCCCCC" w:sz="1"/>
              <w:bottom w:val="single" w:color="CCCCCC" w:sz="1"/>
              <w:right w:val="single" w:color="CCCCCC" w:sz="1"/>
            </w:tcBorders>
            <w:shd w:fill="F2DCDB"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24 jul</w:t>
            </w:r>
          </w:p>
        </w:tc>
        <w:tc>
          <w:tcPr>
            <w:tcW w:type="dxa" w:w="1700"/>
            <w:tcBorders>
              <w:top w:val="single" w:color="CCCCCC" w:sz="1"/>
              <w:left w:val="single" w:color="CCCCCC" w:sz="1"/>
              <w:bottom w:val="single" w:color="CCCCCC" w:sz="1"/>
              <w:right w:val="single" w:color="CCCCCC" w:sz="1"/>
            </w:tcBorders>
            <w:shd w:fill="F2DCD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«Completamente cerrado»</w:t>
            </w:r>
          </w:p>
        </w:tc>
        <w:tc>
          <w:tcPr>
            <w:tcW w:type="dxa" w:w="1100"/>
            <w:tcBorders>
              <w:top w:val="single" w:color="CCCCCC" w:sz="1"/>
              <w:left w:val="single" w:color="CCCCCC" w:sz="1"/>
              <w:bottom w:val="single" w:color="CCCCCC" w:sz="1"/>
              <w:right w:val="single" w:color="CCCCCC" w:sz="1"/>
            </w:tcBorders>
            <w:shd w:fill="F2DCDB" w:val="clear"/>
            <w:tcMar>
              <w:top w:type="dxa" w:w="60"/>
              <w:left w:type="dxa" w:w="100"/>
              <w:bottom w:type="dxa" w:w="60"/>
              <w:right w:type="dxa" w:w="100"/>
            </w:tcMar>
            <w:vAlign w:val="center"/>
          </w:tcPr>
          <w:p>
            <w:pPr>
              <w:jc w:val="center"/>
            </w:pPr>
            <w:r>
              <w:rPr>
                <w:rFonts w:ascii="Arial" w:cs="Arial" w:eastAsia="Arial" w:hAnsi="Arial"/>
                <w:b/>
                <w:bCs/>
                <w:color w:val="8B1A1A"/>
                <w:sz w:val="18"/>
                <w:szCs w:val="18"/>
              </w:rPr>
              <w:t xml:space="preserve">$100.69</w:t>
            </w:r>
          </w:p>
        </w:tc>
        <w:tc>
          <w:tcPr>
            <w:tcW w:type="dxa" w:w="1100"/>
            <w:tcBorders>
              <w:top w:val="single" w:color="CCCCCC" w:sz="1"/>
              <w:left w:val="single" w:color="CCCCCC" w:sz="1"/>
              <w:bottom w:val="single" w:color="CCCCCC" w:sz="1"/>
              <w:right w:val="single" w:color="CCCCCC" w:sz="1"/>
            </w:tcBorders>
            <w:shd w:fill="F2DCD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4310"/>
            <w:tcBorders>
              <w:top w:val="single" w:color="CCCCCC" w:sz="1"/>
              <w:left w:val="single" w:color="CCCCCC" w:sz="1"/>
              <w:bottom w:val="single" w:color="CCCCCC" w:sz="1"/>
              <w:right w:val="single" w:color="CCCCCC" w:sz="1"/>
            </w:tcBorders>
            <w:shd w:fill="F2DCDB" w:val="clear"/>
            <w:tcMar>
              <w:top w:type="dxa" w:w="60"/>
              <w:left w:type="dxa" w:w="100"/>
              <w:bottom w:type="dxa" w:w="60"/>
              <w:right w:type="dxa" w:w="100"/>
            </w:tcMar>
            <w:vAlign w:val="center"/>
          </w:tcPr>
          <w:p>
            <w:pPr>
              <w:jc w:val="left"/>
            </w:pPr>
            <w:r>
              <w:rPr>
                <w:rFonts w:ascii="Arial" w:cs="Arial" w:eastAsia="Arial" w:hAnsi="Arial"/>
                <w:color w:val="8B1A1A"/>
                <w:sz w:val="18"/>
                <w:szCs w:val="18"/>
              </w:rPr>
              <w:t xml:space="preserve">Primer cierre sobre $100 desde el 22 de mayo</w:t>
            </w:r>
          </w:p>
        </w:tc>
      </w:tr>
      <w:tr>
        <w:tc>
          <w:tcPr>
            <w:tcW w:type="dxa" w:w="115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27 jul</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Cerrado + negociación</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$87–90</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431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Pausa de ataques + conversaciones Irán-Omán + reanudación del oleoducto del Caspio</w:t>
            </w:r>
          </w:p>
        </w:tc>
      </w:tr>
      <w:tr>
        <w:tc>
          <w:tcPr>
            <w:tcW w:type="dxa" w:w="115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17 ago</w:t>
            </w:r>
          </w:p>
        </w:tc>
        <w:tc>
          <w:tcPr>
            <w:tcW w:type="dxa" w:w="17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Cerrado; plazo vencido</w:t>
            </w:r>
          </w:p>
        </w:tc>
        <w:tc>
          <w:tcPr>
            <w:tcW w:type="dxa" w:w="11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65911"/>
                <w:sz w:val="18"/>
                <w:szCs w:val="18"/>
              </w:rPr>
              <w:t xml:space="preserve">$88.51–88.80</w:t>
            </w:r>
          </w:p>
        </w:tc>
        <w:tc>
          <w:tcPr>
            <w:tcW w:type="dxa" w:w="11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431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left"/>
            </w:pPr>
            <w:r>
              <w:rPr>
                <w:rFonts w:ascii="Arial" w:cs="Arial" w:eastAsia="Arial" w:hAnsi="Arial"/>
                <w:color w:val="C65911"/>
                <w:sz w:val="18"/>
                <w:szCs w:val="18"/>
              </w:rPr>
              <w:t xml:space="preserve">ACTUAL. Expira el plazo del memorándum sin acuerdo. 1 tránsito el 9 ago vs. ~73 base; 449 buques en espera. El precio no reaccionó al vencimiento — el mercado ya lo descontaba.</w:t>
            </w:r>
          </w:p>
        </w:tc>
      </w:tr>
    </w:tbl>
    <w:p>
      <w:pPr>
        <w:spacing w:after="60"/>
      </w:pPr>
    </w:p>
    <w:p>
      <w:pPr>
        <w:spacing w:after="120" w:line="276"/>
        <w:jc w:val="both"/>
      </w:pPr>
      <w:r>
        <w:rPr>
          <w:rFonts w:ascii="Arial" w:cs="Arial" w:eastAsia="Arial" w:hAnsi="Arial"/>
          <w:b/>
          <w:bCs/>
          <w:sz w:val="22"/>
          <w:szCs w:val="22"/>
        </w:rPr>
        <w:t xml:space="preserve">Lecturas del patrón: </w:t>
      </w:r>
    </w:p>
    <w:p>
      <w:pPr>
        <w:pStyle w:val="ListParagraph"/>
        <w:numPr>
          <w:ilvl w:val="0"/>
          <w:numId w:val="2"/>
        </w:numPr>
        <w:spacing w:after="80"/>
      </w:pPr>
      <w:r>
        <w:rPr>
          <w:rFonts w:ascii="Arial" w:cs="Arial" w:eastAsia="Arial" w:hAnsi="Arial"/>
          <w:b/>
          <w:bCs/>
          <w:sz w:val="22"/>
          <w:szCs w:val="22"/>
        </w:rPr>
        <w:t xml:space="preserve">Amplitud: </w:t>
      </w:r>
      <w:r>
        <w:rPr>
          <w:rFonts w:ascii="Arial" w:cs="Arial" w:eastAsia="Arial" w:hAnsi="Arial"/>
          <w:sz w:val="22"/>
          <w:szCs w:val="22"/>
        </w:rPr>
        <w:t xml:space="preserve">el rango del período va de ~$69 a más de $140 — oscilación superior al 100% gobernada casi enteramente por el estado del estrecho.</w:t>
      </w:r>
    </w:p>
    <w:p>
      <w:pPr>
        <w:pStyle w:val="ListParagraph"/>
        <w:numPr>
          <w:ilvl w:val="0"/>
          <w:numId w:val="2"/>
        </w:numPr>
        <w:spacing w:after="80"/>
      </w:pPr>
      <w:r>
        <w:rPr>
          <w:rFonts w:ascii="Arial" w:cs="Arial" w:eastAsia="Arial" w:hAnsi="Arial"/>
          <w:b/>
          <w:bCs/>
          <w:sz w:val="22"/>
          <w:szCs w:val="22"/>
        </w:rPr>
        <w:t xml:space="preserve">Reversibilidad rápida: </w:t>
      </w:r>
      <w:r>
        <w:rPr>
          <w:rFonts w:ascii="Arial" w:cs="Arial" w:eastAsia="Arial" w:hAnsi="Arial"/>
          <w:sz w:val="22"/>
          <w:szCs w:val="22"/>
        </w:rPr>
        <w:t xml:space="preserve">la apertura de junio devolvió los precios a niveles pre-guerra en semanas. El mercado descuenta el riesgo geopolítico mucho más rápido de lo que se asumió en marzo.</w:t>
      </w:r>
    </w:p>
    <w:p>
      <w:pPr>
        <w:pStyle w:val="ListParagraph"/>
        <w:numPr>
          <w:ilvl w:val="0"/>
          <w:numId w:val="2"/>
        </w:numPr>
        <w:spacing w:after="80"/>
      </w:pPr>
      <w:r>
        <w:rPr>
          <w:rFonts w:ascii="Arial" w:cs="Arial" w:eastAsia="Arial" w:hAnsi="Arial"/>
          <w:b/>
          <w:bCs/>
          <w:sz w:val="22"/>
          <w:szCs w:val="22"/>
        </w:rPr>
        <w:t xml:space="preserve">Desacoplamiento reciente (NUEVO): </w:t>
      </w:r>
      <w:r>
        <w:rPr>
          <w:rFonts w:ascii="Arial" w:cs="Arial" w:eastAsia="Arial" w:hAnsi="Arial"/>
          <w:sz w:val="22"/>
          <w:szCs w:val="22"/>
        </w:rPr>
        <w:t xml:space="preserve">el dato más significativo de agosto es que el vencimiento del plazo el 17 no movió sustancialmente el precio, que se mantuvo en la banda de $87–90 pese a un tráfico en mínimos absolutos. El mercado parece haber internalizado un equilibrio de cierre prolongado y ya no reacciona a hitos diplomáticos fallidos, solo a incidentes físicos.</w:t>
      </w:r>
    </w:p>
    <w:p>
      <w:pPr>
        <w:pStyle w:val="ListParagraph"/>
        <w:numPr>
          <w:ilvl w:val="0"/>
          <w:numId w:val="2"/>
        </w:numPr>
        <w:spacing w:after="80"/>
      </w:pPr>
      <w:r>
        <w:rPr>
          <w:rFonts w:ascii="Arial" w:cs="Arial" w:eastAsia="Arial" w:hAnsi="Arial"/>
          <w:b/>
          <w:bCs/>
          <w:sz w:val="22"/>
          <w:szCs w:val="22"/>
        </w:rPr>
        <w:t xml:space="preserve">Revisión de previsiones: </w:t>
      </w:r>
      <w:r>
        <w:rPr>
          <w:rFonts w:ascii="Arial" w:cs="Arial" w:eastAsia="Arial" w:hAnsi="Arial"/>
          <w:sz w:val="22"/>
          <w:szCs w:val="22"/>
        </w:rPr>
        <w:t xml:space="preserve">la EIA elevó su proyección de Brent promedio 2026 de $58 a $79 por barril, y la de 2027 de $53 a $64.</w:t>
      </w:r>
    </w:p>
    <w:p>
      <w:pPr>
        <w:pStyle w:val="Heading2"/>
      </w:pPr>
      <w:r>
        <w:t xml:space="preserve">6.5 Costos de seguro y reenrutamiento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00"/>
        <w:gridCol w:w="3060"/>
      </w:tblGrid>
      <w:tr>
        <w:tc>
          <w:tcPr>
            <w:tcW w:type="dxa" w:w="3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Concepto</w:t>
            </w:r>
          </w:p>
        </w:tc>
        <w:tc>
          <w:tcPr>
            <w:tcW w:type="dxa" w:w="2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Pre-crisis</w:t>
            </w:r>
          </w:p>
        </w:tc>
        <w:tc>
          <w:tcPr>
            <w:tcW w:type="dxa" w:w="30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Pico (marzo 2026)</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Prima de riesgo de guerra</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~0.125% del valor del casco por tránsito</w:t>
            </w:r>
          </w:p>
        </w:tc>
        <w:tc>
          <w:tcPr>
            <w:tcW w:type="dxa" w:w="3060"/>
            <w:tcBorders>
              <w:top w:val="single" w:color="CCCCCC" w:sz="1"/>
              <w:left w:val="single" w:color="CCCCCC" w:sz="1"/>
              <w:bottom w:val="single" w:color="CCCCCC" w:sz="1"/>
              <w:right w:val="single" w:color="CCCCCC" w:sz="1"/>
            </w:tcBorders>
            <w:shd w:fill="F2DCDB" w:val="clear"/>
            <w:tcMar>
              <w:top w:type="dxa" w:w="60"/>
              <w:left w:type="dxa" w:w="100"/>
              <w:bottom w:type="dxa" w:w="60"/>
              <w:right w:type="dxa" w:w="100"/>
            </w:tcMar>
            <w:vAlign w:val="center"/>
          </w:tcPr>
          <w:p>
            <w:pPr>
              <w:jc w:val="left"/>
            </w:pPr>
            <w:r>
              <w:rPr>
                <w:rFonts w:ascii="Arial" w:cs="Arial" w:eastAsia="Arial" w:hAnsi="Arial"/>
                <w:b/>
                <w:bCs/>
                <w:color w:val="8B1A1A"/>
                <w:sz w:val="18"/>
                <w:szCs w:val="18"/>
              </w:rPr>
              <w:t xml:space="preserve">2.5–5% del casco — ~US$5 millones por tránsito de un VLCC</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Multiplicador implícito</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1x</w:t>
            </w:r>
          </w:p>
        </w:tc>
        <w:tc>
          <w:tcPr>
            <w:tcW w:type="dxa" w:w="3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20x – 40x</w:t>
            </w:r>
          </w:p>
        </w:tc>
      </w:tr>
    </w:tbl>
    <w:p>
      <w:pPr>
        <w:spacing w:after="60"/>
      </w:pPr>
    </w:p>
    <w:p>
      <w:pPr>
        <w:pStyle w:val="ListParagraph"/>
        <w:numPr>
          <w:ilvl w:val="0"/>
          <w:numId w:val="2"/>
        </w:numPr>
        <w:spacing w:after="80"/>
      </w:pPr>
      <w:r>
        <w:rPr>
          <w:rFonts w:ascii="Arial" w:cs="Arial" w:eastAsia="Arial" w:hAnsi="Arial"/>
          <w:b/>
          <w:bCs/>
          <w:sz w:val="22"/>
          <w:szCs w:val="22"/>
        </w:rPr>
        <w:t xml:space="preserve">Doble bloqueo: </w:t>
      </w:r>
      <w:r>
        <w:rPr>
          <w:rFonts w:ascii="Arial" w:cs="Arial" w:eastAsia="Arial" w:hAnsi="Arial"/>
          <w:sz w:val="22"/>
          <w:szCs w:val="22"/>
        </w:rPr>
        <w:t xml:space="preserve">los hutíes reanudaron ataques en el Mar Rojo y abrieron un nuevo frente en julio, revirtiendo las ganancias logradas desde el alto el fuego de octubre de 2025. Por primera vez en la historia moderna, los dos grandes corredores marítimos de Medio Oriente quedaron bloqueados simultáneamente.</w:t>
      </w:r>
    </w:p>
    <w:p>
      <w:pPr>
        <w:pStyle w:val="ListParagraph"/>
        <w:numPr>
          <w:ilvl w:val="0"/>
          <w:numId w:val="2"/>
        </w:numPr>
        <w:spacing w:after="80"/>
      </w:pPr>
      <w:r>
        <w:rPr>
          <w:rFonts w:ascii="Arial" w:cs="Arial" w:eastAsia="Arial" w:hAnsi="Arial"/>
          <w:b/>
          <w:bCs/>
          <w:sz w:val="22"/>
          <w:szCs w:val="22"/>
        </w:rPr>
        <w:t xml:space="preserve">Cabo de Buena Esperanza: </w:t>
      </w:r>
      <w:r>
        <w:rPr>
          <w:rFonts w:ascii="Arial" w:cs="Arial" w:eastAsia="Arial" w:hAnsi="Arial"/>
          <w:sz w:val="22"/>
          <w:szCs w:val="22"/>
        </w:rPr>
        <w:t xml:space="preserve">los principales operadores de contenedores siguen reenrutados por el Cabo y no han comprometido calendarios de retorno a Suez. El seguro y el ruteo, no la disponibilidad física de crudo, son las restricciones vinculantes.</w:t>
      </w:r>
    </w:p>
    <w:p>
      <w:pPr>
        <w:pStyle w:val="Heading2"/>
      </w:pPr>
      <w:r>
        <w:t xml:space="preserve">6.6 La arquitectura de gobernanza en disputa</w:t>
      </w:r>
    </w:p>
    <w:p>
      <w:pPr>
        <w:spacing w:after="120" w:line="276"/>
        <w:jc w:val="both"/>
      </w:pPr>
      <w:r>
        <w:rPr>
          <w:rFonts w:ascii="Arial" w:cs="Arial" w:eastAsia="Arial" w:hAnsi="Arial"/>
          <w:sz w:val="22"/>
          <w:szCs w:val="22"/>
        </w:rPr>
        <w:t xml:space="preserve">La cuestión de fondo es jurídico-institucional: quién administra el estrecho y bajo qué régimen. Fue el motivo directo del fracaso del plazo el 17 de agosto.</w:t>
      </w:r>
    </w:p>
    <w:p>
      <w:pPr>
        <w:spacing w:after="120" w:line="276"/>
        <w:jc w:val="both"/>
      </w:pPr>
      <w:r>
        <w:rPr>
          <w:rFonts w:ascii="Arial" w:cs="Arial" w:eastAsia="Arial" w:hAnsi="Arial"/>
          <w:b/>
          <w:bCs/>
          <w:sz w:val="22"/>
          <w:szCs w:val="22"/>
        </w:rPr>
        <w:t xml:space="preserve">Evolución de las propuestas (importante): </w:t>
      </w:r>
      <w:r>
        <w:rPr>
          <w:rFonts w:ascii="Arial" w:cs="Arial" w:eastAsia="Arial" w:hAnsi="Arial"/>
          <w:sz w:val="22"/>
          <w:szCs w:val="22"/>
        </w:rPr>
        <w:t xml:space="preserve">en julio Omán propuso un esquema de gestión regional conjunta con </w:t>
      </w:r>
      <w:r>
        <w:rPr>
          <w:rFonts w:ascii="Arial" w:cs="Arial" w:eastAsia="Arial" w:hAnsi="Arial"/>
          <w:b/>
          <w:bCs/>
          <w:sz w:val="22"/>
          <w:szCs w:val="22"/>
        </w:rPr>
        <w:t xml:space="preserve">tarifas voluntarias</w:t>
      </w:r>
      <w:r>
        <w:rPr>
          <w:rFonts w:ascii="Arial" w:cs="Arial" w:eastAsia="Arial" w:hAnsi="Arial"/>
          <w:sz w:val="22"/>
          <w:szCs w:val="22"/>
        </w:rPr>
        <w:t xml:space="preserve">, comparado con el arreglo del Estrecho de Malaca, diseñado para evitar que Irán ejerciera control exclusivo. Los términos filtrados del acuerdo Irán-Omán de agosto abandonan ese modelo.</w:t>
      </w:r>
    </w:p>
    <w:p>
      <w:pPr>
        <w:spacing w:after="120" w:line="276"/>
        <w:jc w:val="both"/>
      </w:pPr>
      <w:r>
        <w:rPr>
          <w:rFonts w:ascii="Arial" w:cs="Arial" w:eastAsia="Arial" w:hAnsi="Arial"/>
          <w:b/>
          <w:bCs/>
          <w:sz w:val="22"/>
          <w:szCs w:val="22"/>
        </w:rPr>
        <w:t xml:space="preserve">Términos del acuerdo Irán-Omán según medios estatales iraníes (5–6 de agosto, no confirmados por Mascate): </w:t>
      </w:r>
    </w:p>
    <w:p>
      <w:pPr>
        <w:pStyle w:val="ListParagraph"/>
        <w:numPr>
          <w:ilvl w:val="0"/>
          <w:numId w:val="2"/>
        </w:numPr>
        <w:spacing w:after="80"/>
      </w:pPr>
      <w:r>
        <w:rPr>
          <w:rFonts w:ascii="Arial" w:cs="Arial" w:eastAsia="Arial" w:hAnsi="Arial"/>
          <w:sz w:val="22"/>
          <w:szCs w:val="22"/>
        </w:rPr>
        <w:t xml:space="preserve">Prohibición de paso a buques estadounidenses o israelíes.</w:t>
      </w:r>
    </w:p>
    <w:p>
      <w:pPr>
        <w:pStyle w:val="ListParagraph"/>
        <w:numPr>
          <w:ilvl w:val="0"/>
          <w:numId w:val="2"/>
        </w:numPr>
        <w:spacing w:after="80"/>
      </w:pPr>
      <w:r>
        <w:rPr>
          <w:rFonts w:ascii="Arial" w:cs="Arial" w:eastAsia="Arial" w:hAnsi="Arial"/>
          <w:sz w:val="22"/>
          <w:szCs w:val="22"/>
        </w:rPr>
        <w:t xml:space="preserve">Tarifa de hasta 7% del valor de la carga, y multa de hasta 20% del valor en caso de incumplimiento de las condiciones.</w:t>
      </w:r>
    </w:p>
    <w:p>
      <w:pPr>
        <w:pStyle w:val="ListParagraph"/>
        <w:numPr>
          <w:ilvl w:val="0"/>
          <w:numId w:val="2"/>
        </w:numPr>
        <w:spacing w:after="80"/>
      </w:pPr>
      <w:r>
        <w:rPr>
          <w:rFonts w:ascii="Arial" w:cs="Arial" w:eastAsia="Arial" w:hAnsi="Arial"/>
          <w:sz w:val="22"/>
          <w:szCs w:val="22"/>
        </w:rPr>
        <w:t xml:space="preserve">Control iraní sobre la guía de navegación, el monitoreo del tráfico y la seguridad del Golfo Pérsico.</w:t>
      </w:r>
    </w:p>
    <w:p>
      <w:pPr>
        <w:pStyle w:val="ListParagraph"/>
        <w:numPr>
          <w:ilvl w:val="0"/>
          <w:numId w:val="2"/>
        </w:numPr>
        <w:spacing w:after="80"/>
      </w:pPr>
      <w:r>
        <w:rPr>
          <w:rFonts w:ascii="Arial" w:cs="Arial" w:eastAsia="Arial" w:hAnsi="Arial"/>
          <w:sz w:val="22"/>
          <w:szCs w:val="22"/>
        </w:rPr>
        <w:t xml:space="preserve">Entrada por el corredor norte (costa iraní) y salida por el corredor sur (costa omání).</w:t>
      </w:r>
    </w:p>
    <w:p>
      <w:pPr>
        <w:pStyle w:val="ListParagraph"/>
        <w:numPr>
          <w:ilvl w:val="0"/>
          <w:numId w:val="2"/>
        </w:numPr>
        <w:spacing w:after="80"/>
      </w:pPr>
      <w:r>
        <w:rPr>
          <w:rFonts w:ascii="Arial" w:cs="Arial" w:eastAsia="Arial" w:hAnsi="Arial"/>
          <w:sz w:val="22"/>
          <w:szCs w:val="22"/>
        </w:rPr>
        <w:t xml:space="preserve">Vigencia limitada; el canciller turco, que ha asistido en la mediación, indicó una duración posible de 60 días.</w:t>
      </w:r>
    </w:p>
    <w:p>
      <w:pPr>
        <w:spacing w:after="120" w:line="276"/>
        <w:jc w:val="both"/>
      </w:pPr>
      <w:r>
        <w:rPr>
          <w:rFonts w:ascii="Arial" w:cs="Arial" w:eastAsia="Arial" w:hAnsi="Arial"/>
          <w:b/>
          <w:bCs/>
          <w:color w:val="8B1A1A"/>
          <w:sz w:val="22"/>
          <w:szCs w:val="22"/>
        </w:rPr>
        <w:t xml:space="preserve">Por qué esto bloqueó el acuerdo: </w:t>
      </w:r>
      <w:r>
        <w:rPr>
          <w:rFonts w:ascii="Arial" w:cs="Arial" w:eastAsia="Arial" w:hAnsi="Arial"/>
          <w:sz w:val="22"/>
          <w:szCs w:val="22"/>
        </w:rPr>
        <w:t xml:space="preserve">EE.UU. se opone a cualquier arreglo con tasas de tránsito obligatorias. Una tarifa del 7% del valor de la carga no es una contribución voluntaria a un fondo de gestión: es un peaje soberano. El negociador jefe iraní Ghalibaf había declarado que la guerra concedió a Irán «uno de nuestros mayores instrumentos estratégicos de poder» y que «la soberanía y la gestión permanecen en Irán». El acuerdo de agosto codifica esa posición, lo que lo hace inaceptable para Washington.</w:t>
      </w:r>
    </w:p>
    <w:p>
      <w:pPr>
        <w:pStyle w:val="ListParagraph"/>
        <w:numPr>
          <w:ilvl w:val="0"/>
          <w:numId w:val="2"/>
        </w:numPr>
        <w:spacing w:after="80"/>
      </w:pPr>
      <w:r>
        <w:rPr>
          <w:rFonts w:ascii="Arial" w:cs="Arial" w:eastAsia="Arial" w:hAnsi="Arial"/>
          <w:b/>
          <w:bCs/>
          <w:sz w:val="22"/>
          <w:szCs w:val="22"/>
        </w:rPr>
        <w:t xml:space="preserve">Obstáculo técnico persistente: </w:t>
      </w:r>
      <w:r>
        <w:rPr>
          <w:rFonts w:ascii="Arial" w:cs="Arial" w:eastAsia="Arial" w:hAnsi="Arial"/>
          <w:sz w:val="22"/>
          <w:szCs w:val="22"/>
        </w:rPr>
        <w:t xml:space="preserve">la ruta central solo puede restaurarse tras el desminado. Reino Unido, Francia y otros países europeos manifestaron disposición a apoyar operaciones de limpieza si la seguridad lo permite.</w:t>
      </w:r>
    </w:p>
    <w:p>
      <w:pPr>
        <w:pStyle w:val="ListParagraph"/>
        <w:numPr>
          <w:ilvl w:val="0"/>
          <w:numId w:val="2"/>
        </w:numPr>
        <w:spacing w:after="80"/>
      </w:pPr>
      <w:r>
        <w:rPr>
          <w:rFonts w:ascii="Arial" w:cs="Arial" w:eastAsia="Arial" w:hAnsi="Arial"/>
          <w:b/>
          <w:bCs/>
          <w:sz w:val="22"/>
          <w:szCs w:val="22"/>
        </w:rPr>
        <w:t xml:space="preserve">La OMI fuera del proceso: </w:t>
      </w:r>
      <w:r>
        <w:rPr>
          <w:rFonts w:ascii="Arial" w:cs="Arial" w:eastAsia="Arial" w:hAnsi="Arial"/>
          <w:sz w:val="22"/>
          <w:szCs w:val="22"/>
        </w:rPr>
        <w:t xml:space="preserve">el organismo declaró no estar involucrado y señaló que toda propuesta de nuevas rutas o medidas de gestión de tráfico debería someterse a sus estados miembros. Cualquier arreglo bilateral Irán-Omán carece de respaldo multilateral.</w:t>
      </w:r>
    </w:p>
    <w:p>
      <w:pPr>
        <w:pStyle w:val="ListParagraph"/>
        <w:numPr>
          <w:ilvl w:val="0"/>
          <w:numId w:val="2"/>
        </w:numPr>
        <w:spacing w:after="80"/>
      </w:pPr>
      <w:r>
        <w:rPr>
          <w:rFonts w:ascii="Arial" w:cs="Arial" w:eastAsia="Arial" w:hAnsi="Arial"/>
          <w:b/>
          <w:bCs/>
          <w:sz w:val="22"/>
          <w:szCs w:val="22"/>
        </w:rPr>
        <w:t xml:space="preserve">Amenaza al mediador: </w:t>
      </w:r>
      <w:r>
        <w:rPr>
          <w:rFonts w:ascii="Arial" w:cs="Arial" w:eastAsia="Arial" w:hAnsi="Arial"/>
          <w:sz w:val="22"/>
          <w:szCs w:val="22"/>
        </w:rPr>
        <w:t xml:space="preserve">la advertencia de Trump del 17 de agosto de bombardear Omán si interfiere marca el punto más bajo del proceso negociador.</w:t>
      </w:r>
    </w:p>
    <w:p>
      <w:pPr>
        <w:pStyle w:val="Heading2"/>
      </w:pPr>
      <w:r>
        <w:t xml:space="preserve">6.7 Por qué Ormuz determina el desenlace</w:t>
      </w:r>
    </w:p>
    <w:p>
      <w:pPr>
        <w:spacing w:after="120" w:line="276"/>
        <w:jc w:val="both"/>
      </w:pPr>
      <w:r>
        <w:rPr>
          <w:rFonts w:ascii="Arial" w:cs="Arial" w:eastAsia="Arial" w:hAnsi="Arial"/>
          <w:b/>
          <w:bCs/>
          <w:sz w:val="22"/>
          <w:szCs w:val="22"/>
        </w:rPr>
        <w:t xml:space="preserve">Ormuz es el activo estratégico residual de Irán. </w:t>
      </w:r>
      <w:r>
        <w:rPr>
          <w:rFonts w:ascii="Arial" w:cs="Arial" w:eastAsia="Arial" w:hAnsi="Arial"/>
          <w:sz w:val="22"/>
          <w:szCs w:val="22"/>
        </w:rPr>
        <w:t xml:space="preserve">Tras perder marina, fuerza aérea y la mayor parte de sus lanzadores, el control del estrecho es lo único que le queda como palanca con capacidad de imponer costo global.</w:t>
      </w:r>
    </w:p>
    <w:p>
      <w:pPr>
        <w:spacing w:after="120" w:line="276"/>
        <w:jc w:val="both"/>
      </w:pPr>
      <w:r>
        <w:rPr>
          <w:rFonts w:ascii="Arial" w:cs="Arial" w:eastAsia="Arial" w:hAnsi="Arial"/>
          <w:b/>
          <w:bCs/>
          <w:sz w:val="22"/>
          <w:szCs w:val="22"/>
        </w:rPr>
        <w:t xml:space="preserve">Primera consecuencia: </w:t>
      </w:r>
      <w:r>
        <w:rPr>
          <w:rFonts w:ascii="Arial" w:cs="Arial" w:eastAsia="Arial" w:hAnsi="Arial"/>
          <w:sz w:val="22"/>
          <w:szCs w:val="22"/>
        </w:rPr>
        <w:t xml:space="preserve">Irán no puede ceder Ormuz sin quedarse sin cartas, por lo que cualquier acuerdo que exija apertura incondicional está estructuralmente destinado a fallar — como falló en abril, en julio y ahora en agosto. Un acuerdo viable debe darle alguna forma de participación en la gestión; el problema es que la versión iraní de esa participación (7% del valor de carga) equivale a soberanía sobre una vía internacional.</w:t>
      </w:r>
    </w:p>
    <w:p>
      <w:pPr>
        <w:spacing w:after="120" w:line="276"/>
        <w:jc w:val="both"/>
      </w:pPr>
      <w:r>
        <w:rPr>
          <w:rFonts w:ascii="Arial" w:cs="Arial" w:eastAsia="Arial" w:hAnsi="Arial"/>
          <w:b/>
          <w:bCs/>
          <w:sz w:val="22"/>
          <w:szCs w:val="22"/>
        </w:rPr>
        <w:t xml:space="preserve">Segunda consecuencia: </w:t>
      </w:r>
      <w:r>
        <w:rPr>
          <w:rFonts w:ascii="Arial" w:cs="Arial" w:eastAsia="Arial" w:hAnsi="Arial"/>
          <w:sz w:val="22"/>
          <w:szCs w:val="22"/>
        </w:rPr>
        <w:t xml:space="preserve">mientras Ormuz siga siendo palanca, el conflicto no puede terminar formalmente. La resolución de Ormuz y el fin de la guerra son el mismo problema.</w:t>
      </w:r>
    </w:p>
    <w:p>
      <w:pPr>
        <w:spacing w:after="120" w:line="276"/>
        <w:jc w:val="both"/>
      </w:pPr>
      <w:r>
        <w:rPr>
          <w:rFonts w:ascii="Arial" w:cs="Arial" w:eastAsia="Arial" w:hAnsi="Arial"/>
          <w:b/>
          <w:bCs/>
          <w:color w:val="1B3A5C"/>
          <w:sz w:val="22"/>
          <w:szCs w:val="22"/>
        </w:rPr>
        <w:t xml:space="preserve">Indicador de seguimiento prioritario: </w:t>
      </w:r>
      <w:r>
        <w:rPr>
          <w:rFonts w:ascii="Arial" w:cs="Arial" w:eastAsia="Arial" w:hAnsi="Arial"/>
          <w:sz w:val="22"/>
          <w:szCs w:val="22"/>
        </w:rPr>
        <w:t xml:space="preserve">el número diario de tránsitos sigue siendo el mejor termómetro individual. Línea base ~73–130/día. El 23 de julio: 10. El 9 de agosto: 1. El umbral operativo propuesto se mantiene: media móvil de 7 días sostenidamente sobre 30 indica acuerdo real; bajo 15, la guerra continúa cualquiera sea la retórica.</w:t>
      </w:r>
    </w:p>
    <w:p>
      <w:r>
        <w:br w:type="page"/>
      </w:r>
    </w:p>
    <w:p>
      <w:pPr>
        <w:pStyle w:val="Heading1"/>
      </w:pPr>
      <w:r>
        <w:t xml:space="preserve">7. Impacto económico global</w:t>
      </w:r>
    </w:p>
    <w:p>
      <w:pPr>
        <w:spacing w:after="120" w:line="276"/>
        <w:jc w:val="both"/>
      </w:pPr>
      <w:r>
        <w:rPr>
          <w:rFonts w:ascii="Arial" w:cs="Arial" w:eastAsia="Arial" w:hAnsi="Arial"/>
          <w:b/>
          <w:bCs/>
          <w:sz w:val="22"/>
          <w:szCs w:val="22"/>
        </w:rPr>
        <w:t xml:space="preserve">Nota de precisión (mantenida de la v7 ajustada): </w:t>
      </w:r>
      <w:r>
        <w:rPr>
          <w:rFonts w:ascii="Arial" w:cs="Arial" w:eastAsia="Arial" w:hAnsi="Arial"/>
          <w:sz w:val="22"/>
          <w:szCs w:val="22"/>
        </w:rPr>
        <w:t xml:space="preserve">el GPI 2026 estima que la diferencia anual entre un escenario de guerra reanudada y uno de alto el fuego frágil podría alcanzar US$2.2 billones en términos de paridad de poder adquisitivo. No se trata de una reducción ya observada del PIB mundial, y la cifra no debe citarse como tal.</w:t>
      </w:r>
    </w:p>
    <w:p>
      <w:pPr>
        <w:pStyle w:val="Heading2"/>
      </w:pPr>
      <w:r>
        <w:t xml:space="preserve">7.1 Energía</w:t>
      </w:r>
    </w:p>
    <w:p>
      <w:pPr>
        <w:pStyle w:val="ListParagraph"/>
        <w:numPr>
          <w:ilvl w:val="0"/>
          <w:numId w:val="2"/>
        </w:numPr>
        <w:spacing w:after="80"/>
      </w:pPr>
      <w:r>
        <w:rPr>
          <w:rFonts w:ascii="Arial" w:cs="Arial" w:eastAsia="Arial" w:hAnsi="Arial"/>
          <w:b/>
          <w:bCs/>
          <w:sz w:val="22"/>
          <w:szCs w:val="22"/>
        </w:rPr>
        <w:t xml:space="preserve">Volumen interrumpido: </w:t>
      </w:r>
      <w:r>
        <w:rPr>
          <w:rFonts w:ascii="Arial" w:cs="Arial" w:eastAsia="Arial" w:hAnsi="Arial"/>
          <w:sz w:val="22"/>
          <w:szCs w:val="22"/>
        </w:rPr>
        <w:t xml:space="preserve">~21 millones de barriles diarios al cierre inicial. La producción conjunta de Kuwait, Irak, Arabia Saudita y EAU cayó 6.7 millones b/d al 10 de marzo y al menos 10 millones b/d al 12 de marzo. QatarEnergy declaró fuerza mayor sobre todas sus exportaciones.</w:t>
      </w:r>
    </w:p>
    <w:p>
      <w:pPr>
        <w:pStyle w:val="ListParagraph"/>
        <w:numPr>
          <w:ilvl w:val="0"/>
          <w:numId w:val="2"/>
        </w:numPr>
        <w:spacing w:after="80"/>
      </w:pPr>
      <w:r>
        <w:rPr>
          <w:rFonts w:ascii="Arial" w:cs="Arial" w:eastAsia="Arial" w:hAnsi="Arial"/>
          <w:b/>
          <w:bCs/>
          <w:sz w:val="22"/>
          <w:szCs w:val="22"/>
        </w:rPr>
        <w:t xml:space="preserve">Calificación de la IEA: </w:t>
      </w:r>
      <w:r>
        <w:rPr>
          <w:rFonts w:ascii="Arial" w:cs="Arial" w:eastAsia="Arial" w:hAnsi="Arial"/>
          <w:sz w:val="22"/>
          <w:szCs w:val="22"/>
        </w:rPr>
        <w:t xml:space="preserve">la mayor disrupción de suministro en la historia del mercado petrolero global, con ecos del shock de los años setenta.</w:t>
      </w:r>
    </w:p>
    <w:p>
      <w:pPr>
        <w:pStyle w:val="ListParagraph"/>
        <w:numPr>
          <w:ilvl w:val="0"/>
          <w:numId w:val="2"/>
        </w:numPr>
        <w:spacing w:after="80"/>
      </w:pPr>
      <w:r>
        <w:rPr>
          <w:rFonts w:ascii="Arial" w:cs="Arial" w:eastAsia="Arial" w:hAnsi="Arial"/>
          <w:b/>
          <w:bCs/>
          <w:sz w:val="22"/>
          <w:szCs w:val="22"/>
        </w:rPr>
        <w:t xml:space="preserve">Mitigación asimétrica: </w:t>
      </w:r>
      <w:r>
        <w:rPr>
          <w:rFonts w:ascii="Arial" w:cs="Arial" w:eastAsia="Arial" w:hAnsi="Arial"/>
          <w:sz w:val="22"/>
          <w:szCs w:val="22"/>
        </w:rPr>
        <w:t xml:space="preserve">Arabia Saudita redirigió exportaciones por el oleoducto Este-Oeste; Aramco reportó +26% en ganancias en el primer trimestre. Los productores con salida alternativa fueron los únicos ganadores netos.</w:t>
      </w:r>
    </w:p>
    <w:p>
      <w:pPr>
        <w:pStyle w:val="ListParagraph"/>
        <w:numPr>
          <w:ilvl w:val="0"/>
          <w:numId w:val="2"/>
        </w:numPr>
        <w:spacing w:after="80"/>
      </w:pPr>
      <w:r>
        <w:rPr>
          <w:rFonts w:ascii="Arial" w:cs="Arial" w:eastAsia="Arial" w:hAnsi="Arial"/>
          <w:b/>
          <w:bCs/>
          <w:sz w:val="22"/>
          <w:szCs w:val="22"/>
        </w:rPr>
        <w:t xml:space="preserve">Combustibles refinados: </w:t>
      </w:r>
      <w:r>
        <w:rPr>
          <w:rFonts w:ascii="Arial" w:cs="Arial" w:eastAsia="Arial" w:hAnsi="Arial"/>
          <w:sz w:val="22"/>
          <w:szCs w:val="22"/>
        </w:rPr>
        <w:t xml:space="preserve">China ordenó a sus refinerías detener exportaciones de diésel y gasolina; Japón recurrió a reservas estratégicas; Vietnam registró compras de pánico.</w:t>
      </w:r>
    </w:p>
    <w:p>
      <w:pPr>
        <w:pStyle w:val="Heading2"/>
      </w:pPr>
      <w:r>
        <w:t xml:space="preserve">7.2 Estados Unidos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c>
          <w:tcPr>
            <w:tcW w:type="dxa" w:w="4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Indicador</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Valor</w:t>
            </w:r>
          </w:p>
        </w:tc>
        <w:tc>
          <w:tcPr>
            <w:tcW w:type="dxa" w:w="2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Fuente</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Costo militar directo acumulado</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~$113 mil millones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WarCosts (agregador)</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Suplemento solicitado al Congreso</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$200 mil millones</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Pentágono</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Sobrecosto petrolero 2026 (proyección)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$184 mil millones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EIA</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Sobrecosto en combustible pagado a la fecha</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$65.8 mil millones</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ITEP (26 jul)</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Sobrecosto promedio por hogar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$491.73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ITEP; proyección $619.92 a fin de verano</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Impacto en inflación general 2026</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+0.6 pp</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CEPR (escenario optimista)</w:t>
            </w:r>
          </w:p>
        </w:tc>
      </w:tr>
    </w:tbl>
    <w:p>
      <w:pPr>
        <w:spacing w:after="60"/>
      </w:pPr>
    </w:p>
    <w:p>
      <w:pPr>
        <w:pStyle w:val="Heading2"/>
      </w:pPr>
      <w:r>
        <w:t xml:space="preserve">7.3 Efectos sistémicos</w:t>
      </w:r>
    </w:p>
    <w:p>
      <w:pPr>
        <w:pStyle w:val="ListParagraph"/>
        <w:numPr>
          <w:ilvl w:val="0"/>
          <w:numId w:val="2"/>
        </w:numPr>
        <w:spacing w:after="80"/>
      </w:pPr>
      <w:r>
        <w:rPr>
          <w:rFonts w:ascii="Arial" w:cs="Arial" w:eastAsia="Arial" w:hAnsi="Arial"/>
          <w:b/>
          <w:bCs/>
          <w:sz w:val="22"/>
          <w:szCs w:val="22"/>
        </w:rPr>
        <w:t xml:space="preserve">Crecimiento global: </w:t>
      </w:r>
      <w:r>
        <w:rPr>
          <w:rFonts w:ascii="Arial" w:cs="Arial" w:eastAsia="Arial" w:hAnsi="Arial"/>
          <w:sz w:val="22"/>
          <w:szCs w:val="22"/>
        </w:rPr>
        <w:t xml:space="preserve">el Banco Mundial recortó su previsión para 2026 al 2.5%, la más baja desde la pandemia.</w:t>
      </w:r>
    </w:p>
    <w:p>
      <w:pPr>
        <w:pStyle w:val="ListParagraph"/>
        <w:numPr>
          <w:ilvl w:val="0"/>
          <w:numId w:val="2"/>
        </w:numPr>
        <w:spacing w:after="80"/>
      </w:pPr>
      <w:r>
        <w:rPr>
          <w:rFonts w:ascii="Arial" w:cs="Arial" w:eastAsia="Arial" w:hAnsi="Arial"/>
          <w:b/>
          <w:bCs/>
          <w:sz w:val="22"/>
          <w:szCs w:val="22"/>
        </w:rPr>
        <w:t xml:space="preserve">Simultaneidad de canales: </w:t>
      </w:r>
      <w:r>
        <w:rPr>
          <w:rFonts w:ascii="Arial" w:cs="Arial" w:eastAsia="Arial" w:hAnsi="Arial"/>
          <w:sz w:val="22"/>
          <w:szCs w:val="22"/>
        </w:rPr>
        <w:t xml:space="preserve">a diferencia de shocks petroleros previos, este se propaga a la vez por energía, alimentos, comercio, remesas y mercados financieros, y los países que normalmente estabilizarían la región están entre los más dañados.</w:t>
      </w:r>
    </w:p>
    <w:p>
      <w:pPr>
        <w:pStyle w:val="ListParagraph"/>
        <w:numPr>
          <w:ilvl w:val="0"/>
          <w:numId w:val="2"/>
        </w:numPr>
        <w:spacing w:after="80"/>
      </w:pPr>
      <w:r>
        <w:rPr>
          <w:rFonts w:ascii="Arial" w:cs="Arial" w:eastAsia="Arial" w:hAnsi="Arial"/>
          <w:b/>
          <w:bCs/>
          <w:sz w:val="22"/>
          <w:szCs w:val="22"/>
        </w:rPr>
        <w:t xml:space="preserve">Seguridad alimentaria: </w:t>
      </w:r>
      <w:r>
        <w:rPr>
          <w:rFonts w:ascii="Arial" w:cs="Arial" w:eastAsia="Arial" w:hAnsi="Arial"/>
          <w:sz w:val="22"/>
          <w:szCs w:val="22"/>
        </w:rPr>
        <w:t xml:space="preserve">un alza de 10% en combustibles eleva los costos de distribución de alimentos entre 3% y 5% en economías import-dependientes, con la carga concentrada en hogares donde la comida ya absorbe 50–70% del ingreso.</w:t>
      </w:r>
    </w:p>
    <w:p>
      <w:pPr>
        <w:pStyle w:val="ListParagraph"/>
        <w:numPr>
          <w:ilvl w:val="0"/>
          <w:numId w:val="2"/>
        </w:numPr>
        <w:spacing w:after="80"/>
      </w:pPr>
      <w:r>
        <w:rPr>
          <w:rFonts w:ascii="Arial" w:cs="Arial" w:eastAsia="Arial" w:hAnsi="Arial"/>
          <w:b/>
          <w:bCs/>
          <w:sz w:val="22"/>
          <w:szCs w:val="22"/>
        </w:rPr>
        <w:t xml:space="preserve">Aviación y turismo: </w:t>
      </w:r>
      <w:r>
        <w:rPr>
          <w:rFonts w:ascii="Arial" w:cs="Arial" w:eastAsia="Arial" w:hAnsi="Arial"/>
          <w:sz w:val="22"/>
          <w:szCs w:val="22"/>
        </w:rPr>
        <w:t xml:space="preserve">vuelos desde Dubai reducidos en dos tercios y desde Doha en tres cuartos (FMI).</w:t>
      </w:r>
    </w:p>
    <w:p>
      <w:pPr>
        <w:pStyle w:val="ListParagraph"/>
        <w:numPr>
          <w:ilvl w:val="0"/>
          <w:numId w:val="2"/>
        </w:numPr>
        <w:spacing w:after="80"/>
      </w:pPr>
      <w:r>
        <w:rPr>
          <w:rFonts w:ascii="Arial" w:cs="Arial" w:eastAsia="Arial" w:hAnsi="Arial"/>
          <w:b/>
          <w:bCs/>
          <w:sz w:val="22"/>
          <w:szCs w:val="22"/>
        </w:rPr>
        <w:t xml:space="preserve">Daño interno iraní: </w:t>
      </w:r>
      <w:r>
        <w:rPr>
          <w:rFonts w:ascii="Arial" w:cs="Arial" w:eastAsia="Arial" w:hAnsi="Arial"/>
          <w:sz w:val="22"/>
          <w:szCs w:val="22"/>
        </w:rPr>
        <w:t xml:space="preserve">la portavoz gubernamental Fatemeh Mohajerani reconoció la pérdida de ~230 millones de metros cúbicos de capacidad de producción de gas.</w:t>
      </w:r>
    </w:p>
    <w:p>
      <w:r>
        <w:br w:type="page"/>
      </w:r>
    </w:p>
    <w:p>
      <w:pPr>
        <w:pStyle w:val="Heading1"/>
      </w:pPr>
      <w:r>
        <w:t xml:space="preserve">8. El Acuerdo de La Meca (7 de agosto de 2026)</w:t>
      </w:r>
    </w:p>
    <w:p>
      <w:pPr>
        <w:spacing w:after="120" w:line="276"/>
        <w:jc w:val="both"/>
      </w:pPr>
      <w:r>
        <w:rPr>
          <w:rFonts w:ascii="Arial" w:cs="Arial" w:eastAsia="Arial" w:hAnsi="Arial"/>
          <w:sz w:val="22"/>
          <w:szCs w:val="22"/>
        </w:rPr>
        <w:t xml:space="preserve">El desarrollo estructural más significativo del período agosto. Requiere tratamiento cuidadoso porque circula con interpretaciones muy divergentes y su texto completo no ha sido publicado.</w:t>
      </w:r>
    </w:p>
    <w:p>
      <w:pPr>
        <w:pStyle w:val="Heading2"/>
      </w:pPr>
      <w:r>
        <w:t xml:space="preserve">8.1 Composición, fecha y contenido declarado</w:t>
      </w:r>
    </w:p>
    <w:p>
      <w:pPr>
        <w:pStyle w:val="ListParagraph"/>
        <w:numPr>
          <w:ilvl w:val="0"/>
          <w:numId w:val="2"/>
        </w:numPr>
        <w:spacing w:after="80"/>
      </w:pPr>
      <w:r>
        <w:rPr>
          <w:rFonts w:ascii="Arial" w:cs="Arial" w:eastAsia="Arial" w:hAnsi="Arial"/>
          <w:b/>
          <w:bCs/>
          <w:sz w:val="22"/>
          <w:szCs w:val="22"/>
        </w:rPr>
        <w:t xml:space="preserve">Firmantes: </w:t>
      </w:r>
      <w:r>
        <w:rPr>
          <w:rFonts w:ascii="Arial" w:cs="Arial" w:eastAsia="Arial" w:hAnsi="Arial"/>
          <w:sz w:val="22"/>
          <w:szCs w:val="22"/>
        </w:rPr>
        <w:t xml:space="preserve">Mohammed bin Salman (príncipe heredero y primer ministro de Arabia Saudita), Recep Tayyip Erdoğan (presidente de Turquía) y Shehbaz Sharif (primer ministro de Pakistán).</w:t>
      </w:r>
    </w:p>
    <w:p>
      <w:pPr>
        <w:pStyle w:val="ListParagraph"/>
        <w:numPr>
          <w:ilvl w:val="0"/>
          <w:numId w:val="2"/>
        </w:numPr>
        <w:spacing w:after="80"/>
      </w:pPr>
      <w:r>
        <w:rPr>
          <w:rFonts w:ascii="Arial" w:cs="Arial" w:eastAsia="Arial" w:hAnsi="Arial"/>
          <w:b/>
          <w:bCs/>
          <w:sz w:val="22"/>
          <w:szCs w:val="22"/>
        </w:rPr>
        <w:t xml:space="preserve">Fecha y lugar: </w:t>
      </w:r>
      <w:r>
        <w:rPr>
          <w:rFonts w:ascii="Arial" w:cs="Arial" w:eastAsia="Arial" w:hAnsi="Arial"/>
          <w:sz w:val="22"/>
          <w:szCs w:val="22"/>
        </w:rPr>
        <w:t xml:space="preserve">7 de agosto de 2026, en la cumbre de Makkah Al-Mukarrama, La Meca.</w:t>
      </w:r>
    </w:p>
    <w:p>
      <w:pPr>
        <w:pStyle w:val="ListParagraph"/>
        <w:numPr>
          <w:ilvl w:val="0"/>
          <w:numId w:val="2"/>
        </w:numPr>
        <w:spacing w:after="80"/>
      </w:pPr>
      <w:r>
        <w:rPr>
          <w:rFonts w:ascii="Arial" w:cs="Arial" w:eastAsia="Arial" w:hAnsi="Arial"/>
          <w:b/>
          <w:bCs/>
          <w:sz w:val="22"/>
          <w:szCs w:val="22"/>
        </w:rPr>
        <w:t xml:space="preserve">Denominaciones: </w:t>
      </w:r>
      <w:r>
        <w:rPr>
          <w:rFonts w:ascii="Arial" w:cs="Arial" w:eastAsia="Arial" w:hAnsi="Arial"/>
          <w:sz w:val="22"/>
          <w:szCs w:val="22"/>
        </w:rPr>
        <w:t xml:space="preserve">Acuerdo de Defensa Conjunta de La Meca / Mecca Joint Defence Agreement / Mecca Joint Deterrence Agreement / Pacto de La Meca. Conviene fijar una denominación y mencionar los alias una sola vez.</w:t>
      </w:r>
    </w:p>
    <w:p>
      <w:pPr>
        <w:pStyle w:val="ListParagraph"/>
        <w:numPr>
          <w:ilvl w:val="0"/>
          <w:numId w:val="2"/>
        </w:numPr>
        <w:spacing w:after="80"/>
      </w:pPr>
      <w:r>
        <w:rPr>
          <w:rFonts w:ascii="Arial" w:cs="Arial" w:eastAsia="Arial" w:hAnsi="Arial"/>
          <w:b/>
          <w:bCs/>
          <w:sz w:val="22"/>
          <w:szCs w:val="22"/>
        </w:rPr>
        <w:t xml:space="preserve">Objetivo declarado: </w:t>
      </w:r>
      <w:r>
        <w:rPr>
          <w:rFonts w:ascii="Arial" w:cs="Arial" w:eastAsia="Arial" w:hAnsi="Arial"/>
          <w:sz w:val="22"/>
          <w:szCs w:val="22"/>
        </w:rPr>
        <w:t xml:space="preserve">fortalecer la «disuasión colectiva» frente a cualquier acto de agresión y profundizar la cooperación en defensa, industria de defensa y lucha contra el terrorismo.</w:t>
      </w:r>
    </w:p>
    <w:p>
      <w:pPr>
        <w:pStyle w:val="ListParagraph"/>
        <w:numPr>
          <w:ilvl w:val="0"/>
          <w:numId w:val="2"/>
        </w:numPr>
        <w:spacing w:after="80"/>
      </w:pPr>
      <w:r>
        <w:rPr>
          <w:rFonts w:ascii="Arial" w:cs="Arial" w:eastAsia="Arial" w:hAnsi="Arial"/>
          <w:b/>
          <w:bCs/>
          <w:sz w:val="22"/>
          <w:szCs w:val="22"/>
        </w:rPr>
        <w:t xml:space="preserve">Antecedente jurídico: </w:t>
      </w:r>
      <w:r>
        <w:rPr>
          <w:rFonts w:ascii="Arial" w:cs="Arial" w:eastAsia="Arial" w:hAnsi="Arial"/>
          <w:sz w:val="22"/>
          <w:szCs w:val="22"/>
        </w:rPr>
        <w:t xml:space="preserve">expande el Strategic Mutual Defence Agreement (SMDA) bilateral entre Riad e Islamabad, firmado el 17 de septiembre de 2025 en el Palacio Al-Yamamah. Sharif describió el pacto de La Meca como una «extensión» del SMDA.</w:t>
      </w:r>
    </w:p>
    <w:p>
      <w:pPr>
        <w:pStyle w:val="ListParagraph"/>
        <w:numPr>
          <w:ilvl w:val="0"/>
          <w:numId w:val="2"/>
        </w:numPr>
        <w:spacing w:after="80"/>
      </w:pPr>
      <w:r>
        <w:rPr>
          <w:rFonts w:ascii="Arial" w:cs="Arial" w:eastAsia="Arial" w:hAnsi="Arial"/>
          <w:b/>
          <w:bCs/>
          <w:sz w:val="22"/>
          <w:szCs w:val="22"/>
        </w:rPr>
        <w:t xml:space="preserve">Cláusula de apertura: </w:t>
      </w:r>
      <w:r>
        <w:rPr>
          <w:rFonts w:ascii="Arial" w:cs="Arial" w:eastAsia="Arial" w:hAnsi="Arial"/>
          <w:sz w:val="22"/>
          <w:szCs w:val="22"/>
        </w:rPr>
        <w:t xml:space="preserve">Erdoğan subrayó que el acuerdo está «abierto a la participación de todos los países hermanos» y que «no va dirigido contra ningún país».</w:t>
      </w:r>
    </w:p>
    <w:p>
      <w:pPr>
        <w:pStyle w:val="Heading2"/>
      </w:pPr>
      <w:r>
        <w:t xml:space="preserve">8.2 La cláusula de defensa mutua: alcance real</w:t>
      </w:r>
    </w:p>
    <w:p>
      <w:pPr>
        <w:spacing w:after="120" w:line="276"/>
        <w:jc w:val="both"/>
      </w:pPr>
      <w:r>
        <w:rPr>
          <w:rFonts w:ascii="Arial" w:cs="Arial" w:eastAsia="Arial" w:hAnsi="Arial"/>
          <w:b/>
          <w:bCs/>
          <w:sz w:val="22"/>
          <w:szCs w:val="22"/>
        </w:rPr>
        <w:t xml:space="preserve">Texto de la cláusula: </w:t>
      </w:r>
      <w:r>
        <w:rPr>
          <w:rFonts w:ascii="Arial" w:cs="Arial" w:eastAsia="Arial" w:hAnsi="Arial"/>
          <w:sz w:val="22"/>
          <w:szCs w:val="22"/>
        </w:rPr>
        <w:t xml:space="preserve">«un ataque armado contra cualquiera de los tres Estados será considerado como un ataque contra todos ellos». El canciller turco Hakan Fidan la describió como «técnicamente idéntica» al Artículo 5 de la OTAN.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3"/>
              <w:left w:val="single" w:color="8B1A1A" w:sz="3"/>
              <w:bottom w:val="single" w:color="8B1A1A" w:sz="3"/>
              <w:right w:val="single" w:color="8B1A1A" w:sz="3"/>
            </w:tcBorders>
            <w:shd w:fill="F2DCDB" w:val="clear"/>
            <w:tcMar>
              <w:top w:type="dxa" w:w="140"/>
              <w:left w:type="dxa" w:w="200"/>
              <w:bottom w:type="dxa" w:w="140"/>
              <w:right w:type="dxa" w:w="200"/>
            </w:tcMar>
          </w:tcPr>
          <w:p>
            <w:pPr>
              <w:spacing w:after="80"/>
              <w:jc w:val="center"/>
            </w:pPr>
            <w:r>
              <w:rPr>
                <w:rFonts w:ascii="Arial" w:cs="Arial" w:eastAsia="Arial" w:hAnsi="Arial"/>
                <w:b/>
                <w:bCs/>
                <w:color w:val="8B1A1A"/>
                <w:sz w:val="23"/>
                <w:szCs w:val="23"/>
              </w:rPr>
              <w:t xml:space="preserve">⚠  ADVERTENCIA DE VERIFICACIÓN</w:t>
            </w:r>
          </w:p>
          <w:p>
            <w:pPr>
              <w:spacing w:after="80"/>
              <w:jc w:val="center"/>
            </w:pPr>
            <w:r>
              <w:rPr>
                <w:rFonts w:ascii="Arial" w:cs="Arial" w:eastAsia="Arial" w:hAnsi="Arial"/>
                <w:b/>
                <w:bCs/>
                <w:color w:val="8B1A1A"/>
                <w:sz w:val="26"/>
                <w:szCs w:val="26"/>
              </w:rPr>
              <w:t xml:space="preserve">El texto completo del acuerdo NO ha sido publicado</w:t>
            </w:r>
          </w:p>
          <w:p>
            <w:pPr>
              <w:jc w:val="center"/>
            </w:pPr>
            <w:r>
              <w:rPr>
                <w:rFonts w:ascii="Arial" w:cs="Arial" w:eastAsia="Arial" w:hAnsi="Arial"/>
                <w:i/>
                <w:iCs/>
                <w:color w:val="8B1A1A"/>
                <w:sz w:val="19"/>
                <w:szCs w:val="19"/>
              </w:rPr>
              <w:t xml:space="preserve">Toda caracterización de sus cláusulas se basa en la declaración conjunta y en declaraciones de funcionarios. Los compromisos militares específicos permanecen vagos.</w:t>
            </w:r>
          </w:p>
        </w:tc>
      </w:tr>
    </w:tbl>
    <w:p>
      <w:pPr>
        <w:spacing w:after="60"/>
      </w:pPr>
    </w:p>
    <w:p>
      <w:pPr>
        <w:spacing w:after="120" w:line="276"/>
        <w:jc w:val="both"/>
      </w:pPr>
      <w:r>
        <w:rPr>
          <w:rFonts w:ascii="Arial" w:cs="Arial" w:eastAsia="Arial" w:hAnsi="Arial"/>
          <w:b/>
          <w:bCs/>
          <w:sz w:val="22"/>
          <w:szCs w:val="22"/>
        </w:rPr>
        <w:t xml:space="preserve">Consenso analítico predominante: </w:t>
      </w:r>
      <w:r>
        <w:rPr>
          <w:rFonts w:ascii="Arial" w:cs="Arial" w:eastAsia="Arial" w:hAnsi="Arial"/>
          <w:sz w:val="22"/>
          <w:szCs w:val="22"/>
        </w:rPr>
        <w:t xml:space="preserve">hasta que la cláusula no se ponga a prueba — por ejemplo, en la respuesta efectiva de Pakistán y Turquía a un ataque contra Arabia Saudita — conviene tratarla como una </w:t>
      </w:r>
    </w:p>
    <w:p>
      <w:pPr>
        <w:pStyle w:val="ListParagraph"/>
        <w:numPr>
          <w:ilvl w:val="0"/>
          <w:numId w:val="2"/>
        </w:numPr>
        <w:spacing w:after="80"/>
      </w:pPr>
      <w:r>
        <w:rPr>
          <w:rFonts w:ascii="Arial" w:cs="Arial" w:eastAsia="Arial" w:hAnsi="Arial"/>
          <w:sz w:val="22"/>
          <w:szCs w:val="22"/>
        </w:rPr>
        <w:t xml:space="preserve">«Declaración de intenciones» más que compromiso vinculante al estilo OTAN (análisis académico recogido por BBC Mundo, incluido el profesor Serhat Güvenç).</w:t>
      </w:r>
    </w:p>
    <w:p>
      <w:pPr>
        <w:pStyle w:val="ListParagraph"/>
        <w:numPr>
          <w:ilvl w:val="0"/>
          <w:numId w:val="2"/>
        </w:numPr>
        <w:spacing w:after="80"/>
      </w:pPr>
      <w:r>
        <w:rPr>
          <w:rFonts w:ascii="Arial" w:cs="Arial" w:eastAsia="Arial" w:hAnsi="Arial"/>
          <w:sz w:val="22"/>
          <w:szCs w:val="22"/>
        </w:rPr>
        <w:t xml:space="preserve">«Marco de seguridad regional y cooperación en defensa» antes que alianza comparable a la OTAN (Mansoor Ahmed, Strategic and Defence Studies Centre, Universidad Nacional Australiana).</w:t>
      </w:r>
    </w:p>
    <w:p>
      <w:pPr>
        <w:pStyle w:val="ListParagraph"/>
        <w:numPr>
          <w:ilvl w:val="0"/>
          <w:numId w:val="2"/>
        </w:numPr>
        <w:spacing w:after="80"/>
      </w:pPr>
      <w:r>
        <w:rPr>
          <w:rFonts w:ascii="Arial" w:cs="Arial" w:eastAsia="Arial" w:hAnsi="Arial"/>
          <w:sz w:val="22"/>
          <w:szCs w:val="22"/>
        </w:rPr>
        <w:t xml:space="preserve">«Marco para cooperación estratégica, militar e industrial-defensiva» (Al Jazeera).</w:t>
      </w:r>
    </w:p>
    <w:p>
      <w:pPr>
        <w:spacing w:after="120" w:line="276"/>
        <w:jc w:val="both"/>
      </w:pPr>
      <w:r>
        <w:rPr>
          <w:rFonts w:ascii="Arial" w:cs="Arial" w:eastAsia="Arial" w:hAnsi="Arial"/>
          <w:b/>
          <w:bCs/>
          <w:color w:val="8B1A1A"/>
          <w:sz w:val="22"/>
          <w:szCs w:val="22"/>
        </w:rPr>
        <w:t xml:space="preserve">Nota crítica sobre la etiqueta «OTAN sunita» u «OTAN musulmana»: </w:t>
      </w:r>
      <w:r>
        <w:rPr>
          <w:rFonts w:ascii="Arial" w:cs="Arial" w:eastAsia="Arial" w:hAnsi="Arial"/>
          <w:sz w:val="22"/>
          <w:szCs w:val="22"/>
        </w:rPr>
        <w:t xml:space="preserve">es formulación de comentaristas, no de los firmantes, y debe atribuirse explícitamente si se emplea. Los críticos señalan además que los intereses nacionales de los tres países — que no comparten territorio — no coinciden necesariamente.</w:t>
      </w:r>
    </w:p>
    <w:p>
      <w:pPr>
        <w:pStyle w:val="Heading2"/>
      </w:pPr>
      <w:r>
        <w:t xml:space="preserve">8.3 El despliegue pakistaní: qué ocurrió realmente</w:t>
      </w:r>
    </w:p>
    <w:p>
      <w:pPr>
        <w:spacing w:after="120" w:line="276"/>
        <w:jc w:val="both"/>
      </w:pPr>
      <w:r>
        <w:rPr>
          <w:rFonts w:ascii="Arial" w:cs="Arial" w:eastAsia="Arial" w:hAnsi="Arial"/>
          <w:b/>
          <w:bCs/>
          <w:sz w:val="22"/>
          <w:szCs w:val="22"/>
        </w:rPr>
        <w:t xml:space="preserve">Este es el punto donde más interpretaciones circulantes se equivocan. </w:t>
      </w:r>
      <w:r>
        <w:rPr>
          <w:rFonts w:ascii="Arial" w:cs="Arial" w:eastAsia="Arial" w:hAnsi="Arial"/>
          <w:sz w:val="22"/>
          <w:szCs w:val="22"/>
        </w:rPr>
        <w:t xml:space="preserve">Los hechos verificables: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Dimensión</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Hecho verificado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Volumen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~8,000 efectivos, un escuadrón de cazas mayormente JF-17 y un sistema de defensa aérea HQ-19, en la Base Aérea Abdulaziz.</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Fecha</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Abril de 2026 — CUATRO MESES ANTES del Acuerdo de La Meca.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Marco jurídico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Bajo el SMDA bilateral de septiembre de 2025, no bajo el pacto de La Meca.</w:t>
            </w:r>
          </w:p>
        </w:tc>
      </w:tr>
      <w:tr>
        <w:tc>
          <w:tcPr>
            <w:tcW w:type="dxa" w:w="3000"/>
            <w:tcBorders>
              <w:top w:val="single" w:color="CCCCCC" w:sz="1"/>
              <w:left w:val="single" w:color="CCCCCC" w:sz="1"/>
              <w:bottom w:val="single" w:color="CCCCCC" w:sz="1"/>
              <w:right w:val="single" w:color="CCCCCC" w:sz="1"/>
            </w:tcBorders>
            <w:shd w:fill="F2DCDB"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Naturaleza del rol</w:t>
            </w:r>
          </w:p>
        </w:tc>
        <w:tc>
          <w:tcPr>
            <w:tcW w:type="dxa" w:w="6360"/>
            <w:tcBorders>
              <w:top w:val="single" w:color="CCCCCC" w:sz="1"/>
              <w:left w:val="single" w:color="CCCCCC" w:sz="1"/>
              <w:bottom w:val="single" w:color="CCCCCC" w:sz="1"/>
              <w:right w:val="single" w:color="CCCCCC" w:sz="1"/>
            </w:tcBorders>
            <w:shd w:fill="F2DCDB" w:val="clear"/>
            <w:tcMar>
              <w:top w:type="dxa" w:w="60"/>
              <w:left w:type="dxa" w:w="100"/>
              <w:bottom w:type="dxa" w:w="60"/>
              <w:right w:type="dxa" w:w="100"/>
            </w:tcMar>
            <w:vAlign w:val="center"/>
          </w:tcPr>
          <w:p>
            <w:pPr>
              <w:jc w:val="left"/>
            </w:pPr>
            <w:r>
              <w:rPr>
                <w:rFonts w:ascii="Arial" w:cs="Arial" w:eastAsia="Arial" w:hAnsi="Arial"/>
                <w:b/>
                <w:bCs/>
                <w:color w:val="8B1A1A"/>
                <w:sz w:val="18"/>
                <w:szCs w:val="18"/>
              </w:rPr>
              <w:t xml:space="preserve">Rol de ASESORÍA Y ENTRENAMIENTO. No fue una intervención de combate.</w:t>
            </w:r>
          </w:p>
        </w:tc>
      </w:tr>
      <w:tr>
        <w:tc>
          <w:tcPr>
            <w:tcW w:type="dxa" w:w="3000"/>
            <w:tcBorders>
              <w:top w:val="single" w:color="CCCCCC" w:sz="1"/>
              <w:left w:val="single" w:color="CCCCCC" w:sz="1"/>
              <w:bottom w:val="single" w:color="CCCCCC" w:sz="1"/>
              <w:right w:val="single" w:color="CCCCCC" w:sz="1"/>
            </w:tcBorders>
            <w:shd w:fill="F2DCDB"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Momento relativo</w:t>
            </w:r>
          </w:p>
        </w:tc>
        <w:tc>
          <w:tcPr>
            <w:tcW w:type="dxa" w:w="6360"/>
            <w:tcBorders>
              <w:top w:val="single" w:color="CCCCCC" w:sz="1"/>
              <w:left w:val="single" w:color="CCCCCC" w:sz="1"/>
              <w:bottom w:val="single" w:color="CCCCCC" w:sz="1"/>
              <w:right w:val="single" w:color="CCCCCC" w:sz="1"/>
            </w:tcBorders>
            <w:shd w:fill="F2DCDB" w:val="clear"/>
            <w:tcMar>
              <w:top w:type="dxa" w:w="60"/>
              <w:left w:type="dxa" w:w="100"/>
              <w:bottom w:type="dxa" w:w="60"/>
              <w:right w:type="dxa" w:w="100"/>
            </w:tcMar>
            <w:vAlign w:val="center"/>
          </w:tcPr>
          <w:p>
            <w:pPr>
              <w:jc w:val="left"/>
            </w:pPr>
            <w:r>
              <w:rPr>
                <w:rFonts w:ascii="Arial" w:cs="Arial" w:eastAsia="Arial" w:hAnsi="Arial"/>
                <w:b/>
                <w:bCs/>
                <w:color w:val="8B1A1A"/>
                <w:sz w:val="18"/>
                <w:szCs w:val="18"/>
              </w:rPr>
              <w:t xml:space="preserve">Desplegado DESPUÉS de que un alto el fuego ya estuviera en vigor.</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Contraprestación</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Precedido del pago saudí de US$3 mil millones para ayudar a Islamabad a saldar deudas con EAU. Riad renovó además un depósito de $3 mil millones en abril de 2026 y extendió una facilidad separada de $5 mil millones por tres años en julio de 2026.</w:t>
            </w:r>
          </w:p>
        </w:tc>
      </w:tr>
    </w:tbl>
    <w:p>
      <w:pPr>
        <w:spacing w:after="60"/>
      </w:pPr>
    </w:p>
    <w:p>
      <w:pPr>
        <w:spacing w:after="120" w:line="276"/>
        <w:jc w:val="both"/>
      </w:pPr>
      <w:r>
        <w:rPr>
          <w:rFonts w:ascii="Arial" w:cs="Arial" w:eastAsia="Arial" w:hAnsi="Arial"/>
          <w:b/>
          <w:bCs/>
          <w:color w:val="8B1A1A"/>
          <w:sz w:val="22"/>
          <w:szCs w:val="22"/>
        </w:rPr>
        <w:t xml:space="preserve">Cifra que debe manejarse con cautela: </w:t>
      </w:r>
      <w:r>
        <w:rPr>
          <w:rFonts w:ascii="Arial" w:cs="Arial" w:eastAsia="Arial" w:hAnsi="Arial"/>
          <w:sz w:val="22"/>
          <w:szCs w:val="22"/>
        </w:rPr>
        <w:t xml:space="preserve">Reuters, citando fuentes gubernamentales pakistaníes con acceso al texto confidencial del SMDA, reportó que el pacto prevé la posibilidad de desplegar hasta 80,000 efectivos pakistaníes en Arabia Saudita. Es un techo contractual hipotético sobre un texto no público, no un despliegue real ni anunciado. Citarla sin esa marca produce una distorsión de un orden de magnitud.</w:t>
      </w:r>
    </w:p>
    <w:p>
      <w:pPr>
        <w:spacing w:after="120" w:line="276"/>
        <w:jc w:val="both"/>
      </w:pPr>
      <w:r>
        <w:rPr>
          <w:rFonts w:ascii="Arial" w:cs="Arial" w:eastAsia="Arial" w:hAnsi="Arial"/>
          <w:b/>
          <w:bCs/>
          <w:sz w:val="22"/>
          <w:szCs w:val="22"/>
        </w:rPr>
        <w:t xml:space="preserve">Contexto histórico: </w:t>
      </w:r>
      <w:r>
        <w:rPr>
          <w:rFonts w:ascii="Arial" w:cs="Arial" w:eastAsia="Arial" w:hAnsi="Arial"/>
          <w:sz w:val="22"/>
          <w:szCs w:val="22"/>
        </w:rPr>
        <w:t xml:space="preserve">Pakistán tiene un largo historial de asistencia militar en la región. El Protocolo de Defensa Conjunta de 1982 estableció la Organización de Fuerzas Armadas Saudo-Pakistaníes (SPAFO) y llegó a estacionar más de 20,000 efectivos en Arabia Saudita. El ex jefe del Ejército pakistaní, general Raheel Sharif, comanda la Alianza Militar Islámica liderada por Riad desde 2015. Islamabad abrió además conversaciones con Kuwait en julio de 2026 sobre un arreglo de seguridad ampliado.</w:t>
      </w:r>
    </w:p>
    <w:p>
      <w:pPr>
        <w:pStyle w:val="Heading2"/>
      </w:pPr>
      <w:r>
        <w:t xml:space="preserve">8.4 Capacidades combinadas y ambigüedad nuclear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Indicador</w:t>
            </w:r>
          </w:p>
        </w:tc>
        <w:tc>
          <w:tcPr>
            <w:tcW w:type="dxa" w:w="2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Arabia Saudita</w:t>
            </w:r>
          </w:p>
        </w:tc>
        <w:tc>
          <w:tcPr>
            <w:tcW w:type="dxa" w:w="2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Turquía</w:t>
            </w:r>
          </w:p>
        </w:tc>
        <w:tc>
          <w:tcPr>
            <w:tcW w:type="dxa" w:w="2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Pakistán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Presupuesto de defensa 2026</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$63.9B</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$51.4B</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$9.1B</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Rasgo distintivo</w:t>
            </w:r>
          </w:p>
        </w:tc>
        <w:tc>
          <w:tcPr>
            <w:tcW w:type="dxa" w:w="2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Principal exportador de petróleo</w:t>
            </w:r>
          </w:p>
        </w:tc>
        <w:tc>
          <w:tcPr>
            <w:tcW w:type="dxa" w:w="2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Segundo ejército de la OTAN</w:t>
            </w:r>
          </w:p>
        </w:tc>
        <w:tc>
          <w:tcPr>
            <w:tcW w:type="dxa" w:w="2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Único Estado nuclear de mayoría musulmana</w:t>
            </w:r>
          </w:p>
        </w:tc>
      </w:tr>
    </w:tbl>
    <w:p>
      <w:pPr>
        <w:spacing w:after="60"/>
      </w:pPr>
    </w:p>
    <w:p>
      <w:pPr>
        <w:spacing w:after="120" w:line="276"/>
        <w:jc w:val="both"/>
      </w:pPr>
      <w:r>
        <w:rPr>
          <w:rFonts w:ascii="Arial" w:cs="Arial" w:eastAsia="Arial" w:hAnsi="Arial"/>
          <w:b/>
          <w:bCs/>
          <w:sz w:val="22"/>
          <w:szCs w:val="22"/>
        </w:rPr>
        <w:t xml:space="preserve">Agregados (Global Firepower Index 2026): </w:t>
      </w:r>
      <w:r>
        <w:rPr>
          <w:rFonts w:ascii="Arial" w:cs="Arial" w:eastAsia="Arial" w:hAnsi="Arial"/>
          <w:sz w:val="22"/>
          <w:szCs w:val="22"/>
        </w:rPr>
        <w:t xml:space="preserve">~1.4 millones de efectivos activos, 3,400 aeronaves, 6,000 tanques y más de 340 activos navales. Presupuestos combinados de aproximadamente US$124.4 mil millones anuales.</w:t>
      </w:r>
    </w:p>
    <w:p>
      <w:pPr>
        <w:spacing w:after="120" w:line="276"/>
        <w:jc w:val="both"/>
      </w:pPr>
      <w:r>
        <w:rPr>
          <w:rFonts w:ascii="Arial" w:cs="Arial" w:eastAsia="Arial" w:hAnsi="Arial"/>
          <w:b/>
          <w:bCs/>
          <w:color w:val="8B1A1A"/>
          <w:sz w:val="22"/>
          <w:szCs w:val="22"/>
        </w:rPr>
        <w:t xml:space="preserve">Ambigüedad nuclear no resuelta: </w:t>
      </w:r>
      <w:r>
        <w:rPr>
          <w:rFonts w:ascii="Arial" w:cs="Arial" w:eastAsia="Arial" w:hAnsi="Arial"/>
          <w:sz w:val="22"/>
          <w:szCs w:val="22"/>
        </w:rPr>
        <w:t xml:space="preserve">no está claro si el paraguas nuclear pakistaní quedaría cubierto por el pacto de La Meca. En 2025 el ministro de Defensa pakistaní Khawaja Mohammad Asif declaró que el programa nuclear del país «estará disponible» para Arabia Saudita si fuera necesario </w:t>
      </w:r>
      <w:r>
        <w:rPr>
          <w:rFonts w:ascii="Arial" w:cs="Arial" w:eastAsia="Arial" w:hAnsi="Arial"/>
          <w:b/>
          <w:bCs/>
          <w:sz w:val="22"/>
          <w:szCs w:val="22"/>
        </w:rPr>
        <w:t xml:space="preserve">bajo el SMDA bilateral</w:t>
      </w:r>
      <w:r>
        <w:rPr>
          <w:rFonts w:ascii="Arial" w:cs="Arial" w:eastAsia="Arial" w:hAnsi="Arial"/>
          <w:sz w:val="22"/>
          <w:szCs w:val="22"/>
        </w:rPr>
        <w:t xml:space="preserve"> — no bajo el acuerdo trilateral. Trasladar esa declaración al pacto de La Meca sin marcar la distinción es un error frecuente y consecuente.</w:t>
      </w:r>
    </w:p>
    <w:p>
      <w:pPr>
        <w:pStyle w:val="Heading2"/>
      </w:pPr>
      <w:r>
        <w:t xml:space="preserve">8.5 Lecturas encontradas e implicaciones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Actor / analista</w:t>
            </w:r>
          </w:p>
        </w:tc>
        <w:tc>
          <w:tcPr>
            <w:tcW w:type="dxa" w:w="70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Lectura</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Trump</w:t>
            </w:r>
          </w:p>
        </w:tc>
        <w:tc>
          <w:tcPr>
            <w:tcW w:type="dxa" w:w="7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Lo celebró públicamente como «un primer paso grande, audaz e importante». Este hecho es difícil de conciliar con la lectura de que el pacto sea principalmente anti-estadounidense.</w:t>
            </w:r>
          </w:p>
        </w:tc>
      </w:tr>
      <w:tr>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Israel</w:t>
            </w:r>
          </w:p>
        </w:tc>
        <w:tc>
          <w:tcPr>
            <w:tcW w:type="dxa" w:w="7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Un alto funcionario declaró a Ynet: «el acuerdo nos preocupa; es un pacto dirigido a Israel», y expresó inquietud por una eventual adhesión de Egipto. Analistas israelíes matizan que no está orientado al enfrentamiento en el campo de batalla.</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Irán</w:t>
            </w:r>
          </w:p>
        </w:tc>
        <w:tc>
          <w:tcPr>
            <w:tcW w:type="dxa" w:w="7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The Jerusalem Post reporta que Teherán lo ve como «un éxito mayor». El académico iraní Mohammad Marandi lo describe como diseñado para apoyar a Arabia Saudita.</w:t>
            </w:r>
          </w:p>
        </w:tc>
      </w:tr>
      <w:tr>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Escépticos del Golfo</w:t>
            </w:r>
          </w:p>
        </w:tc>
        <w:tc>
          <w:tcPr>
            <w:tcW w:type="dxa" w:w="7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Huda Albadi, investigadora de EAU, lo califica de «tigre de papel» y advierte sobre una mentalidad regional que ve a Israel, y no a Irán, como el poder desestabilizador.</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India</w:t>
            </w:r>
          </w:p>
        </w:tc>
        <w:tc>
          <w:tcPr>
            <w:tcW w:type="dxa" w:w="7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Preocupación por que Pakistán intente invocar el pacto en un eventual escenario de tensión indo-pakistaní (The Diplomat).</w:t>
            </w:r>
          </w:p>
        </w:tc>
      </w:tr>
      <w:tr>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Atlantic Council</w:t>
            </w:r>
          </w:p>
        </w:tc>
        <w:tc>
          <w:tcPr>
            <w:tcW w:type="dxa" w:w="7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Punto de inflexión en el orden multipolar emergente; para Ankara amplía un paraguas ya extendido a Qatar, Siria y Libia.</w:t>
            </w:r>
          </w:p>
        </w:tc>
      </w:tr>
    </w:tbl>
    <w:p>
      <w:pPr>
        <w:spacing w:after="60"/>
      </w:pPr>
    </w:p>
    <w:p>
      <w:pPr>
        <w:spacing w:after="120" w:line="276"/>
        <w:jc w:val="both"/>
      </w:pPr>
      <w:r>
        <w:rPr>
          <w:rFonts w:ascii="Arial" w:cs="Arial" w:eastAsia="Arial" w:hAnsi="Arial"/>
          <w:b/>
          <w:bCs/>
          <w:sz w:val="22"/>
          <w:szCs w:val="22"/>
        </w:rPr>
        <w:t xml:space="preserve">Evaluación para el modelo: </w:t>
      </w:r>
      <w:r>
        <w:rPr>
          <w:rFonts w:ascii="Arial" w:cs="Arial" w:eastAsia="Arial" w:hAnsi="Arial"/>
          <w:sz w:val="22"/>
          <w:szCs w:val="22"/>
        </w:rPr>
        <w:t xml:space="preserve">el pacto introduce por primera vez en este conflicto una cláusula de defensa colectiva que vincula formalmente a un Estado con armas nucleares (Pakistán) con la seguridad de un beligerante activo (Arabia Saudita, que en julio participó en ataques conjuntos con EE.UU. en Irak). Ese es un vector de escalada nuevo y real. Pero tres factores lo acotan: el texto no es público y los compromisos son vagos; el único despliegue observado fue asesor, remunerado y posterior a un alto el fuego; y Washington lo respaldó públicamente. El efecto neto sobre el juicio agregado es un ajuste al alza modesto, no un cambio de régimen analítico.</w:t>
      </w:r>
    </w:p>
    <w:p>
      <w:r>
        <w:br w:type="page"/>
      </w:r>
    </w:p>
    <w:p>
      <w:pPr>
        <w:pStyle w:val="Heading1"/>
      </w:pPr>
      <w:r>
        <w:t xml:space="preserve">9. Posiciones de actores clave</w:t>
      </w:r>
    </w:p>
    <w:p>
      <w:pPr>
        <w:pStyle w:val="Heading2"/>
      </w:pPr>
      <w:r>
        <w:t xml:space="preserve">9.1 Rusia: el beneficiario neto</w:t>
      </w:r>
    </w:p>
    <w:p>
      <w:pPr>
        <w:pStyle w:val="ListParagraph"/>
        <w:numPr>
          <w:ilvl w:val="0"/>
          <w:numId w:val="2"/>
        </w:numPr>
        <w:spacing w:after="80"/>
      </w:pPr>
      <w:r>
        <w:rPr>
          <w:rFonts w:ascii="Arial" w:cs="Arial" w:eastAsia="Arial" w:hAnsi="Arial"/>
          <w:b/>
          <w:bCs/>
          <w:sz w:val="22"/>
          <w:szCs w:val="22"/>
        </w:rPr>
        <w:t xml:space="preserve">Ganancia fiscal proyectada: </w:t>
      </w:r>
      <w:r>
        <w:rPr>
          <w:rFonts w:ascii="Arial" w:cs="Arial" w:eastAsia="Arial" w:hAnsi="Arial"/>
          <w:sz w:val="22"/>
          <w:szCs w:val="22"/>
        </w:rPr>
        <w:t xml:space="preserve">según el KSE Institute, Rusia podría obtener entre US$45 mil y US$151 mil millones de ingresos presupuestarios adicionales en 2026 según la duración del conflicto. </w:t>
      </w:r>
      <w:r>
        <w:rPr>
          <w:rFonts w:ascii="Arial" w:cs="Arial" w:eastAsia="Arial" w:hAnsi="Arial"/>
          <w:i/>
          <w:iCs/>
          <w:color w:val="555555"/>
          <w:sz w:val="22"/>
          <w:szCs w:val="22"/>
        </w:rPr>
        <w:t xml:space="preserve">Es una proyección condicionada, no una ganancia ya cobrada.</w:t>
      </w:r>
    </w:p>
    <w:p>
      <w:pPr>
        <w:pStyle w:val="ListParagraph"/>
        <w:numPr>
          <w:ilvl w:val="0"/>
          <w:numId w:val="2"/>
        </w:numPr>
        <w:spacing w:after="80"/>
      </w:pPr>
      <w:r>
        <w:rPr>
          <w:rFonts w:ascii="Arial" w:cs="Arial" w:eastAsia="Arial" w:hAnsi="Arial"/>
          <w:b/>
          <w:bCs/>
          <w:sz w:val="22"/>
          <w:szCs w:val="22"/>
        </w:rPr>
        <w:t xml:space="preserve">Levantamiento de sanciones: </w:t>
      </w:r>
      <w:r>
        <w:rPr>
          <w:rFonts w:ascii="Arial" w:cs="Arial" w:eastAsia="Arial" w:hAnsi="Arial"/>
          <w:sz w:val="22"/>
          <w:szCs w:val="22"/>
        </w:rPr>
        <w:t xml:space="preserve">Washington exoneró temporalmente sanciones para que Rusia pudiera exportar petróleo — beneficio entregado por la misma administración que combate a Irán.</w:t>
      </w:r>
    </w:p>
    <w:p>
      <w:pPr>
        <w:pStyle w:val="ListParagraph"/>
        <w:numPr>
          <w:ilvl w:val="0"/>
          <w:numId w:val="2"/>
        </w:numPr>
        <w:spacing w:after="80"/>
      </w:pPr>
      <w:r>
        <w:rPr>
          <w:rFonts w:ascii="Arial" w:cs="Arial" w:eastAsia="Arial" w:hAnsi="Arial"/>
          <w:b/>
          <w:bCs/>
          <w:sz w:val="22"/>
          <w:szCs w:val="22"/>
        </w:rPr>
        <w:t xml:space="preserve">Apoyo a Irán bajo el umbral: </w:t>
      </w:r>
      <w:r>
        <w:rPr>
          <w:rFonts w:ascii="Arial" w:cs="Arial" w:eastAsia="Arial" w:hAnsi="Arial"/>
          <w:sz w:val="22"/>
          <w:szCs w:val="22"/>
        </w:rPr>
        <w:t xml:space="preserve">Moscú proporcionó inteligencia sobre objetivos (confirmado por NPR con fuentes estadounidenses). Zelenskyy afirmó que imágenes satelitales rusas de estados del Golfo e instalaciones de EE.UU. fueron pasadas a Teherán. EE.UU. optó por no confrontar públicamente esa escalada.</w:t>
      </w:r>
    </w:p>
    <w:p>
      <w:pPr>
        <w:spacing w:after="120" w:line="276"/>
        <w:jc w:val="both"/>
      </w:pPr>
      <w:r>
        <w:rPr>
          <w:rFonts w:ascii="Arial" w:cs="Arial" w:eastAsia="Arial" w:hAnsi="Arial"/>
          <w:b/>
          <w:bCs/>
          <w:color w:val="8B1A1A"/>
          <w:sz w:val="22"/>
          <w:szCs w:val="22"/>
        </w:rPr>
        <w:t xml:space="preserve">Corrección al modelo (se mantiene): </w:t>
      </w:r>
      <w:r>
        <w:rPr>
          <w:rFonts w:ascii="Arial" w:cs="Arial" w:eastAsia="Arial" w:hAnsi="Arial"/>
          <w:sz w:val="22"/>
          <w:szCs w:val="22"/>
        </w:rPr>
        <w:t xml:space="preserve">las versiones previas trataban el apoyo material ruso como precursor de beligerancia. La evidencia de casi seis meses indica lo contrario: fue un sustituto de la beligerancia. Rusia maximizó beneficio manteniéndose deliberadamente por debajo del umbral.</w:t>
      </w:r>
    </w:p>
    <w:p>
      <w:pPr>
        <w:pStyle w:val="Heading2"/>
      </w:pPr>
      <w:r>
        <w:t xml:space="preserve">9.2 China y el cálculo sobre Taiwán</w:t>
      </w:r>
    </w:p>
    <w:p>
      <w:pPr>
        <w:pStyle w:val="ListParagraph"/>
        <w:numPr>
          <w:ilvl w:val="0"/>
          <w:numId w:val="2"/>
        </w:numPr>
        <w:spacing w:after="80"/>
      </w:pPr>
      <w:r>
        <w:rPr>
          <w:rFonts w:ascii="Arial" w:cs="Arial" w:eastAsia="Arial" w:hAnsi="Arial"/>
          <w:b/>
          <w:bCs/>
          <w:sz w:val="22"/>
          <w:szCs w:val="22"/>
        </w:rPr>
        <w:t xml:space="preserve">Postura militar: </w:t>
      </w:r>
      <w:r>
        <w:rPr>
          <w:rFonts w:ascii="Arial" w:cs="Arial" w:eastAsia="Arial" w:hAnsi="Arial"/>
          <w:sz w:val="22"/>
          <w:szCs w:val="22"/>
        </w:rPr>
        <w:t xml:space="preserve">China no ha escalado militarmente en el Estrecho de Taiwán y probablemente permanece disuadida de hacerlo. Ha aplicado campañas de persuasión, no coerción kinética.</w:t>
      </w:r>
    </w:p>
    <w:p>
      <w:pPr>
        <w:pStyle w:val="ListParagraph"/>
        <w:numPr>
          <w:ilvl w:val="0"/>
          <w:numId w:val="2"/>
        </w:numPr>
        <w:spacing w:after="80"/>
      </w:pPr>
      <w:r>
        <w:rPr>
          <w:rFonts w:ascii="Arial" w:cs="Arial" w:eastAsia="Arial" w:hAnsi="Arial"/>
          <w:b/>
          <w:bCs/>
          <w:sz w:val="22"/>
          <w:szCs w:val="22"/>
        </w:rPr>
        <w:t xml:space="preserve">Evaluación de inteligencia: </w:t>
      </w:r>
      <w:r>
        <w:rPr>
          <w:rFonts w:ascii="Arial" w:cs="Arial" w:eastAsia="Arial" w:hAnsi="Arial"/>
          <w:sz w:val="22"/>
          <w:szCs w:val="22"/>
        </w:rPr>
        <w:t xml:space="preserve">la ODNI, en su Annual Threat Assessment 2026, juzga que los líderes chinos «no planean actualmente ejecutar una invasión de Taiwán en 2027», sino que «probablemente buscan crear las condiciones para una unificación eventual sin conflicto».</w:t>
      </w:r>
    </w:p>
    <w:p>
      <w:pPr>
        <w:pStyle w:val="ListParagraph"/>
        <w:numPr>
          <w:ilvl w:val="0"/>
          <w:numId w:val="2"/>
        </w:numPr>
        <w:spacing w:after="80"/>
      </w:pPr>
      <w:r>
        <w:rPr>
          <w:rFonts w:ascii="Arial" w:cs="Arial" w:eastAsia="Arial" w:hAnsi="Arial"/>
          <w:b/>
          <w:bCs/>
          <w:sz w:val="22"/>
          <w:szCs w:val="22"/>
        </w:rPr>
        <w:t xml:space="preserve">Coerción incremental sí: </w:t>
      </w:r>
      <w:r>
        <w:rPr>
          <w:rFonts w:ascii="Arial" w:cs="Arial" w:eastAsia="Arial" w:hAnsi="Arial"/>
          <w:sz w:val="22"/>
          <w:szCs w:val="22"/>
        </w:rPr>
        <w:t xml:space="preserve">la RPC parece usar la disputa marítima Japón-Filipinas para justificar presencia paramilitar permanente al este de Taiwán, ensayando capacidades de bloqueo o cuarentena (AEI, julio 2026).</w:t>
      </w:r>
    </w:p>
    <w:p>
      <w:pPr>
        <w:pStyle w:val="ListParagraph"/>
        <w:numPr>
          <w:ilvl w:val="0"/>
          <w:numId w:val="2"/>
        </w:numPr>
        <w:spacing w:after="80"/>
      </w:pPr>
      <w:r>
        <w:rPr>
          <w:rFonts w:ascii="Arial" w:cs="Arial" w:eastAsia="Arial" w:hAnsi="Arial"/>
          <w:b/>
          <w:bCs/>
          <w:sz w:val="22"/>
          <w:szCs w:val="22"/>
        </w:rPr>
        <w:t xml:space="preserve">Beneficio informativo: </w:t>
      </w:r>
      <w:r>
        <w:rPr>
          <w:rFonts w:ascii="Arial" w:cs="Arial" w:eastAsia="Arial" w:hAnsi="Arial"/>
          <w:sz w:val="22"/>
          <w:szCs w:val="22"/>
        </w:rPr>
        <w:t xml:space="preserve">cuanto más despliega EE.UU. y revela su manual operativo en el Golfo, mejor calibrada queda la planificación de Beijing (PIIE). El rendimiento real obtenido por China fue inteligencia, no territorio.</w:t>
      </w:r>
    </w:p>
    <w:p>
      <w:pPr>
        <w:pStyle w:val="ListParagraph"/>
        <w:numPr>
          <w:ilvl w:val="0"/>
          <w:numId w:val="2"/>
        </w:numPr>
        <w:spacing w:after="80"/>
      </w:pPr>
      <w:r>
        <w:rPr>
          <w:rFonts w:ascii="Arial" w:cs="Arial" w:eastAsia="Arial" w:hAnsi="Arial"/>
          <w:b/>
          <w:bCs/>
          <w:sz w:val="22"/>
          <w:szCs w:val="22"/>
        </w:rPr>
        <w:t xml:space="preserve">Freno estructural: </w:t>
      </w:r>
      <w:r>
        <w:rPr>
          <w:rFonts w:ascii="Arial" w:cs="Arial" w:eastAsia="Arial" w:hAnsi="Arial"/>
          <w:sz w:val="22"/>
          <w:szCs w:val="22"/>
        </w:rPr>
        <w:t xml:space="preserve">una recesión global severa es su mayor riesgo a la baja. Europa absorbe el 15% de las exportaciones chinas. China necesita que esta guerra termine.</w:t>
      </w:r>
    </w:p>
    <w:p>
      <w:pPr>
        <w:pStyle w:val="Heading2"/>
      </w:pPr>
      <w:r>
        <w:t xml:space="preserve">9.3 Europa y la fractura OTAN/UE</w:t>
      </w:r>
    </w:p>
    <w:p>
      <w:pPr>
        <w:pStyle w:val="ListParagraph"/>
        <w:numPr>
          <w:ilvl w:val="0"/>
          <w:numId w:val="2"/>
        </w:numPr>
        <w:spacing w:after="80"/>
      </w:pPr>
      <w:r>
        <w:rPr>
          <w:rFonts w:ascii="Arial" w:cs="Arial" w:eastAsia="Arial" w:hAnsi="Arial"/>
          <w:b/>
          <w:bCs/>
          <w:sz w:val="22"/>
          <w:szCs w:val="22"/>
        </w:rPr>
        <w:t xml:space="preserve">España: </w:t>
      </w:r>
      <w:r>
        <w:rPr>
          <w:rFonts w:ascii="Arial" w:cs="Arial" w:eastAsia="Arial" w:hAnsi="Arial"/>
          <w:sz w:val="22"/>
          <w:szCs w:val="22"/>
        </w:rPr>
        <w:t xml:space="preserve">mantuvo su negativa a autorizar el uso de Rota y Morón para operaciones ofensivas pese a amenazas comerciales de Washington. Es la grieta intra-OTAN más visible del conflicto, pero no produjo ruptura de la Alianza.</w:t>
      </w:r>
    </w:p>
    <w:p>
      <w:pPr>
        <w:pStyle w:val="ListParagraph"/>
        <w:numPr>
          <w:ilvl w:val="0"/>
          <w:numId w:val="2"/>
        </w:numPr>
        <w:spacing w:after="80"/>
      </w:pPr>
      <w:r>
        <w:rPr>
          <w:rFonts w:ascii="Arial" w:cs="Arial" w:eastAsia="Arial" w:hAnsi="Arial"/>
          <w:b/>
          <w:bCs/>
          <w:sz w:val="22"/>
          <w:szCs w:val="22"/>
        </w:rPr>
        <w:t xml:space="preserve">Umbrales institucionales no alcanzados: </w:t>
      </w:r>
      <w:r>
        <w:rPr>
          <w:rFonts w:ascii="Arial" w:cs="Arial" w:eastAsia="Arial" w:hAnsi="Arial"/>
          <w:sz w:val="22"/>
          <w:szCs w:val="22"/>
        </w:rPr>
        <w:t xml:space="preserve">el Artículo 42.7 de la UE se discutió en marzo tras los ataques a Chipre pero nunca se invocó; el Artículo 5 de la OTAN tampoco, pese a misiles iraníes interceptados sobre Turquía. Ambos umbrales resultaron mucho más altos de lo que asumían las versiones 4–6.</w:t>
      </w:r>
    </w:p>
    <w:p>
      <w:pPr>
        <w:pStyle w:val="ListParagraph"/>
        <w:numPr>
          <w:ilvl w:val="0"/>
          <w:numId w:val="2"/>
        </w:numPr>
        <w:spacing w:after="80"/>
      </w:pPr>
      <w:r>
        <w:rPr>
          <w:rFonts w:ascii="Arial" w:cs="Arial" w:eastAsia="Arial" w:hAnsi="Arial"/>
          <w:b/>
          <w:bCs/>
          <w:sz w:val="22"/>
          <w:szCs w:val="22"/>
        </w:rPr>
        <w:t xml:space="preserve">Declaración de la OTAN: </w:t>
      </w:r>
      <w:r>
        <w:rPr>
          <w:rFonts w:ascii="Arial" w:cs="Arial" w:eastAsia="Arial" w:hAnsi="Arial"/>
          <w:sz w:val="22"/>
          <w:szCs w:val="22"/>
        </w:rPr>
        <w:t xml:space="preserve">la cumbre de Ankara concluyó con un llamado a que Irán «respete plenamente la libertad de navegación en el Estrecho de Ormuz», sin referencia a los ataques del 28 de febrero.</w:t>
      </w:r>
    </w:p>
    <w:p>
      <w:pPr>
        <w:pStyle w:val="ListParagraph"/>
        <w:numPr>
          <w:ilvl w:val="0"/>
          <w:numId w:val="2"/>
        </w:numPr>
        <w:spacing w:after="80"/>
      </w:pPr>
      <w:r>
        <w:rPr>
          <w:rFonts w:ascii="Arial" w:cs="Arial" w:eastAsia="Arial" w:hAnsi="Arial"/>
          <w:b/>
          <w:bCs/>
          <w:sz w:val="22"/>
          <w:szCs w:val="22"/>
        </w:rPr>
        <w:t xml:space="preserve">Francia e Italia: </w:t>
      </w:r>
      <w:r>
        <w:rPr>
          <w:rFonts w:ascii="Arial" w:cs="Arial" w:eastAsia="Arial" w:hAnsi="Arial"/>
          <w:sz w:val="22"/>
          <w:szCs w:val="22"/>
        </w:rPr>
        <w:t xml:space="preserve">Francia autorizó el uso de bases y desplegó portaaviones; Italia criticó a Irán y llamó a la contención sin posición frontal contra Washington. Ambas participaron en la defensa naval de Chipre y ofrecieron apoyo al desminado.</w:t>
      </w:r>
    </w:p>
    <w:p>
      <w:pPr>
        <w:pStyle w:val="Heading2"/>
      </w:pPr>
      <w:r>
        <w:t xml:space="preserve">9.4 Estados del Golfo y mediadores</w:t>
      </w:r>
    </w:p>
    <w:p>
      <w:pPr>
        <w:pStyle w:val="ListParagraph"/>
        <w:numPr>
          <w:ilvl w:val="0"/>
          <w:numId w:val="2"/>
        </w:numPr>
        <w:spacing w:after="80"/>
      </w:pPr>
      <w:r>
        <w:rPr>
          <w:rFonts w:ascii="Arial" w:cs="Arial" w:eastAsia="Arial" w:hAnsi="Arial"/>
          <w:b/>
          <w:bCs/>
          <w:sz w:val="22"/>
          <w:szCs w:val="22"/>
        </w:rPr>
        <w:t xml:space="preserve">Error estratégico iraní confirmado: </w:t>
      </w:r>
      <w:r>
        <w:rPr>
          <w:rFonts w:ascii="Arial" w:cs="Arial" w:eastAsia="Arial" w:hAnsi="Arial"/>
          <w:sz w:val="22"/>
          <w:szCs w:val="22"/>
        </w:rPr>
        <w:t xml:space="preserve">al atacar a los seis miembros del CCG, Irán alienaó a los estados que habrían podido servirle de amortiguador diplomático.</w:t>
      </w:r>
    </w:p>
    <w:p>
      <w:pPr>
        <w:pStyle w:val="ListParagraph"/>
        <w:numPr>
          <w:ilvl w:val="0"/>
          <w:numId w:val="2"/>
        </w:numPr>
        <w:spacing w:after="80"/>
      </w:pPr>
      <w:r>
        <w:rPr>
          <w:rFonts w:ascii="Arial" w:cs="Arial" w:eastAsia="Arial" w:hAnsi="Arial"/>
          <w:b/>
          <w:bCs/>
          <w:sz w:val="22"/>
          <w:szCs w:val="22"/>
        </w:rPr>
        <w:t xml:space="preserve">Arabia Saudita, cambio de postura (NUEVO): </w:t>
      </w:r>
      <w:r>
        <w:rPr>
          <w:rFonts w:ascii="Arial" w:cs="Arial" w:eastAsia="Arial" w:hAnsi="Arial"/>
          <w:sz w:val="22"/>
          <w:szCs w:val="22"/>
        </w:rPr>
        <w:t xml:space="preserve">pasó de defensa a participación ofensiva, unida a fuerzas de EE.UU. en ataques contra milicias pro-iraníes en Irak en julio. Simultáneamente firmó el acuerdo nuclear de 30 años con Washington y el pacto de La Meca. Riad está diversificando garantías, no sustituyendo a EE.UU.</w:t>
      </w:r>
    </w:p>
    <w:p>
      <w:pPr>
        <w:pStyle w:val="ListParagraph"/>
        <w:numPr>
          <w:ilvl w:val="0"/>
          <w:numId w:val="2"/>
        </w:numPr>
        <w:spacing w:after="80"/>
      </w:pPr>
      <w:r>
        <w:rPr>
          <w:rFonts w:ascii="Arial" w:cs="Arial" w:eastAsia="Arial" w:hAnsi="Arial"/>
          <w:b/>
          <w:bCs/>
          <w:sz w:val="22"/>
          <w:szCs w:val="22"/>
        </w:rPr>
        <w:t xml:space="preserve">Omán bajo presión: </w:t>
      </w:r>
      <w:r>
        <w:rPr>
          <w:rFonts w:ascii="Arial" w:cs="Arial" w:eastAsia="Arial" w:hAnsi="Arial"/>
          <w:sz w:val="22"/>
          <w:szCs w:val="22"/>
        </w:rPr>
        <w:t xml:space="preserve">es el canal técnico que negoció el protocolo de navegación y ahora es objeto de amenaza militar directa de Trump. Su capacidad de seguir mediando es la incógnita más importante del corto plazo.</w:t>
      </w:r>
    </w:p>
    <w:p>
      <w:pPr>
        <w:pStyle w:val="ListParagraph"/>
        <w:numPr>
          <w:ilvl w:val="0"/>
          <w:numId w:val="2"/>
        </w:numPr>
        <w:spacing w:after="80"/>
      </w:pPr>
      <w:r>
        <w:rPr>
          <w:rFonts w:ascii="Arial" w:cs="Arial" w:eastAsia="Arial" w:hAnsi="Arial"/>
          <w:b/>
          <w:bCs/>
          <w:sz w:val="22"/>
          <w:szCs w:val="22"/>
        </w:rPr>
        <w:t xml:space="preserve">Pakistán, doble papel: </w:t>
      </w:r>
      <w:r>
        <w:rPr>
          <w:rFonts w:ascii="Arial" w:cs="Arial" w:eastAsia="Arial" w:hAnsi="Arial"/>
          <w:sz w:val="22"/>
          <w:szCs w:val="22"/>
        </w:rPr>
        <w:t xml:space="preserve">arquitecto de ambos altos el fuego y, desde el 7 de agosto, parte de un bloque de defensa colectiva con un beligerante. Esa dualidad puede comprometer su neutralidad como mediador.</w:t>
      </w:r>
    </w:p>
    <w:p>
      <w:pPr>
        <w:pStyle w:val="Heading2"/>
      </w:pPr>
      <w:r>
        <w:t xml:space="preserve">9.5 Fractura Trump–Netanyahu</w:t>
      </w:r>
    </w:p>
    <w:p>
      <w:pPr>
        <w:pStyle w:val="ListParagraph"/>
        <w:numPr>
          <w:ilvl w:val="0"/>
          <w:numId w:val="2"/>
        </w:numPr>
        <w:spacing w:after="80"/>
      </w:pPr>
      <w:r>
        <w:rPr>
          <w:rFonts w:ascii="Arial" w:cs="Arial" w:eastAsia="Arial" w:hAnsi="Arial"/>
          <w:b/>
          <w:bCs/>
          <w:sz w:val="22"/>
          <w:szCs w:val="22"/>
        </w:rPr>
        <w:t xml:space="preserve">Divergencia estratégica: </w:t>
      </w:r>
      <w:r>
        <w:rPr>
          <w:rFonts w:ascii="Arial" w:cs="Arial" w:eastAsia="Arial" w:hAnsi="Arial"/>
          <w:sz w:val="22"/>
          <w:szCs w:val="22"/>
        </w:rPr>
        <w:t xml:space="preserve">Trump busca una salida negociada bajo presión interna por una guerra impopular; el gobierno de Netanyahu se opuso al memorándum de junio y favorece operaciones orientadas al cambio de régimen.</w:t>
      </w:r>
    </w:p>
    <w:p>
      <w:pPr>
        <w:pStyle w:val="ListParagraph"/>
        <w:numPr>
          <w:ilvl w:val="0"/>
          <w:numId w:val="2"/>
        </w:numPr>
        <w:spacing w:after="80"/>
      </w:pPr>
      <w:r>
        <w:rPr>
          <w:rFonts w:ascii="Arial" w:cs="Arial" w:eastAsia="Arial" w:hAnsi="Arial"/>
          <w:b/>
          <w:bCs/>
          <w:sz w:val="22"/>
          <w:szCs w:val="22"/>
        </w:rPr>
        <w:t xml:space="preserve">Reunión del 28 de julio: </w:t>
      </w:r>
      <w:r>
        <w:rPr>
          <w:rFonts w:ascii="Arial" w:cs="Arial" w:eastAsia="Arial" w:hAnsi="Arial"/>
          <w:sz w:val="22"/>
          <w:szCs w:val="22"/>
        </w:rPr>
        <w:t xml:space="preserve">primera presencial desde el inicio de la guerra; ambas partes la calificaron de «positiva» y reiteraron que Irán no debe tener armas nucleares.</w:t>
      </w:r>
    </w:p>
    <w:p>
      <w:pPr>
        <w:pStyle w:val="ListParagraph"/>
        <w:numPr>
          <w:ilvl w:val="0"/>
          <w:numId w:val="2"/>
        </w:numPr>
        <w:spacing w:after="80"/>
      </w:pPr>
      <w:r>
        <w:rPr>
          <w:rFonts w:ascii="Arial" w:cs="Arial" w:eastAsia="Arial" w:hAnsi="Arial"/>
          <w:b/>
          <w:bCs/>
          <w:sz w:val="22"/>
          <w:szCs w:val="22"/>
        </w:rPr>
        <w:t xml:space="preserve">Presión de agosto: </w:t>
      </w:r>
      <w:r>
        <w:rPr>
          <w:rFonts w:ascii="Arial" w:cs="Arial" w:eastAsia="Arial" w:hAnsi="Arial"/>
          <w:sz w:val="22"/>
          <w:szCs w:val="22"/>
        </w:rPr>
        <w:t xml:space="preserve">el 17 de agosto Kushner se reunió más de cuatro horas con Netanyahu presionándolo para avanzar con el plan de alto el fuego en Gaza respaldado por Trump y «no crear obstáculos». La coordinación bilateral requiere gestión activa y continua.</w:t>
      </w:r>
    </w:p>
    <w:p>
      <w:pPr>
        <w:pStyle w:val="ListParagraph"/>
        <w:numPr>
          <w:ilvl w:val="0"/>
          <w:numId w:val="2"/>
        </w:numPr>
        <w:spacing w:after="80"/>
      </w:pPr>
      <w:r>
        <w:rPr>
          <w:rFonts w:ascii="Arial" w:cs="Arial" w:eastAsia="Arial" w:hAnsi="Arial"/>
          <w:b/>
          <w:bCs/>
          <w:sz w:val="22"/>
          <w:szCs w:val="22"/>
        </w:rPr>
        <w:t xml:space="preserve">Vulnerabilidad cruzada: </w:t>
      </w:r>
      <w:r>
        <w:rPr>
          <w:rFonts w:ascii="Arial" w:cs="Arial" w:eastAsia="Arial" w:hAnsi="Arial"/>
          <w:sz w:val="22"/>
          <w:szCs w:val="22"/>
        </w:rPr>
        <w:t xml:space="preserve">Netanyahu enfrenta elecciones; Trump enfrenta presión legislativa bipartidista y costo económico doméstico.</w:t>
      </w:r>
    </w:p>
    <w:p>
      <w:pPr>
        <w:pStyle w:val="Heading1"/>
      </w:pPr>
      <w:r>
        <w:t xml:space="preserve">10. Frentes secundarios: Líbano, Irak, Yemen</w:t>
      </w:r>
    </w:p>
    <w:p>
      <w:pPr>
        <w:pStyle w:val="Heading2"/>
      </w:pPr>
      <w:r>
        <w:t xml:space="preserve">10.1 Líbano — el teatro más letal</w:t>
      </w:r>
    </w:p>
    <w:p>
      <w:pPr>
        <w:spacing w:after="120" w:line="276"/>
        <w:jc w:val="both"/>
      </w:pPr>
      <w:r>
        <w:rPr>
          <w:rFonts w:ascii="Arial" w:cs="Arial" w:eastAsia="Arial" w:hAnsi="Arial"/>
          <w:sz w:val="22"/>
          <w:szCs w:val="22"/>
        </w:rPr>
        <w:t xml:space="preserve">Israel sostuvo desde abril que el alto el fuego con Irán no aplicaba a Líbano. El resultado: 4,328 muertos y 12,229 heridos desde el 2 de marzo según el Ministerio de Salud libanés, y más de 1.2 millones de desplazados. El marco impulsado en la visita de Joseph Aoun a la Casa Blanca (21 de julio) contempla retirada israelí de «zonas piloto» a cambio del desarme de Hezbollah, con las Fuerzas Armadas Libanesas asumiendo posiciones. Hezbollah mantiene la amenaza explícita de reanudar el fuego y no ha aceptado el desarme.</w:t>
      </w:r>
    </w:p>
    <w:p>
      <w:pPr>
        <w:pStyle w:val="Heading2"/>
      </w:pPr>
      <w:r>
        <w:t xml:space="preserve">10.2 Irak — mediador y víctima</w:t>
      </w:r>
    </w:p>
    <w:p>
      <w:pPr>
        <w:pStyle w:val="ListParagraph"/>
        <w:numPr>
          <w:ilvl w:val="0"/>
          <w:numId w:val="2"/>
        </w:numPr>
        <w:spacing w:after="80"/>
      </w:pPr>
      <w:r>
        <w:rPr>
          <w:rFonts w:ascii="Arial" w:cs="Arial" w:eastAsia="Arial" w:hAnsi="Arial"/>
          <w:b/>
          <w:bCs/>
          <w:sz w:val="22"/>
          <w:szCs w:val="22"/>
        </w:rPr>
        <w:t xml:space="preserve">Exposición dual: </w:t>
      </w:r>
      <w:r>
        <w:rPr>
          <w:rFonts w:ascii="Arial" w:cs="Arial" w:eastAsia="Arial" w:hAnsi="Arial"/>
          <w:sz w:val="22"/>
          <w:szCs w:val="22"/>
        </w:rPr>
        <w:t xml:space="preserve">Bagdad llevó la propuesta de alto el fuego a Teherán el 23 de julio mientras absorbe pérdidas de hasta $45 mil millones y 119+ muertos.</w:t>
      </w:r>
    </w:p>
    <w:p>
      <w:pPr>
        <w:pStyle w:val="ListParagraph"/>
        <w:numPr>
          <w:ilvl w:val="0"/>
          <w:numId w:val="2"/>
        </w:numPr>
        <w:spacing w:after="80"/>
      </w:pPr>
      <w:r>
        <w:rPr>
          <w:rFonts w:ascii="Arial" w:cs="Arial" w:eastAsia="Arial" w:hAnsi="Arial"/>
          <w:b/>
          <w:bCs/>
          <w:sz w:val="22"/>
          <w:szCs w:val="22"/>
        </w:rPr>
        <w:t xml:space="preserve">Nueva variable: </w:t>
      </w:r>
      <w:r>
        <w:rPr>
          <w:rFonts w:ascii="Arial" w:cs="Arial" w:eastAsia="Arial" w:hAnsi="Arial"/>
          <w:sz w:val="22"/>
          <w:szCs w:val="22"/>
        </w:rPr>
        <w:t xml:space="preserve">fuerzas saudíes se unieron a EE.UU. en ataques contra milicias respaldadas por Irán en territorio iraquí en julio, internacionalizando aún más el frente.</w:t>
      </w:r>
    </w:p>
    <w:p>
      <w:pPr>
        <w:pStyle w:val="ListParagraph"/>
        <w:numPr>
          <w:ilvl w:val="0"/>
          <w:numId w:val="2"/>
        </w:numPr>
        <w:spacing w:after="80"/>
      </w:pPr>
      <w:r>
        <w:rPr>
          <w:rFonts w:ascii="Arial" w:cs="Arial" w:eastAsia="Arial" w:hAnsi="Arial"/>
          <w:b/>
          <w:bCs/>
          <w:sz w:val="22"/>
          <w:szCs w:val="22"/>
        </w:rPr>
        <w:t xml:space="preserve">Fecha crítica: </w:t>
      </w:r>
      <w:r>
        <w:rPr>
          <w:rFonts w:ascii="Arial" w:cs="Arial" w:eastAsia="Arial" w:hAnsi="Arial"/>
          <w:sz w:val="22"/>
          <w:szCs w:val="22"/>
        </w:rPr>
        <w:t xml:space="preserve">septiembre de 2026 está programada la retirada de fuerzas de la coalición del Kurdistán iraquí, con la disputa sobre el desarme de milicias sin resolver.</w:t>
      </w:r>
    </w:p>
    <w:p>
      <w:pPr>
        <w:pStyle w:val="Heading2"/>
      </w:pPr>
      <w:r>
        <w:t xml:space="preserve">10.3 Yemen / Mar Rojo</w:t>
      </w:r>
    </w:p>
    <w:p>
      <w:pPr>
        <w:spacing w:after="120" w:line="276"/>
        <w:jc w:val="both"/>
      </w:pPr>
      <w:r>
        <w:rPr>
          <w:rFonts w:ascii="Arial" w:cs="Arial" w:eastAsia="Arial" w:hAnsi="Arial"/>
          <w:sz w:val="22"/>
          <w:szCs w:val="22"/>
        </w:rPr>
        <w:t xml:space="preserve">Los hutíes abrieron un nuevo frente en julio en apoyo de Irán, incendiando la refinería saudí de Jizan y atacando objetivos vinculados a Aramco en Yanbu — terminal que maneja cerca del 92% de las exportaciones saudíes de crudo por vía marítima. Arabia Saudita respondió con ataques sobre Hodeidah y la isla de Kamaran. Es una guerra regional autónoma anidada dentro del conflicto principal, con ciclo de escalada propio.</w:t>
      </w:r>
    </w:p>
    <w:p>
      <w:r>
        <w:br w:type="page"/>
      </w:r>
    </w:p>
    <w:p>
      <w:pPr>
        <w:pStyle w:val="Heading1"/>
      </w:pPr>
      <w:r>
        <w:t xml:space="preserve">11. Post-mortem del modelo</w:t>
      </w:r>
    </w:p>
    <w:p>
      <w:pPr>
        <w:spacing w:after="120" w:line="276"/>
        <w:jc w:val="both"/>
      </w:pPr>
      <w:r>
        <w:rPr>
          <w:rFonts w:ascii="Arial" w:cs="Arial" w:eastAsia="Arial" w:hAnsi="Arial"/>
          <w:sz w:val="22"/>
          <w:szCs w:val="22"/>
        </w:rPr>
        <w:t xml:space="preserve">Entre el 1 y el 16 de marzo el juicio agregado pasó de 3–8% a 20–28%. Cinco meses después ninguno de los mecanismos de transmisión proyectados se activó. Los errores identificados se mantienen:</w:t>
      </w:r>
    </w:p>
    <w:p>
      <w:pPr>
        <w:pStyle w:val="ListParagraph"/>
        <w:numPr>
          <w:ilvl w:val="0"/>
          <w:numId w:val="3"/>
        </w:numPr>
        <w:spacing w:after="100"/>
      </w:pPr>
      <w:r>
        <w:rPr>
          <w:rFonts w:ascii="Arial" w:cs="Arial" w:eastAsia="Arial" w:hAnsi="Arial"/>
          <w:b/>
          <w:bCs/>
          <w:sz w:val="22"/>
          <w:szCs w:val="22"/>
        </w:rPr>
        <w:t xml:space="preserve">Extrapolación de tendencia sobre serie corta. </w:t>
      </w:r>
      <w:r>
        <w:rPr>
          <w:rFonts w:ascii="Arial" w:cs="Arial" w:eastAsia="Arial" w:hAnsi="Arial"/>
          <w:sz w:val="22"/>
          <w:szCs w:val="22"/>
        </w:rPr>
        <w:t xml:space="preserve">El modelo actualizaba diariamente sobre una ventana de 17 días, tratando cada nuevo teatro y cada nueva baja como evidencia de aceleración. Un proceso oscilatorio observado durante su fase ascendente es indistinguible de un proceso divergente.</w:t>
      </w:r>
    </w:p>
    <w:p>
      <w:pPr>
        <w:pStyle w:val="ListParagraph"/>
        <w:numPr>
          <w:ilvl w:val="0"/>
          <w:numId w:val="3"/>
        </w:numPr>
        <w:spacing w:after="100"/>
      </w:pPr>
      <w:r>
        <w:rPr>
          <w:rFonts w:ascii="Arial" w:cs="Arial" w:eastAsia="Arial" w:hAnsi="Arial"/>
          <w:b/>
          <w:bCs/>
          <w:sz w:val="22"/>
          <w:szCs w:val="22"/>
        </w:rPr>
        <w:t xml:space="preserve">Confusión entre apoyo material y beligerancia. </w:t>
      </w:r>
      <w:r>
        <w:rPr>
          <w:rFonts w:ascii="Arial" w:cs="Arial" w:eastAsia="Arial" w:hAnsi="Arial"/>
          <w:sz w:val="22"/>
          <w:szCs w:val="22"/>
        </w:rPr>
        <w:t xml:space="preserve">El suministro ruso de inteligencia y armamento a Irán se codificó como escalón hacia la intervención. Era un mecanismo para obtener beneficio evitando el costo de la beligerancia.</w:t>
      </w:r>
    </w:p>
    <w:p>
      <w:pPr>
        <w:pStyle w:val="ListParagraph"/>
        <w:numPr>
          <w:ilvl w:val="0"/>
          <w:numId w:val="3"/>
        </w:numPr>
        <w:spacing w:after="100"/>
      </w:pPr>
      <w:r>
        <w:rPr>
          <w:rFonts w:ascii="Arial" w:cs="Arial" w:eastAsia="Arial" w:hAnsi="Arial"/>
          <w:b/>
          <w:bCs/>
          <w:sz w:val="22"/>
          <w:szCs w:val="22"/>
        </w:rPr>
        <w:t xml:space="preserve">Subestimación de los umbrales institucionales. </w:t>
      </w:r>
      <w:r>
        <w:rPr>
          <w:rFonts w:ascii="Arial" w:cs="Arial" w:eastAsia="Arial" w:hAnsi="Arial"/>
          <w:sz w:val="22"/>
          <w:szCs w:val="22"/>
        </w:rPr>
        <w:t xml:space="preserve">Ni la OTAN ni la UE invocaron nada. Estas cláusulas tienen umbrales políticos mucho más altos que sus umbrales legales. </w:t>
      </w:r>
      <w:r>
        <w:rPr>
          <w:rFonts w:ascii="Arial" w:cs="Arial" w:eastAsia="Arial" w:hAnsi="Arial"/>
          <w:i/>
          <w:iCs/>
          <w:color w:val="555555"/>
          <w:sz w:val="22"/>
          <w:szCs w:val="22"/>
        </w:rPr>
        <w:t xml:space="preserve">Esta lección aplica directamente al Acuerdo de La Meca: una cláusula de defensa colectiva en el papel no implica activación en la práctica.</w:t>
      </w:r>
    </w:p>
    <w:p>
      <w:pPr>
        <w:pStyle w:val="ListParagraph"/>
        <w:numPr>
          <w:ilvl w:val="0"/>
          <w:numId w:val="3"/>
        </w:numPr>
        <w:spacing w:after="100"/>
      </w:pPr>
      <w:r>
        <w:rPr>
          <w:rFonts w:ascii="Arial" w:cs="Arial" w:eastAsia="Arial" w:hAnsi="Arial"/>
          <w:b/>
          <w:bCs/>
          <w:sz w:val="22"/>
          <w:szCs w:val="22"/>
        </w:rPr>
        <w:t xml:space="preserve">Ceguera ante la capacidad de mediación. </w:t>
      </w:r>
      <w:r>
        <w:rPr>
          <w:rFonts w:ascii="Arial" w:cs="Arial" w:eastAsia="Arial" w:hAnsi="Arial"/>
          <w:sz w:val="22"/>
          <w:szCs w:val="22"/>
        </w:rPr>
        <w:t xml:space="preserve">Pakistán, Omán, Qatar e Irak construyeron dos altos el fuego. La mediación de potencias medias resultó el mecanismo más robusto del sistema, y era invisible para un modelo centrado en potencias nucleares.</w:t>
      </w:r>
    </w:p>
    <w:p>
      <w:pPr>
        <w:pStyle w:val="ListParagraph"/>
        <w:numPr>
          <w:ilvl w:val="0"/>
          <w:numId w:val="3"/>
        </w:numPr>
        <w:spacing w:after="100"/>
      </w:pPr>
      <w:r>
        <w:rPr>
          <w:rFonts w:ascii="Arial" w:cs="Arial" w:eastAsia="Arial" w:hAnsi="Arial"/>
          <w:b/>
          <w:bCs/>
          <w:sz w:val="22"/>
          <w:szCs w:val="22"/>
        </w:rPr>
        <w:t xml:space="preserve">Sesgo de disponibilidad reconocido pero no corregido. </w:t>
      </w:r>
      <w:r>
        <w:rPr>
          <w:rFonts w:ascii="Arial" w:cs="Arial" w:eastAsia="Arial" w:hAnsi="Arial"/>
          <w:sz w:val="22"/>
          <w:szCs w:val="22"/>
        </w:rPr>
        <w:t xml:space="preserve">El documento listaba el sesgo entre sus caveats desde la v1 y aun así lo incurrió. Nombrar un sesgo no lo neutraliza.</w:t>
      </w:r>
    </w:p>
    <w:p>
      <w:pPr>
        <w:pStyle w:val="ListParagraph"/>
        <w:numPr>
          <w:ilvl w:val="0"/>
          <w:numId w:val="3"/>
        </w:numPr>
        <w:spacing w:after="100"/>
      </w:pPr>
      <w:r>
        <w:rPr>
          <w:rFonts w:ascii="Arial" w:cs="Arial" w:eastAsia="Arial" w:hAnsi="Arial"/>
          <w:b/>
          <w:bCs/>
          <w:sz w:val="22"/>
          <w:szCs w:val="22"/>
        </w:rPr>
        <w:t xml:space="preserve">Presión de actualización asimétrica. </w:t>
      </w:r>
      <w:r>
        <w:rPr>
          <w:rFonts w:ascii="Arial" w:cs="Arial" w:eastAsia="Arial" w:hAnsi="Arial"/>
          <w:sz w:val="22"/>
          <w:szCs w:val="22"/>
        </w:rPr>
        <w:t xml:space="preserve">Cada versión se produjo tras una noticia alarmante y solo tras noticias alarmantes. No hubo una sola revisión a la baja entre v1 y v6.</w:t>
      </w:r>
    </w:p>
    <w:p>
      <w:pPr>
        <w:spacing w:after="60"/>
      </w:pPr>
    </w:p>
    <w:p>
      <w:pPr>
        <w:spacing w:after="120" w:line="276"/>
        <w:jc w:val="both"/>
      </w:pPr>
      <w:r>
        <w:rPr>
          <w:rFonts w:ascii="Arial" w:cs="Arial" w:eastAsia="Arial" w:hAnsi="Arial"/>
          <w:b/>
          <w:bCs/>
          <w:color w:val="2E6B3E"/>
          <w:sz w:val="22"/>
          <w:szCs w:val="22"/>
        </w:rPr>
        <w:t xml:space="preserve">Lo que el modelo sí acertó: </w:t>
      </w:r>
      <w:r>
        <w:rPr>
          <w:rFonts w:ascii="Arial" w:cs="Arial" w:eastAsia="Arial" w:hAnsi="Arial"/>
          <w:sz w:val="22"/>
          <w:szCs w:val="22"/>
        </w:rPr>
        <w:t xml:space="preserve">la identificación de la no-intervención de Rusia y China como variable crítica fue correcta y se mantuvo en todas las versiones. También acertó al señalar el error estratégico iraní de atacar al CCG, al anticipar la magnitud del shock energético y al advertir que Líbano podía desacoplarse del teatro iraní. La estructura analítica era razonable; la calibración numérica fue el fallo.</w:t>
      </w:r>
    </w:p>
    <w:p>
      <w:pPr>
        <w:pStyle w:val="Heading1"/>
      </w:pPr>
      <w:r>
        <w:t xml:space="preserve">12. Juicio probabilístico revisado</w:t>
      </w:r>
    </w:p>
    <w:p>
      <w:pPr>
        <w:pStyle w:val="Heading2"/>
      </w:pPr>
      <w:r>
        <w:t xml:space="preserve">12.1 Trayectoria del juicio (marzo – agosto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50"/>
        <w:gridCol w:w="1050"/>
        <w:gridCol w:w="1050"/>
        <w:gridCol w:w="1050"/>
        <w:gridCol w:w="1080"/>
        <w:gridCol w:w="208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Escenario</w:t>
            </w:r>
          </w:p>
        </w:tc>
        <w:tc>
          <w:tcPr>
            <w:tcW w:type="dxa" w:w="105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v1
1 mar</w:t>
            </w:r>
          </w:p>
        </w:tc>
        <w:tc>
          <w:tcPr>
            <w:tcW w:type="dxa" w:w="105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v3
4 mar</w:t>
            </w:r>
          </w:p>
        </w:tc>
        <w:tc>
          <w:tcPr>
            <w:tcW w:type="dxa" w:w="105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v6
16 mar</w:t>
            </w:r>
          </w:p>
        </w:tc>
        <w:tc>
          <w:tcPr>
            <w:tcW w:type="dxa" w:w="105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v7
28 jul</w:t>
            </w:r>
          </w:p>
        </w:tc>
        <w:tc>
          <w:tcPr>
            <w:tcW w:type="dxa" w:w="10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v8
18 ago</w:t>
            </w:r>
          </w:p>
        </w:tc>
        <w:tc>
          <w:tcPr>
            <w:tcW w:type="dxa" w:w="20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Nota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Desescalada / fin negociado</w:t>
            </w:r>
          </w:p>
        </w:tc>
        <w:tc>
          <w:tcPr>
            <w:tcW w:type="dxa" w:w="10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35–45%</w:t>
            </w:r>
          </w:p>
        </w:tc>
        <w:tc>
          <w:tcPr>
            <w:tcW w:type="dxa" w:w="10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15–25%</w:t>
            </w:r>
          </w:p>
        </w:tc>
        <w:tc>
          <w:tcPr>
            <w:tcW w:type="dxa" w:w="10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5–10%</w:t>
            </w:r>
          </w:p>
        </w:tc>
        <w:tc>
          <w:tcPr>
            <w:tcW w:type="dxa" w:w="10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35–50%</w:t>
            </w:r>
          </w:p>
        </w:tc>
        <w:tc>
          <w:tcPr>
            <w:tcW w:type="dxa" w:w="108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65911"/>
                <w:sz w:val="18"/>
                <w:szCs w:val="18"/>
              </w:rPr>
              <w:t xml:space="preserve">25–40%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Baja: expiró el plazo sin acuerdo</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Conflicto regional prolongado</w:t>
            </w:r>
          </w:p>
        </w:tc>
        <w:tc>
          <w:tcPr>
            <w:tcW w:type="dxa" w:w="105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40–50%</w:t>
            </w:r>
          </w:p>
        </w:tc>
        <w:tc>
          <w:tcPr>
            <w:tcW w:type="dxa" w:w="105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50–60%</w:t>
            </w:r>
          </w:p>
        </w:tc>
        <w:tc>
          <w:tcPr>
            <w:tcW w:type="dxa" w:w="105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35–45%</w:t>
            </w:r>
          </w:p>
        </w:tc>
        <w:tc>
          <w:tcPr>
            <w:tcW w:type="dxa" w:w="105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45–58%</w:t>
            </w:r>
          </w:p>
        </w:tc>
        <w:tc>
          <w:tcPr>
            <w:tcW w:type="dxa" w:w="108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65911"/>
                <w:sz w:val="18"/>
                <w:szCs w:val="18"/>
              </w:rPr>
              <w:t xml:space="preserve">50–65%</w:t>
            </w:r>
          </w:p>
        </w:tc>
        <w:tc>
          <w:tcPr>
            <w:tcW w:type="dxa" w:w="2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Sube: escenario modal reforzado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Escalada EE.UU.–Rusia/China</w:t>
            </w:r>
          </w:p>
        </w:tc>
        <w:tc>
          <w:tcPr>
            <w:tcW w:type="dxa" w:w="10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5–10%</w:t>
            </w:r>
          </w:p>
        </w:tc>
        <w:tc>
          <w:tcPr>
            <w:tcW w:type="dxa" w:w="10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8–15%</w:t>
            </w:r>
          </w:p>
        </w:tc>
        <w:tc>
          <w:tcPr>
            <w:tcW w:type="dxa" w:w="10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18–25%</w:t>
            </w:r>
          </w:p>
        </w:tc>
        <w:tc>
          <w:tcPr>
            <w:tcW w:type="dxa" w:w="10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2–5%</w:t>
            </w:r>
          </w:p>
        </w:tc>
        <w:tc>
          <w:tcPr>
            <w:tcW w:type="dxa" w:w="1080"/>
            <w:tcBorders>
              <w:top w:val="single" w:color="CCCCCC" w:sz="1"/>
              <w:left w:val="single" w:color="CCCCCC" w:sz="1"/>
              <w:bottom w:val="single" w:color="CCCCCC" w:sz="1"/>
              <w:right w:val="single" w:color="CCCCCC" w:sz="1"/>
            </w:tcBorders>
            <w:shd w:fill="DFF0D8" w:val="clear"/>
            <w:tcMar>
              <w:top w:type="dxa" w:w="60"/>
              <w:left w:type="dxa" w:w="100"/>
              <w:bottom w:type="dxa" w:w="60"/>
              <w:right w:type="dxa" w:w="100"/>
            </w:tcMar>
            <w:vAlign w:val="center"/>
          </w:tcPr>
          <w:p>
            <w:pPr>
              <w:jc w:val="center"/>
            </w:pPr>
            <w:r>
              <w:rPr>
                <w:rFonts w:ascii="Arial" w:cs="Arial" w:eastAsia="Arial" w:hAnsi="Arial"/>
                <w:b/>
                <w:bCs/>
                <w:color w:val="2E6B3E"/>
                <w:sz w:val="18"/>
                <w:szCs w:val="18"/>
              </w:rPr>
              <w:t xml:space="preserve">2–5%</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Estable: sin trayectoria observable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Guerra mundial convencional</w:t>
            </w:r>
          </w:p>
        </w:tc>
        <w:tc>
          <w:tcPr>
            <w:tcW w:type="dxa" w:w="105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2–5%</w:t>
            </w:r>
          </w:p>
        </w:tc>
        <w:tc>
          <w:tcPr>
            <w:tcW w:type="dxa" w:w="105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6–12%</w:t>
            </w:r>
          </w:p>
        </w:tc>
        <w:tc>
          <w:tcPr>
            <w:tcW w:type="dxa" w:w="105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15–20%</w:t>
            </w:r>
          </w:p>
        </w:tc>
        <w:tc>
          <w:tcPr>
            <w:tcW w:type="dxa" w:w="105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1–3%</w:t>
            </w:r>
          </w:p>
        </w:tc>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2–4%</w:t>
            </w:r>
          </w:p>
        </w:tc>
        <w:tc>
          <w:tcPr>
            <w:tcW w:type="dxa" w:w="2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Sube levemente: La Meca + Ormuz sin marco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Intercambio nuclear</w:t>
            </w:r>
          </w:p>
        </w:tc>
        <w:tc>
          <w:tcPr>
            <w:tcW w:type="dxa" w:w="10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&lt;1%</w:t>
            </w:r>
          </w:p>
        </w:tc>
        <w:tc>
          <w:tcPr>
            <w:tcW w:type="dxa" w:w="10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2–4%</w:t>
            </w:r>
          </w:p>
        </w:tc>
        <w:tc>
          <w:tcPr>
            <w:tcW w:type="dxa" w:w="10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5–8%</w:t>
            </w:r>
          </w:p>
        </w:tc>
        <w:tc>
          <w:tcPr>
            <w:tcW w:type="dxa" w:w="10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&lt;0.5%</w:t>
            </w:r>
          </w:p>
        </w:tc>
        <w:tc>
          <w:tcPr>
            <w:tcW w:type="dxa" w:w="1080"/>
            <w:tcBorders>
              <w:top w:val="single" w:color="CCCCCC" w:sz="1"/>
              <w:left w:val="single" w:color="CCCCCC" w:sz="1"/>
              <w:bottom w:val="single" w:color="CCCCCC" w:sz="1"/>
              <w:right w:val="single" w:color="CCCCCC" w:sz="1"/>
            </w:tcBorders>
            <w:shd w:fill="DFF0D8" w:val="clear"/>
            <w:tcMar>
              <w:top w:type="dxa" w:w="60"/>
              <w:left w:type="dxa" w:w="100"/>
              <w:bottom w:type="dxa" w:w="60"/>
              <w:right w:type="dxa" w:w="100"/>
            </w:tcMar>
            <w:vAlign w:val="center"/>
          </w:tcPr>
          <w:p>
            <w:pPr>
              <w:jc w:val="center"/>
            </w:pPr>
            <w:r>
              <w:rPr>
                <w:rFonts w:ascii="Arial" w:cs="Arial" w:eastAsia="Arial" w:hAnsi="Arial"/>
                <w:b/>
                <w:bCs/>
                <w:color w:val="2E6B3E"/>
                <w:sz w:val="18"/>
                <w:szCs w:val="18"/>
              </w:rPr>
              <w:t xml:space="preserve">&lt;0.5%</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Estable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5911" w:sz="3"/>
              <w:left w:val="single" w:color="C65911" w:sz="3"/>
              <w:bottom w:val="single" w:color="C65911" w:sz="3"/>
              <w:right w:val="single" w:color="C65911" w:sz="3"/>
            </w:tcBorders>
            <w:shd w:fill="FCE4D6" w:val="clear"/>
            <w:tcMar>
              <w:top w:type="dxa" w:w="140"/>
              <w:left w:type="dxa" w:w="200"/>
              <w:bottom w:type="dxa" w:w="140"/>
              <w:right w:type="dxa" w:w="200"/>
            </w:tcMar>
          </w:tcPr>
          <w:p>
            <w:pPr>
              <w:spacing w:after="80"/>
              <w:jc w:val="center"/>
            </w:pPr>
            <w:r>
              <w:rPr>
                <w:rFonts w:ascii="Arial" w:cs="Arial" w:eastAsia="Arial" w:hAnsi="Arial"/>
                <w:b/>
                <w:bCs/>
                <w:color w:val="8B1A1A"/>
                <w:sz w:val="23"/>
                <w:szCs w:val="23"/>
              </w:rPr>
              <w:t xml:space="preserve">JUICIO AGREGADO — ESCALADA A CONFLICTO GLOBAL (definición estricta)</w:t>
            </w:r>
          </w:p>
          <w:p>
            <w:pPr>
              <w:spacing w:after="80"/>
              <w:jc w:val="center"/>
            </w:pPr>
            <w:r>
              <w:rPr>
                <w:rFonts w:ascii="Arial" w:cs="Arial" w:eastAsia="Arial" w:hAnsi="Arial"/>
                <w:color w:val="555555"/>
                <w:sz w:val="26"/>
                <w:szCs w:val="26"/>
              </w:rPr>
              <w:t xml:space="preserve">3%</w:t>
            </w:r>
            <w:r>
              <w:rPr>
                <w:rFonts w:ascii="Arial" w:cs="Arial" w:eastAsia="Arial" w:hAnsi="Arial"/>
                <w:color w:val="555555"/>
                <w:sz w:val="26"/>
                <w:szCs w:val="26"/>
              </w:rPr>
              <w:t xml:space="preserve">  →  </w:t>
            </w:r>
            <w:r>
              <w:rPr>
                <w:rFonts w:ascii="Arial" w:cs="Arial" w:eastAsia="Arial" w:hAnsi="Arial"/>
                <w:b/>
                <w:bCs/>
                <w:color w:val="C65911"/>
                <w:sz w:val="44"/>
                <w:szCs w:val="44"/>
              </w:rPr>
              <w:t xml:space="preserve">4%</w:t>
            </w:r>
            <w:r>
              <w:rPr>
                <w:rFonts w:ascii="Arial" w:cs="Arial" w:eastAsia="Arial" w:hAnsi="Arial"/>
                <w:color w:val="555555"/>
                <w:sz w:val="20"/>
                <w:szCs w:val="20"/>
              </w:rPr>
              <w:t xml:space="preserve">  a 12 meses (sensibilidad 2–7%)</w:t>
            </w:r>
          </w:p>
          <w:p>
            <w:pPr>
              <w:jc w:val="center"/>
            </w:pPr>
            <w:r>
              <w:rPr>
                <w:rFonts w:ascii="Arial" w:cs="Arial" w:eastAsia="Arial" w:hAnsi="Arial"/>
                <w:i/>
                <w:iCs/>
                <w:color w:val="8B1A1A"/>
                <w:sz w:val="19"/>
                <w:szCs w:val="19"/>
              </w:rPr>
              <w:t xml:space="preserve">Ajuste al alza modesto respecto de la v7. Valor subjetivo estructurado; no se deriva mecánicamente del conteo de criterios y el horizonte original sigue abierto.</w:t>
            </w:r>
          </w:p>
        </w:tc>
      </w:tr>
    </w:tbl>
    <w:p>
      <w:pPr>
        <w:spacing w:after="60"/>
      </w:pPr>
    </w:p>
    <w:p>
      <w:pPr>
        <w:pStyle w:val="Heading2"/>
      </w:pPr>
      <w:r>
        <w:t xml:space="preserve">12.2 Justificación del ajuste al alza</w:t>
      </w:r>
    </w:p>
    <w:p>
      <w:pPr>
        <w:spacing w:after="120" w:line="276"/>
        <w:jc w:val="both"/>
      </w:pPr>
      <w:r>
        <w:rPr>
          <w:rFonts w:ascii="Arial" w:cs="Arial" w:eastAsia="Arial" w:hAnsi="Arial"/>
          <w:b/>
          <w:bCs/>
          <w:sz w:val="22"/>
          <w:szCs w:val="22"/>
        </w:rPr>
        <w:t xml:space="preserve">Factores que empujan al alza (agosto): </w:t>
      </w:r>
    </w:p>
    <w:p>
      <w:pPr>
        <w:pStyle w:val="ListParagraph"/>
        <w:numPr>
          <w:ilvl w:val="0"/>
          <w:numId w:val="2"/>
        </w:numPr>
        <w:spacing w:after="80"/>
      </w:pPr>
      <w:r>
        <w:rPr>
          <w:rFonts w:ascii="Arial" w:cs="Arial" w:eastAsia="Arial" w:hAnsi="Arial"/>
          <w:sz w:val="22"/>
          <w:szCs w:val="22"/>
        </w:rPr>
        <w:t xml:space="preserve">Expiración del plazo del memorándum sin acuerdo ni prórroga anunciada, con los dos puntos de bloqueo (Ormuz y fondos congelados) sin vía de resolución visible.</w:t>
      </w:r>
    </w:p>
    <w:p>
      <w:pPr>
        <w:pStyle w:val="ListParagraph"/>
        <w:numPr>
          <w:ilvl w:val="0"/>
          <w:numId w:val="2"/>
        </w:numPr>
        <w:spacing w:after="80"/>
      </w:pPr>
      <w:r>
        <w:rPr>
          <w:rFonts w:ascii="Arial" w:cs="Arial" w:eastAsia="Arial" w:hAnsi="Arial"/>
          <w:sz w:val="22"/>
          <w:szCs w:val="22"/>
        </w:rPr>
        <w:t xml:space="preserve">Amenaza explícita de Trump de atacar a Omán, degradando el mecanismo de mediación que produjo los dos altos el fuego previos.</w:t>
      </w:r>
    </w:p>
    <w:p>
      <w:pPr>
        <w:pStyle w:val="ListParagraph"/>
        <w:numPr>
          <w:ilvl w:val="0"/>
          <w:numId w:val="2"/>
        </w:numPr>
        <w:spacing w:after="80"/>
      </w:pPr>
      <w:r>
        <w:rPr>
          <w:rFonts w:ascii="Arial" w:cs="Arial" w:eastAsia="Arial" w:hAnsi="Arial"/>
          <w:sz w:val="22"/>
          <w:szCs w:val="22"/>
        </w:rPr>
        <w:t xml:space="preserve">El Acuerdo de La Meca vincula formalmente a una potencia nuclear (Pakistán) con la defensa de un beligerante activo (Arabia Saudita), creando un vector de escalada institucional que no existía en julio.</w:t>
      </w:r>
    </w:p>
    <w:p>
      <w:pPr>
        <w:pStyle w:val="ListParagraph"/>
        <w:numPr>
          <w:ilvl w:val="0"/>
          <w:numId w:val="2"/>
        </w:numPr>
        <w:spacing w:after="80"/>
      </w:pPr>
      <w:r>
        <w:rPr>
          <w:rFonts w:ascii="Arial" w:cs="Arial" w:eastAsia="Arial" w:hAnsi="Arial"/>
          <w:sz w:val="22"/>
          <w:szCs w:val="22"/>
        </w:rPr>
        <w:t xml:space="preserve">Arabia Saudita pasó de postura defensiva a participación en operaciones ofensivas junto a EE.UU. en Irak.</w:t>
      </w:r>
    </w:p>
    <w:p>
      <w:pPr>
        <w:pStyle w:val="ListParagraph"/>
        <w:numPr>
          <w:ilvl w:val="0"/>
          <w:numId w:val="2"/>
        </w:numPr>
        <w:spacing w:after="80"/>
      </w:pPr>
      <w:r>
        <w:rPr>
          <w:rFonts w:ascii="Arial" w:cs="Arial" w:eastAsia="Arial" w:hAnsi="Arial"/>
          <w:sz w:val="22"/>
          <w:szCs w:val="22"/>
        </w:rPr>
        <w:t xml:space="preserve">Tráfico de Ormuz en mínimo histórico (1 tránsito el 9 de agosto), con incidentes marítimos continuos.</w:t>
      </w:r>
    </w:p>
    <w:p>
      <w:pPr>
        <w:spacing w:after="120" w:line="276"/>
        <w:jc w:val="both"/>
      </w:pPr>
      <w:r>
        <w:rPr>
          <w:rFonts w:ascii="Arial" w:cs="Arial" w:eastAsia="Arial" w:hAnsi="Arial"/>
          <w:b/>
          <w:bCs/>
          <w:sz w:val="22"/>
          <w:szCs w:val="22"/>
        </w:rPr>
        <w:t xml:space="preserve">Factores que contienen el ajuste: </w:t>
      </w:r>
    </w:p>
    <w:p>
      <w:pPr>
        <w:pStyle w:val="ListParagraph"/>
        <w:numPr>
          <w:ilvl w:val="0"/>
          <w:numId w:val="2"/>
        </w:numPr>
        <w:spacing w:after="80"/>
      </w:pPr>
      <w:r>
        <w:rPr>
          <w:rFonts w:ascii="Arial" w:cs="Arial" w:eastAsia="Arial" w:hAnsi="Arial"/>
          <w:sz w:val="22"/>
          <w:szCs w:val="22"/>
        </w:rPr>
        <w:t xml:space="preserve">Rusia y China siguen sin trayectoria observable hacia beligerancia; ambas mantienen incentivos económicos para que el conflicto termine.</w:t>
      </w:r>
    </w:p>
    <w:p>
      <w:pPr>
        <w:pStyle w:val="ListParagraph"/>
        <w:numPr>
          <w:ilvl w:val="0"/>
          <w:numId w:val="2"/>
        </w:numPr>
        <w:spacing w:after="80"/>
      </w:pPr>
      <w:r>
        <w:rPr>
          <w:rFonts w:ascii="Arial" w:cs="Arial" w:eastAsia="Arial" w:hAnsi="Arial"/>
          <w:sz w:val="22"/>
          <w:szCs w:val="22"/>
        </w:rPr>
        <w:t xml:space="preserve">El texto del Acuerdo de La Meca no es público, sus compromisos son vagos y el único despliegue observado fue asesor, remunerado y posterior a un alto el fuego. Trump lo respaldó públicamente.</w:t>
      </w:r>
    </w:p>
    <w:p>
      <w:pPr>
        <w:pStyle w:val="ListParagraph"/>
        <w:numPr>
          <w:ilvl w:val="0"/>
          <w:numId w:val="2"/>
        </w:numPr>
        <w:spacing w:after="80"/>
      </w:pPr>
      <w:r>
        <w:rPr>
          <w:rFonts w:ascii="Arial" w:cs="Arial" w:eastAsia="Arial" w:hAnsi="Arial"/>
          <w:sz w:val="22"/>
          <w:szCs w:val="22"/>
        </w:rPr>
        <w:t xml:space="preserve">El canal Irán-Omán produjo un acuerdo técnico en principio y sigue vivo pese a la presión.</w:t>
      </w:r>
    </w:p>
    <w:p>
      <w:pPr>
        <w:pStyle w:val="ListParagraph"/>
        <w:numPr>
          <w:ilvl w:val="0"/>
          <w:numId w:val="2"/>
        </w:numPr>
        <w:spacing w:after="80"/>
      </w:pPr>
      <w:r>
        <w:rPr>
          <w:rFonts w:ascii="Arial" w:cs="Arial" w:eastAsia="Arial" w:hAnsi="Arial"/>
          <w:sz w:val="22"/>
          <w:szCs w:val="22"/>
        </w:rPr>
        <w:t xml:space="preserve">No ha habido recampaña aérea de la escala de julio en tres semanas; los límites de municiones y la presión legislativa persisten.</w:t>
      </w:r>
    </w:p>
    <w:p>
      <w:pPr>
        <w:pStyle w:val="ListParagraph"/>
        <w:numPr>
          <w:ilvl w:val="0"/>
          <w:numId w:val="2"/>
        </w:numPr>
        <w:spacing w:after="80"/>
      </w:pPr>
      <w:r>
        <w:rPr>
          <w:rFonts w:ascii="Arial" w:cs="Arial" w:eastAsia="Arial" w:hAnsi="Arial"/>
          <w:sz w:val="22"/>
          <w:szCs w:val="22"/>
        </w:rPr>
        <w:t xml:space="preserve">El mercado petrolero no reaccionó al vencimiento del plazo — señal de que los actores económicos no anticipan ruptura sistémica inminente.</w:t>
      </w:r>
    </w:p>
    <w:p>
      <w:pPr>
        <w:spacing w:after="120" w:line="276"/>
        <w:jc w:val="both"/>
      </w:pPr>
      <w:r>
        <w:rPr>
          <w:rFonts w:ascii="Arial" w:cs="Arial" w:eastAsia="Arial" w:hAnsi="Arial"/>
          <w:i/>
          <w:iCs/>
          <w:color w:val="555555"/>
          <w:sz w:val="22"/>
          <w:szCs w:val="22"/>
        </w:rPr>
        <w:t xml:space="preserve">El desplazamiento de 3% a 4% con sensibilidad ampliada a 2–7% refleja mayor incertidumbre, no una convicción de escalada. La v7 advirtió del riesgo de sobrecorregir a la baja; este ajuste responde a esa advertencia sin retornar a la lógica extrapolativa de marzo.</w:t>
      </w:r>
    </w:p>
    <w:p>
      <w:r>
        <w:br w:type="page"/>
      </w:r>
    </w:p>
    <w:p>
      <w:pPr>
        <w:pStyle w:val="Heading1"/>
      </w:pPr>
      <w:r>
        <w:t xml:space="preserve">13. Trigger points vigentes</w:t>
      </w:r>
    </w:p>
    <w:p>
      <w:pPr>
        <w:pStyle w:val="ListParagraph"/>
        <w:numPr>
          <w:ilvl w:val="0"/>
          <w:numId w:val="4"/>
        </w:numPr>
        <w:spacing w:after="100"/>
      </w:pPr>
      <w:r>
        <w:rPr>
          <w:rFonts w:ascii="Arial" w:cs="Arial" w:eastAsia="Arial" w:hAnsi="Arial"/>
          <w:b/>
          <w:bCs/>
          <w:sz w:val="22"/>
          <w:szCs w:val="22"/>
        </w:rPr>
        <w:t xml:space="preserve">Ruptura del canal omání. </w:t>
      </w:r>
      <w:r>
        <w:rPr>
          <w:rFonts w:ascii="Arial" w:cs="Arial" w:eastAsia="Arial" w:hAnsi="Arial"/>
          <w:sz w:val="22"/>
          <w:szCs w:val="22"/>
        </w:rPr>
        <w:t xml:space="preserve">NUEVO Y PRIORITARIO. Si EE.UU. actúa contra Omán o Mascate se retira de la mediación, desaparece el único mecanismo técnico que ha producido acuerdos sobre navegación. Es el trigger de mayor probabilidad y menor coste de activación.</w:t>
      </w:r>
    </w:p>
    <w:p>
      <w:pPr>
        <w:pStyle w:val="ListParagraph"/>
        <w:numPr>
          <w:ilvl w:val="0"/>
          <w:numId w:val="4"/>
        </w:numPr>
        <w:spacing w:after="100"/>
      </w:pPr>
      <w:r>
        <w:rPr>
          <w:rFonts w:ascii="Arial" w:cs="Arial" w:eastAsia="Arial" w:hAnsi="Arial"/>
          <w:b/>
          <w:bCs/>
          <w:sz w:val="22"/>
          <w:szCs w:val="22"/>
        </w:rPr>
        <w:t xml:space="preserve">Recampaña mayor y ataque a Pickaxe Mountain. </w:t>
      </w:r>
      <w:r>
        <w:rPr>
          <w:rFonts w:ascii="Arial" w:cs="Arial" w:eastAsia="Arial" w:hAnsi="Arial"/>
          <w:sz w:val="22"/>
          <w:szCs w:val="22"/>
        </w:rPr>
        <w:t xml:space="preserve">Trump amenaza con atacar el sitio nuclear subterráneo y con destruir infraestructura civil. Un ataque a instalaciones nucleares profundas elevaría el riesgo radiológico y la respuesta iraní.</w:t>
      </w:r>
    </w:p>
    <w:p>
      <w:pPr>
        <w:pStyle w:val="ListParagraph"/>
        <w:numPr>
          <w:ilvl w:val="0"/>
          <w:numId w:val="4"/>
        </w:numPr>
        <w:spacing w:after="100"/>
      </w:pPr>
      <w:r>
        <w:rPr>
          <w:rFonts w:ascii="Arial" w:cs="Arial" w:eastAsia="Arial" w:hAnsi="Arial"/>
          <w:b/>
          <w:bCs/>
          <w:sz w:val="22"/>
          <w:szCs w:val="22"/>
        </w:rPr>
        <w:t xml:space="preserve">Incidente naval mayor en Ormuz con bajas de terceros. </w:t>
      </w:r>
      <w:r>
        <w:rPr>
          <w:rFonts w:ascii="Arial" w:cs="Arial" w:eastAsia="Arial" w:hAnsi="Arial"/>
          <w:sz w:val="22"/>
          <w:szCs w:val="22"/>
        </w:rPr>
        <w:t xml:space="preserve">Un hundimiento con víctimas de un país asiático grande forzaría respuestas de actores hasta ahora pasivos. Ya hubo un buque atacado el 18 de agosto.</w:t>
      </w:r>
    </w:p>
    <w:p>
      <w:pPr>
        <w:pStyle w:val="ListParagraph"/>
        <w:numPr>
          <w:ilvl w:val="0"/>
          <w:numId w:val="4"/>
        </w:numPr>
        <w:spacing w:after="100"/>
      </w:pPr>
      <w:r>
        <w:rPr>
          <w:rFonts w:ascii="Arial" w:cs="Arial" w:eastAsia="Arial" w:hAnsi="Arial"/>
          <w:b/>
          <w:bCs/>
          <w:sz w:val="22"/>
          <w:szCs w:val="22"/>
        </w:rPr>
        <w:t xml:space="preserve">Activación invocada del Acuerdo de La Meca. </w:t>
      </w:r>
      <w:r>
        <w:rPr>
          <w:rFonts w:ascii="Arial" w:cs="Arial" w:eastAsia="Arial" w:hAnsi="Arial"/>
          <w:sz w:val="22"/>
          <w:szCs w:val="22"/>
        </w:rPr>
        <w:t xml:space="preserve">NUEVO. Si Arabia Saudita sufre un ataque mayor e invoca la cláusula, se comprobará si el pacto es vinculante o declarativo. Una activación efectiva involucraría a Pakistán — potencia nuclear — y a Turquía — miembro de la OTAN — simultáneamente.</w:t>
      </w:r>
    </w:p>
    <w:p>
      <w:pPr>
        <w:pStyle w:val="ListParagraph"/>
        <w:numPr>
          <w:ilvl w:val="0"/>
          <w:numId w:val="4"/>
        </w:numPr>
        <w:spacing w:after="100"/>
      </w:pPr>
      <w:r>
        <w:rPr>
          <w:rFonts w:ascii="Arial" w:cs="Arial" w:eastAsia="Arial" w:hAnsi="Arial"/>
          <w:b/>
          <w:bCs/>
          <w:sz w:val="22"/>
          <w:szCs w:val="22"/>
        </w:rPr>
        <w:t xml:space="preserve">Fracaso del marco libanés y reanudación de Hezbollah. </w:t>
      </w:r>
      <w:r>
        <w:rPr>
          <w:rFonts w:ascii="Arial" w:cs="Arial" w:eastAsia="Arial" w:hAnsi="Arial"/>
          <w:sz w:val="22"/>
          <w:szCs w:val="22"/>
        </w:rPr>
        <w:t xml:space="preserve">El desarme es la precondición del acuerdo y Hezbollah no lo ha aceptado. Una reanudación plena reabriría el teatro más letal de la guerra.</w:t>
      </w:r>
    </w:p>
    <w:p>
      <w:pPr>
        <w:pStyle w:val="ListParagraph"/>
        <w:numPr>
          <w:ilvl w:val="0"/>
          <w:numId w:val="4"/>
        </w:numPr>
        <w:spacing w:after="100"/>
      </w:pPr>
      <w:r>
        <w:rPr>
          <w:rFonts w:ascii="Arial" w:cs="Arial" w:eastAsia="Arial" w:hAnsi="Arial"/>
          <w:b/>
          <w:bCs/>
          <w:sz w:val="22"/>
          <w:szCs w:val="22"/>
        </w:rPr>
        <w:t xml:space="preserve">Septiembre 2026: retirada de la coalición del Kurdistán iraquí. </w:t>
      </w:r>
      <w:r>
        <w:rPr>
          <w:rFonts w:ascii="Arial" w:cs="Arial" w:eastAsia="Arial" w:hAnsi="Arial"/>
          <w:sz w:val="22"/>
          <w:szCs w:val="22"/>
        </w:rPr>
        <w:t xml:space="preserve">Fecha programada con la disputa sobre desarme de milicias sin resolver. Vacío de seguridad previsible en semanas.</w:t>
      </w:r>
    </w:p>
    <w:p>
      <w:pPr>
        <w:pStyle w:val="ListParagraph"/>
        <w:numPr>
          <w:ilvl w:val="0"/>
          <w:numId w:val="4"/>
        </w:numPr>
        <w:spacing w:after="100"/>
      </w:pPr>
      <w:r>
        <w:rPr>
          <w:rFonts w:ascii="Arial" w:cs="Arial" w:eastAsia="Arial" w:hAnsi="Arial"/>
          <w:b/>
          <w:bCs/>
          <w:sz w:val="22"/>
          <w:szCs w:val="22"/>
        </w:rPr>
        <w:t xml:space="preserve">Escalada hutí–saudí sobre infraestructura petrolera. </w:t>
      </w:r>
      <w:r>
        <w:rPr>
          <w:rFonts w:ascii="Arial" w:cs="Arial" w:eastAsia="Arial" w:hAnsi="Arial"/>
          <w:sz w:val="22"/>
          <w:szCs w:val="22"/>
        </w:rPr>
        <w:t xml:space="preserve">El ataque a Yanbu — ~92% de las exportaciones saudíes por mar — fue interceptado. Un impacto exitoso sacaría del mercado el principal sustituto del crudo del Golfo.</w:t>
      </w:r>
    </w:p>
    <w:p>
      <w:pPr>
        <w:pStyle w:val="ListParagraph"/>
        <w:numPr>
          <w:ilvl w:val="0"/>
          <w:numId w:val="4"/>
        </w:numPr>
        <w:spacing w:after="100"/>
      </w:pPr>
      <w:r>
        <w:rPr>
          <w:rFonts w:ascii="Arial" w:cs="Arial" w:eastAsia="Arial" w:hAnsi="Arial"/>
          <w:b/>
          <w:bCs/>
          <w:sz w:val="22"/>
          <w:szCs w:val="22"/>
        </w:rPr>
        <w:t xml:space="preserve">Proliferación en cascada. </w:t>
      </w:r>
      <w:r>
        <w:rPr>
          <w:rFonts w:ascii="Arial" w:cs="Arial" w:eastAsia="Arial" w:hAnsi="Arial"/>
          <w:sz w:val="22"/>
          <w:szCs w:val="22"/>
        </w:rPr>
        <w:t xml:space="preserve">El acuerdo nuclear EE.UU.–Arabia Saudita con enriquecimiento en suelo saudí, más la ambigüedad del paraguas pakistaní, más un Irán sin acuerdo y con instalaciones dañadas pero no eliminadas. Efecto a años, no a meses, pero es el legado más duradero del conflicto.</w:t>
      </w:r>
    </w:p>
    <w:p>
      <w:pPr>
        <w:pStyle w:val="ListParagraph"/>
        <w:numPr>
          <w:ilvl w:val="0"/>
          <w:numId w:val="4"/>
        </w:numPr>
        <w:spacing w:after="100"/>
      </w:pPr>
      <w:r>
        <w:rPr>
          <w:rFonts w:ascii="Arial" w:cs="Arial" w:eastAsia="Arial" w:hAnsi="Arial"/>
          <w:b/>
          <w:bCs/>
          <w:sz w:val="22"/>
          <w:szCs w:val="22"/>
        </w:rPr>
        <w:t xml:space="preserve">Ruptura Trump–Netanyahu con acción israelí unilateral. </w:t>
      </w:r>
      <w:r>
        <w:rPr>
          <w:rFonts w:ascii="Arial" w:cs="Arial" w:eastAsia="Arial" w:hAnsi="Arial"/>
          <w:sz w:val="22"/>
          <w:szCs w:val="22"/>
        </w:rPr>
        <w:t xml:space="preserve">Si Israel actúa por su cuenta contra la preferencia estadounidense, se rompe la coordinación que ha mantenido el conflicto acotado.</w:t>
      </w:r>
    </w:p>
    <w:p>
      <w:pPr>
        <w:pStyle w:val="Heading1"/>
      </w:pPr>
      <w:r>
        <w:t xml:space="preserve">14. Escenarios prospectivos (agosto – diciembre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6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Estado dominante al 31 dic 2026</w:t>
            </w:r>
          </w:p>
        </w:tc>
        <w:tc>
          <w:tcPr>
            <w:tcW w:type="dxa" w:w="1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Prob.</w:t>
            </w:r>
          </w:p>
        </w:tc>
        <w:tc>
          <w:tcPr>
            <w:tcW w:type="dxa" w:w="5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 y señales de verificación</w:t>
            </w:r>
          </w:p>
        </w:tc>
      </w:tr>
      <w:tr>
        <w:tc>
          <w:tcPr>
            <w:tcW w:type="dxa" w:w="2400"/>
            <w:tcBorders>
              <w:top w:val="single" w:color="CCCCCC" w:sz="1"/>
              <w:left w:val="single" w:color="CCCCCC" w:sz="1"/>
              <w:bottom w:val="single" w:color="CCCCCC" w:sz="1"/>
              <w:right w:val="single" w:color="CCCCCC" w:sz="1"/>
            </w:tcBorders>
            <w:shd w:fill="DFF0D8"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Acuerdo marco estable</w:t>
            </w:r>
          </w:p>
        </w:tc>
        <w:tc>
          <w:tcPr>
            <w:tcW w:type="dxa" w:w="1300"/>
            <w:tcBorders>
              <w:top w:val="single" w:color="CCCCCC" w:sz="1"/>
              <w:left w:val="single" w:color="CCCCCC" w:sz="1"/>
              <w:bottom w:val="single" w:color="CCCCCC" w:sz="1"/>
              <w:right w:val="single" w:color="CCCCCC" w:sz="1"/>
            </w:tcBorders>
            <w:shd w:fill="DFF0D8" w:val="clear"/>
            <w:tcMar>
              <w:top w:type="dxa" w:w="60"/>
              <w:left w:type="dxa" w:w="100"/>
              <w:bottom w:type="dxa" w:w="60"/>
              <w:right w:type="dxa" w:w="100"/>
            </w:tcMar>
            <w:vAlign w:val="center"/>
          </w:tcPr>
          <w:p>
            <w:pPr>
              <w:jc w:val="center"/>
            </w:pPr>
            <w:r>
              <w:rPr>
                <w:rFonts w:ascii="Arial" w:cs="Arial" w:eastAsia="Arial" w:hAnsi="Arial"/>
                <w:b/>
                <w:bCs/>
                <w:color w:val="2E6B3E"/>
                <w:sz w:val="18"/>
                <w:szCs w:val="18"/>
              </w:rPr>
              <w:t xml:space="preserve">18%</w:t>
            </w:r>
          </w:p>
        </w:tc>
        <w:tc>
          <w:tcPr>
            <w:tcW w:type="dxa" w:w="5660"/>
            <w:tcBorders>
              <w:top w:val="single" w:color="CCCCCC" w:sz="1"/>
              <w:left w:val="single" w:color="CCCCCC" w:sz="1"/>
              <w:bottom w:val="single" w:color="CCCCCC" w:sz="1"/>
              <w:right w:val="single" w:color="CCCCCC" w:sz="1"/>
            </w:tcBorders>
            <w:shd w:fill="DFF0D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Cese formal, reapertura verificable de Ormuz y negociación nuclear activa. Señal: media móvil de 7 días de tránsitos sobre 30. Baja desde 25% en v7 por la expiración del plazo.</w:t>
            </w:r>
          </w:p>
        </w:tc>
      </w:tr>
      <w:tr>
        <w:tc>
          <w:tcPr>
            <w:tcW w:type="dxa" w:w="24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Congelamiento sin acuerdo</w:t>
            </w:r>
          </w:p>
        </w:tc>
        <w:tc>
          <w:tcPr>
            <w:tcW w:type="dxa" w:w="13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65911"/>
                <w:sz w:val="18"/>
                <w:szCs w:val="18"/>
              </w:rPr>
              <w:t xml:space="preserve">46%</w:t>
            </w:r>
          </w:p>
        </w:tc>
        <w:tc>
          <w:tcPr>
            <w:tcW w:type="dxa" w:w="56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ESCENARIO MODAL, REFORZADO. Baja intensidad sostenida, Ormuz parcialmente funcional bajo régimen de facto iraní, sin acuerdo nuclear. El desacoplamiento del precio respecto de los hitos diplomáticos sugiere que el mercado ya lo asume.</w:t>
            </w:r>
          </w:p>
        </w:tc>
      </w:tr>
      <w:tr>
        <w:tc>
          <w:tcPr>
            <w:tcW w:type="dxa" w:w="2400"/>
            <w:tcBorders>
              <w:top w:val="single" w:color="CCCCCC" w:sz="1"/>
              <w:left w:val="single" w:color="CCCCCC" w:sz="1"/>
              <w:bottom w:val="single" w:color="CCCCCC" w:sz="1"/>
              <w:right w:val="single" w:color="CCCCCC" w:sz="1"/>
            </w:tcBorders>
            <w:shd w:fill="F2DCDB"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Recampaña regional sin cambio de régimen</w:t>
            </w:r>
          </w:p>
        </w:tc>
        <w:tc>
          <w:tcPr>
            <w:tcW w:type="dxa" w:w="1300"/>
            <w:tcBorders>
              <w:top w:val="single" w:color="CCCCCC" w:sz="1"/>
              <w:left w:val="single" w:color="CCCCCC" w:sz="1"/>
              <w:bottom w:val="single" w:color="CCCCCC" w:sz="1"/>
              <w:right w:val="single" w:color="CCCCCC" w:sz="1"/>
            </w:tcBorders>
            <w:shd w:fill="F2DCDB" w:val="clear"/>
            <w:tcMar>
              <w:top w:type="dxa" w:w="60"/>
              <w:left w:type="dxa" w:w="100"/>
              <w:bottom w:type="dxa" w:w="60"/>
              <w:right w:type="dxa" w:w="100"/>
            </w:tcMar>
            <w:vAlign w:val="center"/>
          </w:tcPr>
          <w:p>
            <w:pPr>
              <w:jc w:val="center"/>
            </w:pPr>
            <w:r>
              <w:rPr>
                <w:rFonts w:ascii="Arial" w:cs="Arial" w:eastAsia="Arial" w:hAnsi="Arial"/>
                <w:b/>
                <w:bCs/>
                <w:color w:val="8B1A1A"/>
                <w:sz w:val="18"/>
                <w:szCs w:val="18"/>
              </w:rPr>
              <w:t xml:space="preserve">26%</w:t>
            </w:r>
          </w:p>
        </w:tc>
        <w:tc>
          <w:tcPr>
            <w:tcW w:type="dxa" w:w="5660"/>
            <w:tcBorders>
              <w:top w:val="single" w:color="CCCCCC" w:sz="1"/>
              <w:left w:val="single" w:color="CCCCCC" w:sz="1"/>
              <w:bottom w:val="single" w:color="CCCCCC" w:sz="1"/>
              <w:right w:val="single" w:color="CCCCCC" w:sz="1"/>
            </w:tcBorders>
            <w:shd w:fill="F2DCD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Nuevo ciclo mayor de ataques limitado al teatro regional. Precedente: ya ocurrió dos veces. Limitado por inventarios de municiones y presión legislativa.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Cambio de régimen sin escalada global</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6%</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Colapso o sucesión forzada dentro de Irán. El régimen ha mostrado cohesión tras la decapitación de febrero y reprimió las protestas iniciadas en diciembre de 2025 con ejecuciones.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Escalada a conflicto global</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4%</w:t>
            </w:r>
          </w:p>
        </w:tc>
        <w:tc>
          <w:tcPr>
            <w:tcW w:type="dxa" w:w="5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Entrada beligerante directa de una potencia nuclear externa. Señales previas esperables con semanas de antelación: movilización, evacuaciones diplomáticas masivas, activación formal de tratados.</w:t>
            </w:r>
          </w:p>
        </w:tc>
      </w:tr>
    </w:tbl>
    <w:p>
      <w:pPr>
        <w:spacing w:after="60"/>
      </w:pPr>
    </w:p>
    <w:p>
      <w:pPr>
        <w:pStyle w:val="Heading1"/>
      </w:pPr>
      <w:r>
        <w:t xml:space="preserve">15. Caveats metodológicos</w:t>
      </w:r>
    </w:p>
    <w:p>
      <w:pPr>
        <w:pStyle w:val="ListParagraph"/>
        <w:numPr>
          <w:ilvl w:val="0"/>
          <w:numId w:val="5"/>
        </w:numPr>
        <w:spacing w:after="100"/>
      </w:pPr>
      <w:r>
        <w:rPr>
          <w:rFonts w:ascii="Arial" w:cs="Arial" w:eastAsia="Arial" w:hAnsi="Arial"/>
          <w:b/>
          <w:bCs/>
          <w:sz w:val="22"/>
          <w:szCs w:val="22"/>
        </w:rPr>
        <w:t xml:space="preserve">Riesgo bidireccional de corrección. </w:t>
      </w:r>
      <w:r>
        <w:rPr>
          <w:rFonts w:ascii="Arial" w:cs="Arial" w:eastAsia="Arial" w:hAnsi="Arial"/>
          <w:sz w:val="22"/>
          <w:szCs w:val="22"/>
        </w:rPr>
        <w:t xml:space="preserve">Tras la sobreestimación de marzo existe riesgo de sobrecorregir a la baja; tras el ajuste al alza de agosto existe riesgo de reanudar la extrapolación. El juicio central de 4% no es cero ni tendencia.</w:t>
      </w:r>
    </w:p>
    <w:p>
      <w:pPr>
        <w:pStyle w:val="ListParagraph"/>
        <w:numPr>
          <w:ilvl w:val="0"/>
          <w:numId w:val="5"/>
        </w:numPr>
        <w:spacing w:after="100"/>
      </w:pPr>
      <w:r>
        <w:rPr>
          <w:rFonts w:ascii="Arial" w:cs="Arial" w:eastAsia="Arial" w:hAnsi="Arial"/>
          <w:b/>
          <w:bCs/>
          <w:sz w:val="22"/>
          <w:szCs w:val="22"/>
        </w:rPr>
        <w:t xml:space="preserve">Documento clave no público. </w:t>
      </w:r>
      <w:r>
        <w:rPr>
          <w:rFonts w:ascii="Arial" w:cs="Arial" w:eastAsia="Arial" w:hAnsi="Arial"/>
          <w:sz w:val="22"/>
          <w:szCs w:val="22"/>
        </w:rPr>
        <w:t xml:space="preserve">El texto del Acuerdo de La Meca no ha sido publicado. Toda evaluación de su alcance es provisional y basada en declaraciones oficiales y lectura de analistas.</w:t>
      </w:r>
    </w:p>
    <w:p>
      <w:pPr>
        <w:pStyle w:val="ListParagraph"/>
        <w:numPr>
          <w:ilvl w:val="0"/>
          <w:numId w:val="5"/>
        </w:numPr>
        <w:spacing w:after="100"/>
      </w:pPr>
      <w:r>
        <w:rPr>
          <w:rFonts w:ascii="Arial" w:cs="Arial" w:eastAsia="Arial" w:hAnsi="Arial"/>
          <w:b/>
          <w:bCs/>
          <w:sz w:val="22"/>
          <w:szCs w:val="22"/>
        </w:rPr>
        <w:t xml:space="preserve">Cifras en disputa y desactualizadas. </w:t>
      </w:r>
      <w:r>
        <w:rPr>
          <w:rFonts w:ascii="Arial" w:cs="Arial" w:eastAsia="Arial" w:hAnsi="Arial"/>
          <w:sz w:val="22"/>
          <w:szCs w:val="22"/>
        </w:rPr>
        <w:t xml:space="preserve">La última reconciliación cruzada de bajas es del 20 de julio. Las cifras del Día 172 son necesariamente un piso. El Pentágono retiró 4 muertos de su recuento el 26 de julio.</w:t>
      </w:r>
    </w:p>
    <w:p>
      <w:pPr>
        <w:pStyle w:val="ListParagraph"/>
        <w:numPr>
          <w:ilvl w:val="0"/>
          <w:numId w:val="5"/>
        </w:numPr>
        <w:spacing w:after="100"/>
      </w:pPr>
      <w:r>
        <w:rPr>
          <w:rFonts w:ascii="Arial" w:cs="Arial" w:eastAsia="Arial" w:hAnsi="Arial"/>
          <w:b/>
          <w:bCs/>
          <w:sz w:val="22"/>
          <w:szCs w:val="22"/>
        </w:rPr>
        <w:t xml:space="preserve">Fuentes abiertas únicamente. </w:t>
      </w:r>
      <w:r>
        <w:rPr>
          <w:rFonts w:ascii="Arial" w:cs="Arial" w:eastAsia="Arial" w:hAnsi="Arial"/>
          <w:sz w:val="22"/>
          <w:szCs w:val="22"/>
        </w:rPr>
        <w:t xml:space="preserve">Sin inteligencia clasificada. Las capacidades reales iraníes, el estado del programa nuclear y el contenido de las negociaciones no son públicamente verificables.</w:t>
      </w:r>
    </w:p>
    <w:p>
      <w:pPr>
        <w:pStyle w:val="ListParagraph"/>
        <w:numPr>
          <w:ilvl w:val="0"/>
          <w:numId w:val="5"/>
        </w:numPr>
        <w:spacing w:after="100"/>
      </w:pPr>
      <w:r>
        <w:rPr>
          <w:rFonts w:ascii="Arial" w:cs="Arial" w:eastAsia="Arial" w:hAnsi="Arial"/>
          <w:b/>
          <w:bCs/>
          <w:sz w:val="22"/>
          <w:szCs w:val="22"/>
        </w:rPr>
        <w:t xml:space="preserve">Estado altamente volátil. </w:t>
      </w:r>
      <w:r>
        <w:rPr>
          <w:rFonts w:ascii="Arial" w:cs="Arial" w:eastAsia="Arial" w:hAnsi="Arial"/>
          <w:sz w:val="22"/>
          <w:szCs w:val="22"/>
        </w:rPr>
        <w:t xml:space="preserve">El plazo expiró hace un día y hubo un ataque a un buque hoy. La situación puede revertirse en horas, como ya ocurrió el 18 de abril y el 5 de julio.</w:t>
      </w:r>
    </w:p>
    <w:p>
      <w:pPr>
        <w:pStyle w:val="ListParagraph"/>
        <w:numPr>
          <w:ilvl w:val="0"/>
          <w:numId w:val="5"/>
        </w:numPr>
        <w:spacing w:after="100"/>
      </w:pPr>
      <w:r>
        <w:rPr>
          <w:rFonts w:ascii="Arial" w:cs="Arial" w:eastAsia="Arial" w:hAnsi="Arial"/>
          <w:b/>
          <w:bCs/>
          <w:sz w:val="22"/>
          <w:szCs w:val="22"/>
        </w:rPr>
        <w:t xml:space="preserve">Base empírica limitada. </w:t>
      </w:r>
      <w:r>
        <w:rPr>
          <w:rFonts w:ascii="Arial" w:cs="Arial" w:eastAsia="Arial" w:hAnsi="Arial"/>
          <w:sz w:val="22"/>
          <w:szCs w:val="22"/>
        </w:rPr>
        <w:t xml:space="preserve">La clase de referencia es pequeña y heterogénea. Sin priors, verosimilitudes ni reglas de actualización explícitas, no corresponde describir el ejercicio como bayesiano formal.</w:t>
      </w:r>
    </w:p>
    <w:p>
      <w:pPr>
        <w:pStyle w:val="ListParagraph"/>
        <w:numPr>
          <w:ilvl w:val="0"/>
          <w:numId w:val="5"/>
        </w:numPr>
        <w:spacing w:after="100"/>
      </w:pPr>
      <w:r>
        <w:rPr>
          <w:rFonts w:ascii="Arial" w:cs="Arial" w:eastAsia="Arial" w:hAnsi="Arial"/>
          <w:b/>
          <w:bCs/>
          <w:sz w:val="22"/>
          <w:szCs w:val="22"/>
        </w:rPr>
        <w:t xml:space="preserve">Naturaleza del ejercicio. </w:t>
      </w:r>
      <w:r>
        <w:rPr>
          <w:rFonts w:ascii="Arial" w:cs="Arial" w:eastAsia="Arial" w:hAnsi="Arial"/>
          <w:sz w:val="22"/>
          <w:szCs w:val="22"/>
        </w:rPr>
        <w:t xml:space="preserve">Documento analítico y juicio probabilístico estructurado. Su valor principal es documentar sesgos, señales y revisiones; no demostrar calibración estadística.</w:t>
      </w:r>
    </w:p>
    <w:p>
      <w:r>
        <w:br w:type="page"/>
      </w:r>
    </w:p>
    <w:p>
      <w:pPr>
        <w:pStyle w:val="Heading1"/>
      </w:pPr>
      <w:r>
        <w:t xml:space="preserve">16. Conclusión</w:t>
      </w:r>
    </w:p>
    <w:p>
      <w:pPr>
        <w:spacing w:after="120" w:line="276"/>
        <w:jc w:val="both"/>
      </w:pPr>
      <w:r>
        <w:rPr>
          <w:rFonts w:ascii="Arial" w:cs="Arial" w:eastAsia="Arial" w:hAnsi="Arial"/>
          <w:sz w:val="22"/>
          <w:szCs w:val="22"/>
        </w:rPr>
        <w:t xml:space="preserve">A ciento setenta y dos días, la guerra sigue siendo una catástrofe regional y no una guerra mundial. Agosto no cambió esa naturaleza, pero sí cerró la ventana diplomática que se había abierto en junio: el plazo del Memorándum de Islamabad expiró el 17 sin acuerdo ni prórroga, y el bloqueo no fue el programa nuclear — objeto declarado de la negociación — sino la gestión del Estrecho de Ormuz y los fondos iraníes congelados.</w:t>
      </w:r>
    </w:p>
    <w:p>
      <w:pPr>
        <w:spacing w:after="120" w:line="276"/>
        <w:jc w:val="both"/>
      </w:pPr>
      <w:r>
        <w:rPr>
          <w:rFonts w:ascii="Arial" w:cs="Arial" w:eastAsia="Arial" w:hAnsi="Arial"/>
          <w:sz w:val="22"/>
          <w:szCs w:val="22"/>
        </w:rPr>
        <w:t xml:space="preserve">El patrón cíclico identificado en la v7 se confirma con una variante. Las Fases I a V mostraron escalada, negociación, acuerdo parcial y recaída. La Fase VI añade un cuarto tiempo: negociación prolongada que produce acuerdos técnicos en principio pero no ejecutables, porque el desacuerdo de fondo es de soberanía y no de procedimiento. Irán exige una tarifa del 7% del valor de carga y control sobre la navegación; EE.UU. rechaza cualquier peaje obligatorio. Ese es el nudo, y no tiene solución técnica.</w:t>
      </w:r>
    </w:p>
    <w:p>
      <w:pPr>
        <w:spacing w:after="120" w:line="276"/>
        <w:jc w:val="both"/>
      </w:pPr>
      <w:r>
        <w:rPr>
          <w:rFonts w:ascii="Arial" w:cs="Arial" w:eastAsia="Arial" w:hAnsi="Arial"/>
          <w:sz w:val="22"/>
          <w:szCs w:val="22"/>
        </w:rPr>
        <w:t xml:space="preserve">El Acuerdo de La Meca es el desarrollo estructural del mes y merece lectura sobria. Introduce una cláusula de defensa colectiva que vincula formalmente a Pakistán — única potencia nuclear de mayoría musulmana — con la seguridad de Arabia Saudita, que en julio dejó de ser observador para participar en ataques junto a EE.UU. en Irak. Ese es un vector nuevo. Pero su texto no es público, sus compromisos son vagos, el único despliegue pakistaní observado fue asesor, remunerado y posterior a un alto el fuego, y Trump lo respaldó públicamente. Tratarlo como el acta de defunción de la hegemonía estadounidense en la región es ir muy por delante de la evidencia.</w:t>
      </w:r>
    </w:p>
    <w:p>
      <w:pPr>
        <w:spacing w:after="120" w:line="276"/>
        <w:jc w:val="both"/>
      </w:pPr>
      <w:r>
        <w:rPr>
          <w:rFonts w:ascii="Arial" w:cs="Arial" w:eastAsia="Arial" w:hAnsi="Arial"/>
          <w:b/>
          <w:bCs/>
          <w:sz w:val="22"/>
          <w:szCs w:val="22"/>
        </w:rPr>
        <w:t xml:space="preserve">El escenario dominante sigue siendo el congelamiento sin resolución, ahora con 46%. </w:t>
      </w:r>
      <w:r>
        <w:rPr>
          <w:rFonts w:ascii="Arial" w:cs="Arial" w:eastAsia="Arial" w:hAnsi="Arial"/>
          <w:sz w:val="22"/>
          <w:szCs w:val="22"/>
        </w:rPr>
        <w:t xml:space="preserve">La señal más reveladora de agosto no es diplomática sino de mercado: el Brent se mantuvo en $87–90 durante el vencimiento del plazo, con el tráfico de Ormuz en su mínimo histórico. Los operadores han dejado de valorar los hitos negociadores y han internalizado un equilibrio de cierre prolongado. Cuando el mercado deja de reaccionar a la diplomacia, la diplomacia ha dejado de ser la variable relevante.</w:t>
      </w:r>
    </w:p>
    <w:p>
      <w:pPr>
        <w:spacing w:after="120" w:line="276"/>
        <w:jc w:val="both"/>
      </w:pPr>
      <w:r>
        <w:rPr>
          <w:rFonts w:ascii="Arial" w:cs="Arial" w:eastAsia="Arial" w:hAnsi="Arial"/>
          <w:b/>
          <w:bCs/>
          <w:color w:val="1B3A5C"/>
          <w:sz w:val="22"/>
          <w:szCs w:val="22"/>
        </w:rPr>
        <w:t xml:space="preserve">Prioridad de vigilancia para los próximos 60 días: </w:t>
      </w:r>
      <w:r>
        <w:rPr>
          <w:rFonts w:ascii="Arial" w:cs="Arial" w:eastAsia="Arial" w:hAnsi="Arial"/>
          <w:sz w:val="22"/>
          <w:szCs w:val="22"/>
        </w:rPr>
        <w:t xml:space="preserve">(1) si Omán continúa mediando tras la amenaza de Trump; (2) si se anuncia una prórroga del plazo o un marco sustituto; (3) la media móvil de tránsitos por Ormuz — sobre 30 indica acuerdo real, bajo 15 indica guerra en curso; (4) el destino del marco libanés de desarme; y (5) la retirada de la coalición del Kurdistán iraquí en septiembre. Ninguna de estas variables es un indicador de guerra mundial. Todas son indicadores de si esta guerra termina o se vuelve permanente.</w:t>
      </w:r>
    </w:p>
    <w:p>
      <w:pPr>
        <w:spacing w:after="60"/>
      </w:pPr>
    </w:p>
    <w:p>
      <w:pPr>
        <w:pBdr>
          <w:top w:val="single" w:color="555555" w:sz="2" w:space="1"/>
        </w:pBdr>
        <w:spacing w:after="80" w:before="240"/>
      </w:pPr>
      <w:r>
        <w:rPr>
          <w:rFonts w:ascii="Arial" w:cs="Arial" w:eastAsia="Arial" w:hAnsi="Arial"/>
          <w:b/>
          <w:bCs/>
          <w:color w:val="555555"/>
          <w:sz w:val="18"/>
          <w:szCs w:val="18"/>
        </w:rPr>
        <w:t xml:space="preserve">Fuentes principales y jerarquía de evidencia:</w:t>
      </w:r>
    </w:p>
    <w:p>
      <w:pPr>
        <w:spacing w:after="120" w:line="276"/>
        <w:jc w:val="both"/>
      </w:pPr>
      <w:r>
        <w:rPr>
          <w:rFonts w:ascii="Arial" w:cs="Arial" w:eastAsia="Arial" w:hAnsi="Arial"/>
          <w:i/>
          <w:iCs/>
          <w:color w:val="555555"/>
          <w:sz w:val="22"/>
          <w:szCs w:val="22"/>
        </w:rPr>
        <w:t xml:space="preserve">Nivel 1 — fuentes oficiales o primarias: ONU, IEA, EIA, ODNI, Banco Mundial, IMF PortWatch, OMI y autoridades nacionales (Ministerio de Salud del Líbano, Fundación de Mártires de Irán, Departamento de Defensa de EE.UU.). Nivel 2 — agencias y medios con reportería propia: Reuters, AP, CNN, NPR, Al Jazeera, Bloomberg, Washington Post, Axios, Middle East Eye, The National, BBC. Nivel 3 — análisis y agregadores: Atlantic Council, PIIE, ORF, The Diplomat, AEI, Foreign Policy, Washington Institute, IEP/GPI, HRANA, Global Firepower. Britannica, Wikipedia y GlobalSecurity se usan solo como índices de búsqueda, no como evidencia final.</w:t>
      </w:r>
    </w:p>
    <w:p>
      <w:pPr>
        <w:spacing w:after="60"/>
      </w:pPr>
    </w:p>
    <w:p>
      <w:pPr>
        <w:spacing w:after="120" w:line="276"/>
        <w:jc w:val="both"/>
      </w:pPr>
      <w:r>
        <w:rPr>
          <w:rFonts w:ascii="Arial" w:cs="Arial" w:eastAsia="Arial" w:hAnsi="Arial"/>
          <w:i/>
          <w:iCs/>
          <w:color w:val="555555"/>
          <w:sz w:val="22"/>
          <w:szCs w:val="22"/>
        </w:rPr>
        <w:t xml:space="preserve">Documento generado con asistencia de Claude (Anthropic) y ajustado tras auditoría humana asistida. Versión 8.0 | 18 de agosto de 2026 (Día 172 del conflicto). Los datos de fuentes abiertas son provisionales y varios están en disputa entre las partes; los porcentajes son juicios estructurados, no resultados de un modelo estadístico validado. El texto completo del Acuerdo de La Meca no ha sido publicado al cierre de esta versión. Revisión humana requerida antes de cualquier uso académico o institucional.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Página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6"/>
        <w:szCs w:val="16"/>
      </w:rPr>
      <w:t xml:space="preserve">Estimación Probabilística: Escalada a Conflicto Global | v8.0 | 18 agosto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4"/>
      <w:szCs w:val="34"/>
    </w:rPr>
  </w:style>
  <w:style w:type="paragraph" w:styleId="Heading2">
    <w:name w:val="Heading 2"/>
    <w:basedOn w:val="Normal"/>
    <w:next w:val="Normal"/>
    <w:qFormat/>
    <w:pPr>
      <w:spacing w:after="160" w:before="240"/>
      <w:outlineLvl w:val="1"/>
    </w:pPr>
    <w:rPr>
      <w:rFonts w:ascii="Arial" w:cs="Arial" w:eastAsia="Arial" w:hAnsi="Arial"/>
      <w:b/>
      <w:bCs/>
      <w:color w:val="2E75B6"/>
      <w:sz w:val="27"/>
      <w:szCs w:val="27"/>
    </w:rPr>
  </w:style>
  <w:style w:type="paragraph" w:styleId="Heading3">
    <w:name w:val="Heading 3"/>
    <w:basedOn w:val="Normal"/>
    <w:next w:val="Normal"/>
    <w:qFormat/>
    <w:pPr>
      <w:spacing w:after="120" w:before="200"/>
      <w:outlineLvl w:val="2"/>
    </w:pPr>
    <w:rPr>
      <w:rFonts w:ascii="Arial" w:cs="Arial" w:eastAsia="Arial" w:hAnsi="Arial"/>
      <w:b/>
      <w:bCs/>
      <w:color w:val="1B3A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2026-08-18T14:05:29.143Z</dcterms:created>
  <dcterms:modified xsi:type="dcterms:W3CDTF">2026-08-18T14:05:29.185Z</dcterms:modified>
</cp:coreProperties>
</file>

<file path=docProps/custom.xml><?xml version="1.0" encoding="utf-8"?>
<Properties xmlns="http://schemas.openxmlformats.org/officeDocument/2006/custom-properties" xmlns:vt="http://schemas.openxmlformats.org/officeDocument/2006/docPropsVTypes"/>
</file>