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Calibri" w:cs="Calibri" w:eastAsia="Calibri" w:hAnsi="Calibri"/>
          <w:b/>
          <w:bCs/>
          <w:color w:val="1F3864"/>
          <w:sz w:val="22"/>
          <w:szCs w:val="22"/>
        </w:rPr>
        <w:t xml:space="preserve">CENTRO DE INVESTIGACIÓN OBSERVATORIO DEL DESARROLLO (CIOdD)</w:t>
      </w:r>
    </w:p>
    <w:p>
      <w:pPr>
        <w:spacing w:after="600"/>
        <w:jc w:val="center"/>
      </w:pPr>
      <w:r>
        <w:rPr>
          <w:rFonts w:ascii="Calibri" w:cs="Calibri" w:eastAsia="Calibri" w:hAnsi="Calibri"/>
          <w:color w:val="262626"/>
          <w:sz w:val="20"/>
          <w:szCs w:val="20"/>
        </w:rPr>
        <w:t xml:space="preserve">Universidad de Costa Rica</w:t>
      </w:r>
    </w:p>
    <w:p>
      <w:pPr>
        <w:spacing w:after="200" w:before="400"/>
        <w:jc w:val="center"/>
      </w:pPr>
      <w:r>
        <w:rPr>
          <w:rFonts w:ascii="Calibri" w:cs="Calibri" w:eastAsia="Calibri" w:hAnsi="Calibri"/>
          <w:b/>
          <w:bCs/>
          <w:color w:val="1F3864"/>
          <w:sz w:val="34"/>
          <w:szCs w:val="34"/>
        </w:rPr>
        <w:t xml:space="preserve">Seguimiento de la ejecución presupuestaria del Gobierno Central de Costa Rica: presupuesto modificado versus gasto devengado por título presupuestario, 2024-2025</w:t>
      </w:r>
    </w:p>
    <w:p>
      <w:pPr>
        <w:spacing w:after="800" w:before="200"/>
        <w:jc w:val="center"/>
      </w:pPr>
      <w:r>
        <w:rPr>
          <w:rFonts w:ascii="Calibri" w:cs="Calibri" w:eastAsia="Calibri" w:hAnsi="Calibri"/>
          <w:i/>
          <w:iCs/>
          <w:color w:val="2E74B5"/>
          <w:sz w:val="24"/>
          <w:szCs w:val="24"/>
        </w:rPr>
        <w:t xml:space="preserve">Informe técnico de seguimiento — Proyecto "Presupuesto Nacional de la República de Costa Rica, 2018-2027"</w:t>
      </w:r>
    </w:p>
    <w:p>
      <w:pPr>
        <w:spacing w:after="100" w:before="1600"/>
        <w:jc w:val="center"/>
      </w:pPr>
      <w:r>
        <w:rPr>
          <w:rFonts w:ascii="Calibri" w:cs="Calibri" w:eastAsia="Calibri" w:hAnsi="Calibri"/>
          <w:b/>
          <w:bCs/>
          <w:color w:val="262626"/>
          <w:sz w:val="24"/>
          <w:szCs w:val="24"/>
        </w:rPr>
        <w:t xml:space="preserve">Agustín Gómez Meléndez</w:t>
      </w:r>
    </w:p>
    <w:p>
      <w:pPr>
        <w:spacing w:after="100"/>
        <w:jc w:val="center"/>
      </w:pPr>
      <w:r>
        <w:rPr>
          <w:rFonts w:ascii="Calibri" w:cs="Calibri" w:eastAsia="Calibri" w:hAnsi="Calibri"/>
          <w:color w:val="262626"/>
          <w:sz w:val="20"/>
          <w:szCs w:val="20"/>
        </w:rPr>
        <w:t xml:space="preserve">Investigador, Centro de Investigación Observatorio del Desarrollo (CIOdD), Universidad de Costa Rica</w:t>
      </w:r>
    </w:p>
    <w:p>
      <w:pPr>
        <w:spacing w:before="1600"/>
        <w:jc w:val="center"/>
      </w:pPr>
      <w:r>
        <w:rPr>
          <w:rFonts w:ascii="Calibri" w:cs="Calibri" w:eastAsia="Calibri" w:hAnsi="Calibri"/>
          <w:color w:val="262626"/>
          <w:sz w:val="20"/>
          <w:szCs w:val="20"/>
        </w:rPr>
        <w:t xml:space="preserve">San José, Costa Rica — 17 de septiembre de 2026</w:t>
      </w:r>
    </w:p>
    <w:p>
      <w:r>
        <w:br w:type="page"/>
      </w:r>
    </w:p>
    <w:p>
      <w:pPr>
        <w:pStyle w:val="Heading1"/>
        <w:spacing w:after="160" w:before="320"/>
      </w:pPr>
      <w:r>
        <w:rPr>
          <w:rFonts w:ascii="Calibri" w:cs="Calibri" w:eastAsia="Calibri" w:hAnsi="Calibri"/>
          <w:b/>
          <w:bCs/>
          <w:color w:val="1F3864"/>
          <w:sz w:val="30"/>
          <w:szCs w:val="30"/>
        </w:rPr>
        <w:t xml:space="preserve">Ficha técnica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EEF3F8" w:val="clear"/>
            <w:tcMar>
              <w:top w:type="dxa" w:w="60"/>
              <w:left w:type="dxa" w:w="100"/>
              <w:bottom w:type="dxa" w:w="60"/>
              <w:right w:type="dxa" w:w="100"/>
            </w:tcMar>
            <w:vAlign w:val="center"/>
          </w:tcPr>
          <w:p>
            <w:pPr>
              <w:jc w:val="left"/>
            </w:pPr>
            <w:r>
              <w:rPr>
                <w:rFonts w:ascii="Calibri" w:cs="Calibri" w:eastAsia="Calibri" w:hAnsi="Calibri"/>
                <w:b/>
                <w:bCs/>
                <w:color w:val="262626"/>
                <w:sz w:val="19"/>
                <w:szCs w:val="19"/>
              </w:rPr>
              <w:t xml:space="preserve">Tipo de documento</w:t>
            </w:r>
          </w:p>
        </w:tc>
        <w:tc>
          <w:tcPr>
            <w:tcW w:type="dxa" w:w="6800"/>
            <w:tcMar>
              <w:top w:type="dxa" w:w="60"/>
              <w:left w:type="dxa" w:w="100"/>
              <w:bottom w:type="dxa" w:w="60"/>
              <w:right w:type="dxa" w:w="100"/>
            </w:tcMar>
            <w:vAlign w:val="center"/>
          </w:tcPr>
          <w:p>
            <w:pPr>
              <w:jc w:val="left"/>
            </w:pPr>
            <w:r>
              <w:rPr>
                <w:rFonts w:ascii="Calibri" w:cs="Calibri" w:eastAsia="Calibri" w:hAnsi="Calibri"/>
                <w:color w:val="262626"/>
                <w:sz w:val="19"/>
                <w:szCs w:val="19"/>
              </w:rPr>
              <w:t xml:space="preserve">Informe técnico de seguimiento (documento de trabajo interno)</w:t>
            </w:r>
          </w:p>
        </w:tc>
      </w:tr>
      <w:tr>
        <w:tc>
          <w:tcPr>
            <w:tcW w:type="dxa" w:w="2600"/>
            <w:shd w:fill="EEF3F8" w:val="clear"/>
            <w:tcMar>
              <w:top w:type="dxa" w:w="60"/>
              <w:left w:type="dxa" w:w="100"/>
              <w:bottom w:type="dxa" w:w="60"/>
              <w:right w:type="dxa" w:w="100"/>
            </w:tcMar>
            <w:vAlign w:val="center"/>
          </w:tcPr>
          <w:p>
            <w:pPr>
              <w:jc w:val="left"/>
            </w:pPr>
            <w:r>
              <w:rPr>
                <w:rFonts w:ascii="Calibri" w:cs="Calibri" w:eastAsia="Calibri" w:hAnsi="Calibri"/>
                <w:b/>
                <w:bCs/>
                <w:color w:val="262626"/>
                <w:sz w:val="19"/>
                <w:szCs w:val="19"/>
              </w:rPr>
              <w:t xml:space="preserve">Cobertura institucional</w:t>
            </w:r>
          </w:p>
        </w:tc>
        <w:tc>
          <w:tcPr>
            <w:tcW w:type="dxa" w:w="6800"/>
            <w:tcMar>
              <w:top w:type="dxa" w:w="60"/>
              <w:left w:type="dxa" w:w="100"/>
              <w:bottom w:type="dxa" w:w="60"/>
              <w:right w:type="dxa" w:w="100"/>
            </w:tcMar>
            <w:vAlign w:val="center"/>
          </w:tcPr>
          <w:p>
            <w:pPr>
              <w:jc w:val="left"/>
            </w:pPr>
            <w:r>
              <w:rPr>
                <w:rFonts w:ascii="Calibri" w:cs="Calibri" w:eastAsia="Calibri" w:hAnsi="Calibri"/>
                <w:color w:val="262626"/>
                <w:sz w:val="19"/>
                <w:szCs w:val="19"/>
              </w:rPr>
              <w:t xml:space="preserve">Gobierno Central de Costa Rica — 26 títulos presupuestarios en 2024; 27 en 2025 (Sección 101-401 del clasificador institucional)</w:t>
            </w:r>
          </w:p>
        </w:tc>
      </w:tr>
      <w:tr>
        <w:tc>
          <w:tcPr>
            <w:tcW w:type="dxa" w:w="2600"/>
            <w:shd w:fill="EEF3F8" w:val="clear"/>
            <w:tcMar>
              <w:top w:type="dxa" w:w="60"/>
              <w:left w:type="dxa" w:w="100"/>
              <w:bottom w:type="dxa" w:w="60"/>
              <w:right w:type="dxa" w:w="100"/>
            </w:tcMar>
            <w:vAlign w:val="center"/>
          </w:tcPr>
          <w:p>
            <w:pPr>
              <w:jc w:val="left"/>
            </w:pPr>
            <w:r>
              <w:rPr>
                <w:rFonts w:ascii="Calibri" w:cs="Calibri" w:eastAsia="Calibri" w:hAnsi="Calibri"/>
                <w:b/>
                <w:bCs/>
                <w:color w:val="262626"/>
                <w:sz w:val="19"/>
                <w:szCs w:val="19"/>
              </w:rPr>
              <w:t xml:space="preserve">Cobertura temporal</w:t>
            </w:r>
          </w:p>
        </w:tc>
        <w:tc>
          <w:tcPr>
            <w:tcW w:type="dxa" w:w="6800"/>
            <w:tcMar>
              <w:top w:type="dxa" w:w="60"/>
              <w:left w:type="dxa" w:w="100"/>
              <w:bottom w:type="dxa" w:w="60"/>
              <w:right w:type="dxa" w:w="100"/>
            </w:tcMar>
            <w:vAlign w:val="center"/>
          </w:tcPr>
          <w:p>
            <w:pPr>
              <w:jc w:val="left"/>
            </w:pPr>
            <w:r>
              <w:rPr>
                <w:rFonts w:ascii="Calibri" w:cs="Calibri" w:eastAsia="Calibri" w:hAnsi="Calibri"/>
                <w:color w:val="262626"/>
                <w:sz w:val="19"/>
                <w:szCs w:val="19"/>
              </w:rPr>
              <w:t xml:space="preserve">Ejercicios económicos 2024 y 2025, corte a diciembre (cifras acumuladas de enero a diciembre de cada año)</w:t>
            </w:r>
          </w:p>
        </w:tc>
      </w:tr>
      <w:tr>
        <w:tc>
          <w:tcPr>
            <w:tcW w:type="dxa" w:w="2600"/>
            <w:shd w:fill="EEF3F8" w:val="clear"/>
            <w:tcMar>
              <w:top w:type="dxa" w:w="60"/>
              <w:left w:type="dxa" w:w="100"/>
              <w:bottom w:type="dxa" w:w="60"/>
              <w:right w:type="dxa" w:w="100"/>
            </w:tcMar>
            <w:vAlign w:val="center"/>
          </w:tcPr>
          <w:p>
            <w:pPr>
              <w:jc w:val="left"/>
            </w:pPr>
            <w:r>
              <w:rPr>
                <w:rFonts w:ascii="Calibri" w:cs="Calibri" w:eastAsia="Calibri" w:hAnsi="Calibri"/>
                <w:b/>
                <w:bCs/>
                <w:color w:val="262626"/>
                <w:sz w:val="19"/>
                <w:szCs w:val="19"/>
              </w:rPr>
              <w:t xml:space="preserve">Componente presupuestario</w:t>
            </w:r>
          </w:p>
        </w:tc>
        <w:tc>
          <w:tcPr>
            <w:tcW w:type="dxa" w:w="6800"/>
            <w:tcMar>
              <w:top w:type="dxa" w:w="60"/>
              <w:left w:type="dxa" w:w="100"/>
              <w:bottom w:type="dxa" w:w="60"/>
              <w:right w:type="dxa" w:w="100"/>
            </w:tcMar>
            <w:vAlign w:val="center"/>
          </w:tcPr>
          <w:p>
            <w:pPr>
              <w:jc w:val="left"/>
            </w:pPr>
            <w:r>
              <w:rPr>
                <w:rFonts w:ascii="Calibri" w:cs="Calibri" w:eastAsia="Calibri" w:hAnsi="Calibri"/>
                <w:color w:val="262626"/>
                <w:sz w:val="19"/>
                <w:szCs w:val="19"/>
              </w:rPr>
              <w:t xml:space="preserve">Egresos (gasto). No incluye Ingresos en esta versión.</w:t>
            </w:r>
          </w:p>
        </w:tc>
      </w:tr>
      <w:tr>
        <w:tc>
          <w:tcPr>
            <w:tcW w:type="dxa" w:w="2600"/>
            <w:shd w:fill="EEF3F8" w:val="clear"/>
            <w:tcMar>
              <w:top w:type="dxa" w:w="60"/>
              <w:left w:type="dxa" w:w="100"/>
              <w:bottom w:type="dxa" w:w="60"/>
              <w:right w:type="dxa" w:w="100"/>
            </w:tcMar>
            <w:vAlign w:val="center"/>
          </w:tcPr>
          <w:p>
            <w:pPr>
              <w:jc w:val="left"/>
            </w:pPr>
            <w:r>
              <w:rPr>
                <w:rFonts w:ascii="Calibri" w:cs="Calibri" w:eastAsia="Calibri" w:hAnsi="Calibri"/>
                <w:b/>
                <w:bCs/>
                <w:color w:val="262626"/>
                <w:sz w:val="19"/>
                <w:szCs w:val="19"/>
              </w:rPr>
              <w:t xml:space="preserve">Fuente de datos</w:t>
            </w:r>
          </w:p>
        </w:tc>
        <w:tc>
          <w:tcPr>
            <w:tcW w:type="dxa" w:w="6800"/>
            <w:tcMar>
              <w:top w:type="dxa" w:w="60"/>
              <w:left w:type="dxa" w:w="100"/>
              <w:bottom w:type="dxa" w:w="60"/>
              <w:right w:type="dxa" w:w="100"/>
            </w:tcMar>
            <w:vAlign w:val="center"/>
          </w:tcPr>
          <w:p>
            <w:pPr>
              <w:jc w:val="left"/>
            </w:pPr>
            <w:r>
              <w:rPr>
                <w:rFonts w:ascii="Calibri" w:cs="Calibri" w:eastAsia="Calibri" w:hAnsi="Calibri"/>
                <w:color w:val="262626"/>
                <w:sz w:val="19"/>
                <w:szCs w:val="19"/>
              </w:rPr>
              <w:t xml:space="preserve">Portal de Datos Abiertos del Ministerio de Hacienda / SIGAF — archivos DatosAbiertos_Egresos_Dic2024.xls y DatosAbiertos_Egresos2025VD.xls, carpeta local "Ingreso Egreso/"</w:t>
            </w:r>
          </w:p>
        </w:tc>
      </w:tr>
      <w:tr>
        <w:tc>
          <w:tcPr>
            <w:tcW w:type="dxa" w:w="2600"/>
            <w:shd w:fill="EEF3F8" w:val="clear"/>
            <w:tcMar>
              <w:top w:type="dxa" w:w="60"/>
              <w:left w:type="dxa" w:w="100"/>
              <w:bottom w:type="dxa" w:w="60"/>
              <w:right w:type="dxa" w:w="100"/>
            </w:tcMar>
            <w:vAlign w:val="center"/>
          </w:tcPr>
          <w:p>
            <w:pPr>
              <w:jc w:val="left"/>
            </w:pPr>
            <w:r>
              <w:rPr>
                <w:rFonts w:ascii="Calibri" w:cs="Calibri" w:eastAsia="Calibri" w:hAnsi="Calibri"/>
                <w:b/>
                <w:bCs/>
                <w:color w:val="262626"/>
                <w:sz w:val="19"/>
                <w:szCs w:val="19"/>
              </w:rPr>
              <w:t xml:space="preserve">Unidad de análisis</w:t>
            </w:r>
          </w:p>
        </w:tc>
        <w:tc>
          <w:tcPr>
            <w:tcW w:type="dxa" w:w="6800"/>
            <w:tcMar>
              <w:top w:type="dxa" w:w="60"/>
              <w:left w:type="dxa" w:w="100"/>
              <w:bottom w:type="dxa" w:w="60"/>
              <w:right w:type="dxa" w:w="100"/>
            </w:tcMar>
            <w:vAlign w:val="center"/>
          </w:tcPr>
          <w:p>
            <w:pPr>
              <w:jc w:val="left"/>
            </w:pPr>
            <w:r>
              <w:rPr>
                <w:rFonts w:ascii="Calibri" w:cs="Calibri" w:eastAsia="Calibri" w:hAnsi="Calibri"/>
                <w:color w:val="262626"/>
                <w:sz w:val="19"/>
                <w:szCs w:val="19"/>
              </w:rPr>
              <w:t xml:space="preserve">Título presupuestario (institución/Poder/órgano del Gobierno Central)</w:t>
            </w:r>
          </w:p>
        </w:tc>
      </w:tr>
      <w:tr>
        <w:tc>
          <w:tcPr>
            <w:tcW w:type="dxa" w:w="2600"/>
            <w:shd w:fill="EEF3F8" w:val="clear"/>
            <w:tcMar>
              <w:top w:type="dxa" w:w="60"/>
              <w:left w:type="dxa" w:w="100"/>
              <w:bottom w:type="dxa" w:w="60"/>
              <w:right w:type="dxa" w:w="100"/>
            </w:tcMar>
            <w:vAlign w:val="center"/>
          </w:tcPr>
          <w:p>
            <w:pPr>
              <w:jc w:val="left"/>
            </w:pPr>
            <w:r>
              <w:rPr>
                <w:rFonts w:ascii="Calibri" w:cs="Calibri" w:eastAsia="Calibri" w:hAnsi="Calibri"/>
                <w:b/>
                <w:bCs/>
                <w:color w:val="262626"/>
                <w:sz w:val="19"/>
                <w:szCs w:val="19"/>
              </w:rPr>
              <w:t xml:space="preserve">Tipo de inferencia</w:t>
            </w:r>
          </w:p>
        </w:tc>
        <w:tc>
          <w:tcPr>
            <w:tcW w:type="dxa" w:w="6800"/>
            <w:tcMar>
              <w:top w:type="dxa" w:w="60"/>
              <w:left w:type="dxa" w:w="100"/>
              <w:bottom w:type="dxa" w:w="60"/>
              <w:right w:type="dxa" w:w="100"/>
            </w:tcMar>
            <w:vAlign w:val="center"/>
          </w:tcPr>
          <w:p>
            <w:pPr>
              <w:jc w:val="left"/>
            </w:pPr>
            <w:r>
              <w:rPr>
                <w:rFonts w:ascii="Calibri" w:cs="Calibri" w:eastAsia="Calibri" w:hAnsi="Calibri"/>
                <w:color w:val="262626"/>
                <w:sz w:val="19"/>
                <w:szCs w:val="19"/>
              </w:rPr>
              <w:t xml:space="preserve">Descriptiva y comparativa (dos puntos en el tiempo). No causal.</w:t>
            </w:r>
          </w:p>
        </w:tc>
      </w:tr>
      <w:tr>
        <w:tc>
          <w:tcPr>
            <w:tcW w:type="dxa" w:w="2600"/>
            <w:shd w:fill="EEF3F8" w:val="clear"/>
            <w:tcMar>
              <w:top w:type="dxa" w:w="60"/>
              <w:left w:type="dxa" w:w="100"/>
              <w:bottom w:type="dxa" w:w="60"/>
              <w:right w:type="dxa" w:w="100"/>
            </w:tcMar>
            <w:vAlign w:val="center"/>
          </w:tcPr>
          <w:p>
            <w:pPr>
              <w:jc w:val="left"/>
            </w:pPr>
            <w:r>
              <w:rPr>
                <w:rFonts w:ascii="Calibri" w:cs="Calibri" w:eastAsia="Calibri" w:hAnsi="Calibri"/>
                <w:b/>
                <w:bCs/>
                <w:color w:val="262626"/>
                <w:sz w:val="19"/>
                <w:szCs w:val="19"/>
              </w:rPr>
              <w:t xml:space="preserve">Estado del documento</w:t>
            </w:r>
          </w:p>
        </w:tc>
        <w:tc>
          <w:tcPr>
            <w:tcW w:type="dxa" w:w="6800"/>
            <w:tcMar>
              <w:top w:type="dxa" w:w="60"/>
              <w:left w:type="dxa" w:w="100"/>
              <w:bottom w:type="dxa" w:w="60"/>
              <w:right w:type="dxa" w:w="100"/>
            </w:tcMar>
            <w:vAlign w:val="center"/>
          </w:tcPr>
          <w:p>
            <w:pPr>
              <w:jc w:val="left"/>
            </w:pPr>
            <w:r>
              <w:rPr>
                <w:rFonts w:ascii="Calibri" w:cs="Calibri" w:eastAsia="Calibri" w:hAnsi="Calibri"/>
                <w:color w:val="262626"/>
                <w:sz w:val="19"/>
                <w:szCs w:val="19"/>
              </w:rPr>
              <w:t xml:space="preserve">Versión para revisión interna — semáforo de calidad: amarillo (ver Sección 8, Limitaciones)</w:t>
            </w:r>
          </w:p>
        </w:tc>
      </w:tr>
      <w:tr>
        <w:tc>
          <w:tcPr>
            <w:tcW w:type="dxa" w:w="2600"/>
            <w:shd w:fill="EEF3F8" w:val="clear"/>
            <w:tcMar>
              <w:top w:type="dxa" w:w="60"/>
              <w:left w:type="dxa" w:w="100"/>
              <w:bottom w:type="dxa" w:w="60"/>
              <w:right w:type="dxa" w:w="100"/>
            </w:tcMar>
            <w:vAlign w:val="center"/>
          </w:tcPr>
          <w:p>
            <w:pPr>
              <w:jc w:val="left"/>
            </w:pPr>
            <w:r>
              <w:rPr>
                <w:rFonts w:ascii="Calibri" w:cs="Calibri" w:eastAsia="Calibri" w:hAnsi="Calibri"/>
                <w:b/>
                <w:bCs/>
                <w:color w:val="262626"/>
                <w:sz w:val="19"/>
                <w:szCs w:val="19"/>
              </w:rPr>
              <w:t xml:space="preserve">Documentos relacionados</w:t>
            </w:r>
          </w:p>
        </w:tc>
        <w:tc>
          <w:tcPr>
            <w:tcW w:type="dxa" w:w="6800"/>
            <w:tcMar>
              <w:top w:type="dxa" w:w="60"/>
              <w:left w:type="dxa" w:w="100"/>
              <w:bottom w:type="dxa" w:w="60"/>
              <w:right w:type="dxa" w:w="100"/>
            </w:tcMar>
            <w:vAlign w:val="center"/>
          </w:tcPr>
          <w:p>
            <w:pPr>
              <w:jc w:val="left"/>
            </w:pPr>
            <w:r>
              <w:rPr>
                <w:rFonts w:ascii="Calibri" w:cs="Calibri" w:eastAsia="Calibri" w:hAnsi="Calibri"/>
                <w:color w:val="262626"/>
                <w:sz w:val="19"/>
                <w:szCs w:val="19"/>
              </w:rPr>
              <w:t xml:space="preserve">00-Manual_de_Uso_y_Analisis_Presupuesto_Nacional_2018-2027.md (Secciones 3.8, 5.6, 6.9-6.12, 9); 09-Seguimiento_Ejecucion_2024_2025.md (nota técnica previa)</w:t>
            </w:r>
          </w:p>
        </w:tc>
      </w:tr>
    </w:tbl>
    <w:p>
      <w:pPr>
        <w:spacing w:after="300"/>
      </w:pPr>
    </w:p>
    <w:p>
      <w:pPr>
        <w:pStyle w:val="Heading1"/>
        <w:spacing w:after="160" w:before="320"/>
      </w:pPr>
      <w:r>
        <w:rPr>
          <w:rFonts w:ascii="Calibri" w:cs="Calibri" w:eastAsia="Calibri" w:hAnsi="Calibri"/>
          <w:b/>
          <w:bCs/>
          <w:color w:val="1F3864"/>
          <w:sz w:val="30"/>
          <w:szCs w:val="30"/>
        </w:rPr>
        <w:t xml:space="preserve">Tabla de contenidos</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F3864"/>
          <w:sz w:val="30"/>
          <w:szCs w:val="30"/>
        </w:rPr>
        <w:t xml:space="preserve">Resumen ejecutivo</w:t>
      </w:r>
    </w:p>
    <w:p>
      <w:pPr>
        <w:spacing w:after="160" w:line="276"/>
        <w:jc w:val="both"/>
      </w:pPr>
      <w:r>
        <w:rPr>
          <w:rFonts w:ascii="Calibri" w:cs="Calibri" w:eastAsia="Calibri" w:hAnsi="Calibri"/>
          <w:b/>
          <w:bCs/>
          <w:color w:val="262626"/>
          <w:sz w:val="22"/>
          <w:szCs w:val="22"/>
        </w:rPr>
        <w:t xml:space="preserve">Objetivo. </w:t>
      </w:r>
      <w:r>
        <w:rPr>
          <w:rFonts w:ascii="Calibri" w:cs="Calibri" w:eastAsia="Calibri" w:hAnsi="Calibri"/>
          <w:color w:val="262626"/>
          <w:sz w:val="22"/>
          <w:szCs w:val="22"/>
        </w:rPr>
        <w:t xml:space="preserve">Dar seguimiento, para el Gobierno Central de Costa Rica y a nivel de título presupuestario, a la relación entre el presupuesto modificado (“lo presupuestado”) y el gasto devengado (“lo real ejecutado”) en los ejercicios 2024 y 2025, e identificar las instituciones con los cambios más pronunciados entre ambos años.</w:t>
      </w:r>
    </w:p>
    <w:p>
      <w:pPr>
        <w:spacing w:after="160" w:line="276"/>
        <w:jc w:val="both"/>
      </w:pPr>
      <w:r>
        <w:rPr>
          <w:rFonts w:ascii="Calibri" w:cs="Calibri" w:eastAsia="Calibri" w:hAnsi="Calibri"/>
          <w:b/>
          <w:bCs/>
          <w:color w:val="262626"/>
          <w:sz w:val="22"/>
          <w:szCs w:val="22"/>
        </w:rPr>
        <w:t xml:space="preserve">Métodos. </w:t>
      </w:r>
      <w:r>
        <w:rPr>
          <w:rFonts w:ascii="Calibri" w:cs="Calibri" w:eastAsia="Calibri" w:hAnsi="Calibri"/>
          <w:color w:val="262626"/>
          <w:sz w:val="22"/>
          <w:szCs w:val="22"/>
        </w:rPr>
        <w:t xml:space="preserve">Análisis descriptivo-comparativo de dos cortes anuales (diciembre 2024 y diciembre 2025) del panel de ejecución mensual de Hacienda/SIGAF (“Datos Abiertos”), agregado por título presupuestario. Se calculó la tasa de ejecución (Devengado / Presupuesto Modificado) en cada año y su variación en puntos porcentuales, así como la variación nominal porcentual del presupuesto modificado y del devengado.</w:t>
      </w:r>
    </w:p>
    <w:p>
      <w:pPr>
        <w:spacing w:after="160" w:line="276"/>
        <w:jc w:val="both"/>
      </w:pPr>
      <w:r>
        <w:rPr>
          <w:rFonts w:ascii="Calibri" w:cs="Calibri" w:eastAsia="Calibri" w:hAnsi="Calibri"/>
          <w:b/>
          <w:bCs/>
          <w:color w:val="262626"/>
          <w:sz w:val="22"/>
          <w:szCs w:val="22"/>
        </w:rPr>
        <w:t xml:space="preserve">Resultados principales. </w:t>
      </w:r>
      <w:r>
        <w:rPr>
          <w:rFonts w:ascii="Calibri" w:cs="Calibri" w:eastAsia="Calibri" w:hAnsi="Calibri"/>
          <w:color w:val="262626"/>
          <w:sz w:val="22"/>
          <w:szCs w:val="22"/>
        </w:rPr>
        <w:t xml:space="preserve">(1) El Ministerio de Comercio Exterior presentó el mayor cambio en su tasa de ejecución (de 47,9% a 75,9%; +27,9 pp), impulsado en parte por una reducción de 16,3% en su presupuesto modificado. (2) La Presidencia de la República mejoró +10,1 pp pero mantuvo, en ambos años, la tasa de ejecución más baja del Gobierno Central (18,6% en 2024; 28,7% en 2025). (3) El título 232 “Partidas Específicas” es enteramente nuevo en 2025 (₡2.500 millones de presupuesto modificado) y registró 0% de ejecución al cierre de su primer año. (4) En términos de colones devengados —no de puntos porcentuales— los mayores movimientos correspondieron al Servicio de la Deuda Pública (−₡238.427 millones, −4,8%) y a Régimen de Pensiones (−₡6.359 millones, −0,5%), pese a exhibir cambios porcentuales de tasa relativamente moderados.</w:t>
      </w:r>
    </w:p>
    <w:p>
      <w:pPr>
        <w:spacing w:after="160" w:line="276"/>
        <w:jc w:val="both"/>
      </w:pPr>
      <w:r>
        <w:rPr>
          <w:rFonts w:ascii="Calibri" w:cs="Calibri" w:eastAsia="Calibri" w:hAnsi="Calibri"/>
          <w:b/>
          <w:bCs/>
          <w:color w:val="262626"/>
          <w:sz w:val="22"/>
          <w:szCs w:val="22"/>
        </w:rPr>
        <w:t xml:space="preserve">Limitación metodológica central. </w:t>
      </w:r>
      <w:r>
        <w:rPr>
          <w:rFonts w:ascii="Calibri" w:cs="Calibri" w:eastAsia="Calibri" w:hAnsi="Calibri"/>
          <w:color w:val="262626"/>
          <w:sz w:val="22"/>
          <w:szCs w:val="22"/>
        </w:rPr>
        <w:t xml:space="preserve">El campo “Presupuesto Solicitado” (SO_Monto) del sistema SIGAF no es un acumulado anual sino un saldo de solicitudes pendientes al cierre de cada mes, y resultó ser ≈0 en diciembre para la práctica totalidad de las instituciones en ambos años; por ello no se usó como proxy de “lo solicitado”, sustituyéndose por el presupuesto modificado (PP_Monto). Ver Sección 4.3.</w:t>
      </w:r>
    </w:p>
    <w:p>
      <w:pPr>
        <w:spacing w:after="160" w:line="276"/>
        <w:jc w:val="both"/>
      </w:pPr>
      <w:r>
        <w:rPr>
          <w:rFonts w:ascii="Calibri" w:cs="Calibri" w:eastAsia="Calibri" w:hAnsi="Calibri"/>
          <w:b/>
          <w:bCs/>
          <w:color w:val="262626"/>
          <w:sz w:val="22"/>
          <w:szCs w:val="22"/>
        </w:rPr>
        <w:t xml:space="preserve">Conclusión. </w:t>
      </w:r>
      <w:r>
        <w:rPr>
          <w:rFonts w:ascii="Calibri" w:cs="Calibri" w:eastAsia="Calibri" w:hAnsi="Calibri"/>
          <w:color w:val="262626"/>
          <w:sz w:val="22"/>
          <w:szCs w:val="22"/>
        </w:rPr>
        <w:t xml:space="preserve">La comparación 2024-2025 es de naturaleza descriptiva: documenta magnitudes y direcciones de cambio institución por institución, sin identificar sus causas. Los hallazgos son un insumo de priorización para revisión cualitativa posterior (por objeto del gasto y por programa presupuestario), no una evaluación de desempeño institucional concluyente.</w:t>
      </w:r>
    </w:p>
    <w:p>
      <w:pPr>
        <w:pStyle w:val="Heading1"/>
        <w:spacing w:after="160" w:before="320"/>
      </w:pPr>
      <w:r>
        <w:rPr>
          <w:rFonts w:ascii="Calibri" w:cs="Calibri" w:eastAsia="Calibri" w:hAnsi="Calibri"/>
          <w:b/>
          <w:bCs/>
          <w:color w:val="1F3864"/>
          <w:sz w:val="30"/>
          <w:szCs w:val="30"/>
        </w:rPr>
        <w:t xml:space="preserve">1. Introducción</w:t>
      </w:r>
    </w:p>
    <w:p>
      <w:pPr>
        <w:spacing w:after="160" w:line="276"/>
        <w:jc w:val="both"/>
      </w:pPr>
      <w:r>
        <w:rPr>
          <w:rFonts w:ascii="Calibri" w:cs="Calibri" w:eastAsia="Calibri" w:hAnsi="Calibri"/>
          <w:color w:val="262626"/>
          <w:sz w:val="22"/>
          <w:szCs w:val="22"/>
        </w:rPr>
        <w:t xml:space="preserve">El Presupuesto Nacional de la República de Costa Rica ha sido documentado en este proyecto principalmente a través de los proyectos de ley de presupuesto formulados por el Ministerio de Hacienda (Dirección General de Presupuesto Nacional, DGPN) para los ejercicios 2018-2027, complementados con los presupuestos aprobados por la Contraloría General de la República para el sector público completo (2007-2024) y con extractos transaccionales del Sistema de Información sobre Planes y Presupuestos (SIPP) de la propia Contraloría.</w:t>
      </w:r>
    </w:p>
    <w:p>
      <w:pPr>
        <w:spacing w:after="160" w:line="276"/>
        <w:jc w:val="both"/>
      </w:pPr>
      <w:r>
        <w:rPr>
          <w:rFonts w:ascii="Calibri" w:cs="Calibri" w:eastAsia="Calibri" w:hAnsi="Calibri"/>
          <w:color w:val="262626"/>
          <w:sz w:val="22"/>
          <w:szCs w:val="22"/>
        </w:rPr>
        <w:t xml:space="preserve">El 16 de septiembre de 2026 se incorporó al acervo documental del proyecto una fuente adicional —el portal de Datos Abiertos del Ministerio de Hacienda (sistema SIGAF)— que aporta, por primera vez, ejecución presupuestaria mensual y acumulada con las ocho etapas del ciclo presupuestario costarricense (Presupuesto Inicial, Modificado, Liberado, Solicitado, Comprometido, Recepción de Mercancías, Devengado y Pagado), a nivel de título presupuestario, programa, subprograma y clasificadores económico y funcional, para el período 2018-2026.</w:t>
      </w:r>
    </w:p>
    <w:p>
      <w:pPr>
        <w:spacing w:after="160" w:line="276"/>
        <w:jc w:val="both"/>
      </w:pPr>
      <w:r>
        <w:rPr>
          <w:rFonts w:ascii="Calibri" w:cs="Calibri" w:eastAsia="Calibri" w:hAnsi="Calibri"/>
          <w:color w:val="262626"/>
          <w:sz w:val="22"/>
          <w:szCs w:val="22"/>
        </w:rPr>
        <w:t xml:space="preserve">Esta fuente hace posible, por primera vez en el proyecto, comparar de forma sistemática lo presupuestado con lo efectivamente ejecutado, año contra año, y a nivel de cada institución del Gobierno Central. El presente informe documenta el primer ejercicio de ese tipo, limitado a los dos años más recientes con ejecución completa (2024 y 2025) y al componente de Egresos.</w:t>
      </w:r>
    </w:p>
    <w:p>
      <w:pPr>
        <w:pStyle w:val="Heading1"/>
        <w:spacing w:after="160" w:before="320"/>
      </w:pPr>
      <w:r>
        <w:rPr>
          <w:rFonts w:ascii="Calibri" w:cs="Calibri" w:eastAsia="Calibri" w:hAnsi="Calibri"/>
          <w:b/>
          <w:bCs/>
          <w:color w:val="1F3864"/>
          <w:sz w:val="30"/>
          <w:szCs w:val="30"/>
        </w:rPr>
        <w:t xml:space="preserve">2. Objetivos</w:t>
      </w:r>
    </w:p>
    <w:p>
      <w:pPr>
        <w:pStyle w:val="Heading2"/>
        <w:spacing w:after="120" w:before="240"/>
      </w:pPr>
      <w:r>
        <w:rPr>
          <w:rFonts w:ascii="Calibri" w:cs="Calibri" w:eastAsia="Calibri" w:hAnsi="Calibri"/>
          <w:b/>
          <w:bCs/>
          <w:color w:val="2E74B5"/>
          <w:sz w:val="26"/>
          <w:szCs w:val="26"/>
        </w:rPr>
        <w:t xml:space="preserve">2.1. Objetivo general</w:t>
      </w:r>
    </w:p>
    <w:p>
      <w:pPr>
        <w:spacing w:after="160" w:line="276"/>
        <w:jc w:val="both"/>
      </w:pPr>
      <w:r>
        <w:rPr>
          <w:rFonts w:ascii="Calibri" w:cs="Calibri" w:eastAsia="Calibri" w:hAnsi="Calibri"/>
          <w:color w:val="262626"/>
          <w:sz w:val="22"/>
          <w:szCs w:val="22"/>
        </w:rPr>
        <w:t xml:space="preserve">Dar seguimiento a la relación entre el presupuesto modificado y el gasto devengado de las instituciones del Gobierno Central de Costa Rica en los ejercicios económicos 2024 y 2025, e identificar los títulos presupuestarios con los cambios más pronunciados entre ambos años.</w:t>
      </w:r>
    </w:p>
    <w:p>
      <w:pPr>
        <w:pStyle w:val="Heading2"/>
        <w:spacing w:after="120" w:before="240"/>
      </w:pPr>
      <w:r>
        <w:rPr>
          <w:rFonts w:ascii="Calibri" w:cs="Calibri" w:eastAsia="Calibri" w:hAnsi="Calibri"/>
          <w:b/>
          <w:bCs/>
          <w:color w:val="2E74B5"/>
          <w:sz w:val="26"/>
          <w:szCs w:val="26"/>
        </w:rPr>
        <w:t xml:space="preserve">2.2. Objetivos específicos</w:t>
      </w:r>
    </w:p>
    <w:p>
      <w:pPr>
        <w:pStyle w:val="ListParagraph"/>
        <w:numPr>
          <w:ilvl w:val="0"/>
          <w:numId w:val="1"/>
        </w:numPr>
        <w:spacing w:after="100" w:line="276"/>
      </w:pPr>
      <w:r>
        <w:rPr>
          <w:rFonts w:ascii="Calibri" w:cs="Calibri" w:eastAsia="Calibri" w:hAnsi="Calibri"/>
          <w:color w:val="262626"/>
          <w:sz w:val="22"/>
          <w:szCs w:val="22"/>
        </w:rPr>
        <w:t xml:space="preserve">Calcular, por título presupuestario, la tasa de ejecución (Devengado / Presupuesto Modificado) al cierre de 2024 y de 2025.</w:t>
      </w:r>
    </w:p>
    <w:p>
      <w:pPr>
        <w:pStyle w:val="ListParagraph"/>
        <w:numPr>
          <w:ilvl w:val="0"/>
          <w:numId w:val="1"/>
        </w:numPr>
        <w:spacing w:after="100" w:line="276"/>
      </w:pPr>
      <w:r>
        <w:rPr>
          <w:rFonts w:ascii="Calibri" w:cs="Calibri" w:eastAsia="Calibri" w:hAnsi="Calibri"/>
          <w:color w:val="262626"/>
          <w:sz w:val="22"/>
          <w:szCs w:val="22"/>
        </w:rPr>
        <w:t xml:space="preserve">Determinar el cambio en dicha tasa entre ambos años, en puntos porcentuales.</w:t>
      </w:r>
    </w:p>
    <w:p>
      <w:pPr>
        <w:pStyle w:val="ListParagraph"/>
        <w:numPr>
          <w:ilvl w:val="0"/>
          <w:numId w:val="1"/>
        </w:numPr>
        <w:spacing w:after="100" w:line="276"/>
      </w:pPr>
      <w:r>
        <w:rPr>
          <w:rFonts w:ascii="Calibri" w:cs="Calibri" w:eastAsia="Calibri" w:hAnsi="Calibri"/>
          <w:color w:val="262626"/>
          <w:sz w:val="22"/>
          <w:szCs w:val="22"/>
        </w:rPr>
        <w:t xml:space="preserve">Determinar la variación nominal porcentual del presupuesto modificado, del devengado y de lo pagado, por título presupuestario.</w:t>
      </w:r>
    </w:p>
    <w:p>
      <w:pPr>
        <w:pStyle w:val="ListParagraph"/>
        <w:numPr>
          <w:ilvl w:val="0"/>
          <w:numId w:val="1"/>
        </w:numPr>
        <w:spacing w:after="100" w:line="276"/>
      </w:pPr>
      <w:r>
        <w:rPr>
          <w:rFonts w:ascii="Calibri" w:cs="Calibri" w:eastAsia="Calibri" w:hAnsi="Calibri"/>
          <w:color w:val="262626"/>
          <w:sz w:val="22"/>
          <w:szCs w:val="22"/>
        </w:rPr>
        <w:t xml:space="preserve">Identificar los títulos con los cambios más pronunciados, distinguiendo cambios relativos (puntos porcentuales de tasa) de cambios absolutos (colones de gasto devengado).</w:t>
      </w:r>
    </w:p>
    <w:p>
      <w:pPr>
        <w:pStyle w:val="ListParagraph"/>
        <w:numPr>
          <w:ilvl w:val="0"/>
          <w:numId w:val="1"/>
        </w:numPr>
        <w:spacing w:after="100" w:line="276"/>
      </w:pPr>
      <w:r>
        <w:rPr>
          <w:rFonts w:ascii="Calibri" w:cs="Calibri" w:eastAsia="Calibri" w:hAnsi="Calibri"/>
          <w:color w:val="262626"/>
          <w:sz w:val="22"/>
          <w:szCs w:val="22"/>
        </w:rPr>
        <w:t xml:space="preserve">Documentar las limitaciones metodológicas y de calidad de datos de la fuente utilizada, para uso responsable en análisis posteriores.</w:t>
      </w:r>
    </w:p>
    <w:p>
      <w:pPr>
        <w:pStyle w:val="Heading1"/>
        <w:spacing w:after="160" w:before="320"/>
      </w:pPr>
      <w:r>
        <w:rPr>
          <w:rFonts w:ascii="Calibri" w:cs="Calibri" w:eastAsia="Calibri" w:hAnsi="Calibri"/>
          <w:b/>
          <w:bCs/>
          <w:color w:val="1F3864"/>
          <w:sz w:val="30"/>
          <w:szCs w:val="30"/>
        </w:rPr>
        <w:t xml:space="preserve">3. Marco conceptual: el ciclo de ejecución presupuestaria en el sistema SIGAF</w:t>
      </w:r>
    </w:p>
    <w:p>
      <w:pPr>
        <w:spacing w:after="160" w:line="276"/>
        <w:jc w:val="both"/>
      </w:pPr>
      <w:r>
        <w:rPr>
          <w:rFonts w:ascii="Calibri" w:cs="Calibri" w:eastAsia="Calibri" w:hAnsi="Calibri"/>
          <w:color w:val="262626"/>
          <w:sz w:val="22"/>
          <w:szCs w:val="22"/>
        </w:rPr>
        <w:t xml:space="preserve">El sistema SIGAF del Ministerio de Hacienda registra la ejecución del gasto público costarricense en etapas sucesivas, cada una representada por una columna monetaria en los archivos de Datos Abiertos: Presupuesto Inicial (ley aprobada, constante durante el año), Presupuesto Actual o Modificado (inicial más el efecto neto acumulado de las modificaciones y extraordinarios del año), Solicitado, Comprometido y Recepción de Mercancías (etapas intermedias del proceso de contratación y compra, expresadas como saldos al cierre de cada mes, no como acumulados), Devengado (el reconocimiento contable del gasto realizado, con independencia del pago efectivo) y Pagado (el desembolso efectivo).</w:t>
      </w:r>
    </w:p>
    <w:p>
      <w:pPr>
        <w:spacing w:after="160" w:line="276"/>
        <w:jc w:val="both"/>
      </w:pPr>
      <w:r>
        <w:rPr>
          <w:rFonts w:ascii="Calibri" w:cs="Calibri" w:eastAsia="Calibri" w:hAnsi="Calibri"/>
          <w:color w:val="262626"/>
          <w:sz w:val="22"/>
          <w:szCs w:val="22"/>
        </w:rPr>
        <w:t xml:space="preserve">En la literatura y la práctica de finanzas públicas costarricenses, el “gasto real” o “gasto ejecutado” de un período se identifica convencionalmente con el monto devengado, por ser el registro contable formal de la obligación cumplida por la Administración; el monto pagado es un indicador complementario que reflexiona, además, la gestión de tesorería.</w:t>
      </w:r>
    </w:p>
    <w:p>
      <w:pPr>
        <w:pStyle w:val="Heading1"/>
        <w:spacing w:after="160" w:before="320"/>
      </w:pPr>
      <w:r>
        <w:rPr>
          <w:rFonts w:ascii="Calibri" w:cs="Calibri" w:eastAsia="Calibri" w:hAnsi="Calibri"/>
          <w:b/>
          <w:bCs/>
          <w:color w:val="1F3864"/>
          <w:sz w:val="30"/>
          <w:szCs w:val="30"/>
        </w:rPr>
        <w:t xml:space="preserve">4. Datos y metodología</w:t>
      </w:r>
    </w:p>
    <w:p>
      <w:pPr>
        <w:pStyle w:val="Heading2"/>
        <w:spacing w:after="120" w:before="240"/>
      </w:pPr>
      <w:r>
        <w:rPr>
          <w:rFonts w:ascii="Calibri" w:cs="Calibri" w:eastAsia="Calibri" w:hAnsi="Calibri"/>
          <w:b/>
          <w:bCs/>
          <w:color w:val="2E74B5"/>
          <w:sz w:val="26"/>
          <w:szCs w:val="26"/>
        </w:rPr>
        <w:t xml:space="preserve">4.1. Fuente y cobertura</w:t>
      </w:r>
    </w:p>
    <w:p>
      <w:pPr>
        <w:spacing w:after="160" w:line="276"/>
        <w:jc w:val="both"/>
      </w:pPr>
      <w:r>
        <w:rPr>
          <w:rFonts w:ascii="Calibri" w:cs="Calibri" w:eastAsia="Calibri" w:hAnsi="Calibri"/>
          <w:color w:val="262626"/>
          <w:sz w:val="22"/>
          <w:szCs w:val="22"/>
        </w:rPr>
        <w:t xml:space="preserve">Se utilizaron los archivos DatosAbiertos_Egresos_Dic2024.xls y DatosAbiertos_Egresos2025VD.xls de la carpeta “Ingreso Egreso/” del acervo del proyecto, filtrados a las filas con Mes = “12” (cierre de año) y agregados por Titulo_Codigo, sumando las columnas PI_Monto, PP_Monto, DE_Monto y PA_Monto sobre todas las combinaciones de programa, subprograma, objeto del gasto, clasificador económico, clasificador funcional y fuente de financiamiento reportadas para cada título. Dado que estas combinaciones son categorías mutuamente excluyentes de una misma línea de gasto, la suma reproduce el total institucional sin doble conteo.</w:t>
      </w:r>
    </w:p>
    <w:p>
      <w:pPr>
        <w:spacing w:after="160" w:line="276"/>
        <w:jc w:val="both"/>
      </w:pPr>
      <w:r>
        <w:rPr>
          <w:rFonts w:ascii="Calibri" w:cs="Calibri" w:eastAsia="Calibri" w:hAnsi="Calibri"/>
          <w:color w:val="262626"/>
          <w:sz w:val="22"/>
          <w:szCs w:val="22"/>
        </w:rPr>
        <w:t xml:space="preserve">Se obtuvieron datos completos de diciembre para 26 títulos en 2024 y 27 en 2025 (aparece el título 232, “Partidas Específicas”, sin registros en 2024). El devengado agregado de las instituciones cubiertas fue de ₡11.846.343.073.631 en 2024 y ₡11.700.693.432.745 en 2025.</w:t>
      </w:r>
    </w:p>
    <w:p>
      <w:pPr>
        <w:pStyle w:val="Heading2"/>
        <w:spacing w:after="120" w:before="240"/>
      </w:pPr>
      <w:r>
        <w:rPr>
          <w:rFonts w:ascii="Calibri" w:cs="Calibri" w:eastAsia="Calibri" w:hAnsi="Calibri"/>
          <w:b/>
          <w:bCs/>
          <w:color w:val="2E74B5"/>
          <w:sz w:val="26"/>
          <w:szCs w:val="26"/>
        </w:rPr>
        <w:t xml:space="preserve">4.2. Definición operativa de las variables</w:t>
      </w:r>
    </w:p>
    <w:p>
      <w:pPr>
        <w:pStyle w:val="ListParagraph"/>
        <w:numPr>
          <w:ilvl w:val="0"/>
          <w:numId w:val="1"/>
        </w:numPr>
        <w:spacing w:after="100" w:line="276"/>
      </w:pPr>
      <w:r>
        <w:rPr>
          <w:rFonts w:ascii="Calibri" w:cs="Calibri" w:eastAsia="Calibri" w:hAnsi="Calibri"/>
          <w:color w:val="262626"/>
          <w:sz w:val="22"/>
          <w:szCs w:val="22"/>
        </w:rPr>
        <w:t xml:space="preserve">Presupuesto modificado (PP): presupuesto autorizado vigente al cierre del año, después de aplicar todas las modificaciones presupuestarias — se interpreta como “lo presupuestado/autorizado”.</w:t>
      </w:r>
    </w:p>
    <w:p>
      <w:pPr>
        <w:pStyle w:val="ListParagraph"/>
        <w:numPr>
          <w:ilvl w:val="0"/>
          <w:numId w:val="1"/>
        </w:numPr>
        <w:spacing w:after="100" w:line="276"/>
      </w:pPr>
      <w:r>
        <w:rPr>
          <w:rFonts w:ascii="Calibri" w:cs="Calibri" w:eastAsia="Calibri" w:hAnsi="Calibri"/>
          <w:color w:val="262626"/>
          <w:sz w:val="22"/>
          <w:szCs w:val="22"/>
        </w:rPr>
        <w:t xml:space="preserve">Devengado (DE): gasto contablemente reconocido al cierre del año — se interpreta como “lo real ejecutado”, siguiendo la convención contable pública costarricense.</w:t>
      </w:r>
    </w:p>
    <w:p>
      <w:pPr>
        <w:pStyle w:val="ListParagraph"/>
        <w:numPr>
          <w:ilvl w:val="0"/>
          <w:numId w:val="1"/>
        </w:numPr>
        <w:spacing w:after="100" w:line="276"/>
      </w:pPr>
      <w:r>
        <w:rPr>
          <w:rFonts w:ascii="Calibri" w:cs="Calibri" w:eastAsia="Calibri" w:hAnsi="Calibri"/>
          <w:color w:val="262626"/>
          <w:sz w:val="22"/>
          <w:szCs w:val="22"/>
        </w:rPr>
        <w:t xml:space="preserve">Tasa de ejecución = DE / PP × 100, calculada de forma independiente para 2024 y para 2025.</w:t>
      </w:r>
    </w:p>
    <w:p>
      <w:pPr>
        <w:pStyle w:val="ListParagraph"/>
        <w:numPr>
          <w:ilvl w:val="0"/>
          <w:numId w:val="1"/>
        </w:numPr>
        <w:spacing w:after="100" w:line="276"/>
      </w:pPr>
      <w:r>
        <w:rPr>
          <w:rFonts w:ascii="Calibri" w:cs="Calibri" w:eastAsia="Calibri" w:hAnsi="Calibri"/>
          <w:color w:val="262626"/>
          <w:sz w:val="22"/>
          <w:szCs w:val="22"/>
        </w:rPr>
        <w:t xml:space="preserve">Δ tasa de ejecución (pp) = Tasa 2025 − Tasa 2024.</w:t>
      </w:r>
    </w:p>
    <w:p>
      <w:pPr>
        <w:pStyle w:val="ListParagraph"/>
        <w:numPr>
          <w:ilvl w:val="0"/>
          <w:numId w:val="1"/>
        </w:numPr>
        <w:spacing w:after="100" w:line="276"/>
      </w:pPr>
      <w:r>
        <w:rPr>
          <w:rFonts w:ascii="Calibri" w:cs="Calibri" w:eastAsia="Calibri" w:hAnsi="Calibri"/>
          <w:color w:val="262626"/>
          <w:sz w:val="22"/>
          <w:szCs w:val="22"/>
        </w:rPr>
        <w:t xml:space="preserve">Variación nominal porcentual = (Valor 2025 − Valor 2024) / Valor 2024 × 100, aplicada por separado a PP, DE y PA.</w:t>
      </w:r>
    </w:p>
    <w:p>
      <w:pPr>
        <w:pStyle w:val="Heading2"/>
        <w:spacing w:after="120" w:before="240"/>
      </w:pPr>
      <w:r>
        <w:rPr>
          <w:rFonts w:ascii="Calibri" w:cs="Calibri" w:eastAsia="Calibri" w:hAnsi="Calibri"/>
          <w:b/>
          <w:bCs/>
          <w:color w:val="2E74B5"/>
          <w:sz w:val="26"/>
          <w:szCs w:val="26"/>
        </w:rPr>
        <w:t xml:space="preserve">4.3. Hallazgo metodológico: el campo “Solicitado” no es apto para este análisis</w:t>
      </w:r>
    </w:p>
    <w:p>
      <w:pPr>
        <w:spacing w:after="160" w:line="276"/>
        <w:jc w:val="both"/>
      </w:pPr>
      <w:r>
        <w:rPr>
          <w:rFonts w:ascii="Calibri" w:cs="Calibri" w:eastAsia="Calibri" w:hAnsi="Calibri"/>
          <w:color w:val="262626"/>
          <w:sz w:val="22"/>
          <w:szCs w:val="22"/>
        </w:rPr>
        <w:t xml:space="preserve">Antes de fijar la definición operativa anterior se evaluó usar el campo SO_Monto (“Presupuesto Solicitado”) del propio archivo fuente como proxy directo de “lo solicitado”. La verificación mostró que SO_Monto es, en la práctica totalidad de los 26-27 títulos y en ambos años, igual o cercano a cero al cierre de diciembre. Esto es consistente con su definición oficial (“monto del Presupuesto Solicitado al cierre de cada mes”): es una fotografía del saldo de solicitudes de compra pendientes de trámite en ese instante —una variable de flujo residual, no un acumulado— y al cierre del año prácticamente todo lo solicitado durante el año ya fue resuelto (aprobado como compromiso, ejecutado, o descartado). Se documenta este hallazgo negativo explícitamente porque delimita el uso legítimo de esa columna en cualquier análisis futuro del mismo acervo: SO_Monto es útil para diagnosticar el flujo de solicitudes pendientes en un mes puntual, no para una comparación presupuesto-vs-ejecución de cierre de año.</w:t>
      </w:r>
    </w:p>
    <w:p>
      <w:pPr>
        <w:pStyle w:val="Heading2"/>
        <w:spacing w:after="120" w:before="240"/>
      </w:pPr>
      <w:r>
        <w:rPr>
          <w:rFonts w:ascii="Calibri" w:cs="Calibri" w:eastAsia="Calibri" w:hAnsi="Calibri"/>
          <w:b/>
          <w:bCs/>
          <w:color w:val="2E74B5"/>
          <w:sz w:val="26"/>
          <w:szCs w:val="26"/>
        </w:rPr>
        <w:t xml:space="preserve">4.4. Limitación técnica de extracción (2025 en adelante)</w:t>
      </w:r>
    </w:p>
    <w:p>
      <w:pPr>
        <w:spacing w:after="160" w:line="276"/>
        <w:jc w:val="both"/>
      </w:pPr>
      <w:r>
        <w:rPr>
          <w:rFonts w:ascii="Calibri" w:cs="Calibri" w:eastAsia="Calibri" w:hAnsi="Calibri"/>
          <w:color w:val="262626"/>
          <w:sz w:val="22"/>
          <w:szCs w:val="22"/>
        </w:rPr>
        <w:t xml:space="preserve">Los archivos de “Ingreso Egreso/” correspondientes a 2025 y años posteriores contienen texto sin comillas con comas incluidas dentro de las descripciones de los clasificadores funcional y económico (por ejemplo, una sola celda con el contenido “Órganos Ejecutivos y Legislativos, Asuntos Financieros y Fiscales, Asuntos Exteriores”), lo que produce un número variable de campos por fila (entre 46 y 56, frente a los 46 campos declarados en el encabezado) y desalinea un análisis realizado con un lector de CSV estándar. Este informe se construyó con un analizador posicional que toma los primeros cuatro campos (Ejercicio, Mes, Título, Descripción) y los últimos ocho campos (las columnas monetarias PI a PA) de cada línea, con independencia del número de campos intermedios, evitando así el desalineamiento sin necesidad de reparar el archivo fuente.</w:t>
      </w:r>
    </w:p>
    <w:p>
      <w:pPr>
        <w:pStyle w:val="Heading1"/>
        <w:spacing w:after="160" w:before="320"/>
      </w:pPr>
      <w:r>
        <w:rPr>
          <w:rFonts w:ascii="Calibri" w:cs="Calibri" w:eastAsia="Calibri" w:hAnsi="Calibri"/>
          <w:b/>
          <w:bCs/>
          <w:color w:val="1F3864"/>
          <w:sz w:val="30"/>
          <w:szCs w:val="30"/>
        </w:rPr>
        <w:t xml:space="preserve">5. Resultados</w:t>
      </w:r>
    </w:p>
    <w:p>
      <w:pPr>
        <w:pStyle w:val="Heading2"/>
        <w:spacing w:after="120" w:before="240"/>
      </w:pPr>
      <w:r>
        <w:rPr>
          <w:rFonts w:ascii="Calibri" w:cs="Calibri" w:eastAsia="Calibri" w:hAnsi="Calibri"/>
          <w:b/>
          <w:bCs/>
          <w:color w:val="2E74B5"/>
          <w:sz w:val="26"/>
          <w:szCs w:val="26"/>
        </w:rPr>
        <w:t xml:space="preserve">5.1. Panorama agregado</w:t>
      </w:r>
    </w:p>
    <w:p>
      <w:pPr>
        <w:spacing w:after="160" w:line="276"/>
        <w:jc w:val="both"/>
      </w:pPr>
      <w:r>
        <w:rPr>
          <w:rFonts w:ascii="Calibri" w:cs="Calibri" w:eastAsia="Calibri" w:hAnsi="Calibri"/>
          <w:color w:val="262626"/>
          <w:sz w:val="22"/>
          <w:szCs w:val="22"/>
        </w:rPr>
        <w:t xml:space="preserve">El presupuesto modificado agregado del Gobierno Central pasó de ₡13.814.879.650.992 en 2024 a ₡13.650.152.273.459 en 2025 (-1,2%), y el devengado agregado pasó de ₡11.846.343.073.631 a ₡11.700.693.432.745 (-1,2%). La tasa de ejecución agregada fue de 85,8% en 2024 y 85,7% en 2025. Estas cifras agregadas están dominadas por los títulos de mayor tamaño (Servicio de la Deuda Pública, Educación Pública y Regímenes de Pensiones concentran más de la mitad del devengado total) y deben leerse junto con el detalle institucional que sigue, no en su lugar.</w:t>
      </w:r>
    </w:p>
    <w:p>
      <w:pPr>
        <w:pStyle w:val="Heading2"/>
        <w:spacing w:after="120" w:before="240"/>
      </w:pPr>
      <w:r>
        <w:rPr>
          <w:rFonts w:ascii="Calibri" w:cs="Calibri" w:eastAsia="Calibri" w:hAnsi="Calibri"/>
          <w:b/>
          <w:bCs/>
          <w:color w:val="2E74B5"/>
          <w:sz w:val="26"/>
          <w:szCs w:val="26"/>
        </w:rPr>
        <w:t xml:space="preserve">5.2. Diez títulos con mayor cambio en la tasa de ejecución (puntos porcentuales)</w:t>
      </w:r>
    </w:p>
    <w:p>
      <w:pPr>
        <w:spacing w:after="160" w:line="276"/>
        <w:jc w:val="both"/>
      </w:pPr>
      <w:r>
        <w:rPr>
          <w:rFonts w:ascii="Calibri" w:cs="Calibri" w:eastAsia="Calibri" w:hAnsi="Calibri"/>
          <w:i/>
          <w:iCs/>
          <w:color w:val="262626"/>
          <w:sz w:val="22"/>
          <w:szCs w:val="22"/>
        </w:rPr>
        <w:t xml:space="preserve">Ordenados por el valor absoluto del cambio en la tasa de ejecución entre 2024 y 2025.</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1500"/>
        <w:gridCol w:w="1500"/>
        <w:gridCol w:w="1300"/>
      </w:tblGrid>
      <w:tr>
        <w:trPr>
          <w:tblHeader/>
        </w:trPr>
        <w:tc>
          <w:tcPr>
            <w:tcW w:type="dxa" w:w="9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Título</w:t>
            </w:r>
          </w:p>
        </w:tc>
        <w:tc>
          <w:tcPr>
            <w:tcW w:type="dxa" w:w="42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Institución</w:t>
            </w:r>
          </w:p>
        </w:tc>
        <w:tc>
          <w:tcPr>
            <w:tcW w:type="dxa" w:w="1500"/>
            <w:shd w:fill="1F3864" w:val="clear"/>
            <w:tcMar>
              <w:top w:type="dxa" w:w="60"/>
              <w:left w:type="dxa" w:w="100"/>
              <w:bottom w:type="dxa" w:w="60"/>
              <w:right w:type="dxa" w:w="100"/>
            </w:tcMar>
            <w:vAlign w:val="center"/>
          </w:tcPr>
          <w:p>
            <w:pPr>
              <w:jc w:val="right"/>
            </w:pPr>
            <w:r>
              <w:rPr>
                <w:rFonts w:ascii="Calibri" w:cs="Calibri" w:eastAsia="Calibri" w:hAnsi="Calibri"/>
                <w:b/>
                <w:bCs/>
                <w:color w:val="FFFFFF"/>
                <w:sz w:val="18"/>
                <w:szCs w:val="18"/>
              </w:rPr>
              <w:t xml:space="preserve">Tasa 2024</w:t>
            </w:r>
          </w:p>
        </w:tc>
        <w:tc>
          <w:tcPr>
            <w:tcW w:type="dxa" w:w="1500"/>
            <w:shd w:fill="1F3864" w:val="clear"/>
            <w:tcMar>
              <w:top w:type="dxa" w:w="60"/>
              <w:left w:type="dxa" w:w="100"/>
              <w:bottom w:type="dxa" w:w="60"/>
              <w:right w:type="dxa" w:w="100"/>
            </w:tcMar>
            <w:vAlign w:val="center"/>
          </w:tcPr>
          <w:p>
            <w:pPr>
              <w:jc w:val="right"/>
            </w:pPr>
            <w:r>
              <w:rPr>
                <w:rFonts w:ascii="Calibri" w:cs="Calibri" w:eastAsia="Calibri" w:hAnsi="Calibri"/>
                <w:b/>
                <w:bCs/>
                <w:color w:val="FFFFFF"/>
                <w:sz w:val="18"/>
                <w:szCs w:val="18"/>
              </w:rPr>
              <w:t xml:space="preserve">Tasa 2025</w:t>
            </w:r>
          </w:p>
        </w:tc>
        <w:tc>
          <w:tcPr>
            <w:tcW w:type="dxa" w:w="1300"/>
            <w:shd w:fill="1F3864" w:val="clear"/>
            <w:tcMar>
              <w:top w:type="dxa" w:w="60"/>
              <w:left w:type="dxa" w:w="100"/>
              <w:bottom w:type="dxa" w:w="60"/>
              <w:right w:type="dxa" w:w="100"/>
            </w:tcMar>
            <w:vAlign w:val="center"/>
          </w:tcPr>
          <w:p>
            <w:pPr>
              <w:jc w:val="right"/>
            </w:pPr>
            <w:r>
              <w:rPr>
                <w:rFonts w:ascii="Calibri" w:cs="Calibri" w:eastAsia="Calibri" w:hAnsi="Calibri"/>
                <w:b/>
                <w:bCs/>
                <w:color w:val="FFFFFF"/>
                <w:sz w:val="18"/>
                <w:szCs w:val="18"/>
              </w:rPr>
              <w:t xml:space="preserve">Δ (pp)</w:t>
            </w:r>
          </w:p>
        </w:tc>
      </w:tr>
      <w:tr>
        <w:tc>
          <w:tcPr>
            <w:tcW w:type="dxa" w:w="9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216</w:t>
            </w:r>
          </w:p>
        </w:tc>
        <w:tc>
          <w:tcPr>
            <w:tcW w:type="dxa" w:w="42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Ministerio de Comercio Exterior</w:t>
            </w:r>
          </w:p>
        </w:tc>
        <w:tc>
          <w:tcPr>
            <w:tcW w:type="dxa" w:w="15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47,9%</w:t>
            </w:r>
          </w:p>
        </w:tc>
        <w:tc>
          <w:tcPr>
            <w:tcW w:type="dxa" w:w="15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75,9%</w:t>
            </w:r>
          </w:p>
        </w:tc>
        <w:tc>
          <w:tcPr>
            <w:tcW w:type="dxa" w:w="13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+27,9 pp</w:t>
            </w:r>
          </w:p>
        </w:tc>
      </w:tr>
      <w:tr>
        <w:tc>
          <w:tcPr>
            <w:tcW w:type="dxa" w:w="9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201</w:t>
            </w:r>
          </w:p>
        </w:tc>
        <w:tc>
          <w:tcPr>
            <w:tcW w:type="dxa" w:w="42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Presidencia de la República</w:t>
            </w:r>
          </w:p>
        </w:tc>
        <w:tc>
          <w:tcPr>
            <w:tcW w:type="dxa" w:w="15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18,6%</w:t>
            </w:r>
          </w:p>
        </w:tc>
        <w:tc>
          <w:tcPr>
            <w:tcW w:type="dxa" w:w="15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28,7%</w:t>
            </w:r>
          </w:p>
        </w:tc>
        <w:tc>
          <w:tcPr>
            <w:tcW w:type="dxa" w:w="13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+10,1 pp</w:t>
            </w:r>
          </w:p>
        </w:tc>
      </w:tr>
      <w:tr>
        <w:tc>
          <w:tcPr>
            <w:tcW w:type="dxa" w:w="9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204</w:t>
            </w:r>
          </w:p>
        </w:tc>
        <w:tc>
          <w:tcPr>
            <w:tcW w:type="dxa" w:w="42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Ministerio de Relac. Exteriores y Culto</w:t>
            </w:r>
          </w:p>
        </w:tc>
        <w:tc>
          <w:tcPr>
            <w:tcW w:type="dxa" w:w="15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84,9%</w:t>
            </w:r>
          </w:p>
        </w:tc>
        <w:tc>
          <w:tcPr>
            <w:tcW w:type="dxa" w:w="15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79,1%</w:t>
            </w:r>
          </w:p>
        </w:tc>
        <w:tc>
          <w:tcPr>
            <w:tcW w:type="dxa" w:w="13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-5,8 pp</w:t>
            </w:r>
          </w:p>
        </w:tc>
      </w:tr>
      <w:tr>
        <w:tc>
          <w:tcPr>
            <w:tcW w:type="dxa" w:w="9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218</w:t>
            </w:r>
          </w:p>
        </w:tc>
        <w:tc>
          <w:tcPr>
            <w:tcW w:type="dxa" w:w="42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Ministerio de Ciencia y Tecnología</w:t>
            </w:r>
          </w:p>
        </w:tc>
        <w:tc>
          <w:tcPr>
            <w:tcW w:type="dxa" w:w="15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70,6%</w:t>
            </w:r>
          </w:p>
        </w:tc>
        <w:tc>
          <w:tcPr>
            <w:tcW w:type="dxa" w:w="15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76,1%</w:t>
            </w:r>
          </w:p>
        </w:tc>
        <w:tc>
          <w:tcPr>
            <w:tcW w:type="dxa" w:w="13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+5,5 pp</w:t>
            </w:r>
          </w:p>
        </w:tc>
      </w:tr>
      <w:tr>
        <w:tc>
          <w:tcPr>
            <w:tcW w:type="dxa" w:w="9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401</w:t>
            </w:r>
          </w:p>
        </w:tc>
        <w:tc>
          <w:tcPr>
            <w:tcW w:type="dxa" w:w="42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Tribunal Supremo de Elecciones</w:t>
            </w:r>
          </w:p>
        </w:tc>
        <w:tc>
          <w:tcPr>
            <w:tcW w:type="dxa" w:w="15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85,8%</w:t>
            </w:r>
          </w:p>
        </w:tc>
        <w:tc>
          <w:tcPr>
            <w:tcW w:type="dxa" w:w="15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80,4%</w:t>
            </w:r>
          </w:p>
        </w:tc>
        <w:tc>
          <w:tcPr>
            <w:tcW w:type="dxa" w:w="13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-5,4 pp</w:t>
            </w:r>
          </w:p>
        </w:tc>
      </w:tr>
      <w:tr>
        <w:tc>
          <w:tcPr>
            <w:tcW w:type="dxa" w:w="9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207</w:t>
            </w:r>
          </w:p>
        </w:tc>
        <w:tc>
          <w:tcPr>
            <w:tcW w:type="dxa" w:w="42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Ministerio de Agricultura y Ganaderia</w:t>
            </w:r>
          </w:p>
        </w:tc>
        <w:tc>
          <w:tcPr>
            <w:tcW w:type="dxa" w:w="15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16,4%</w:t>
            </w:r>
          </w:p>
        </w:tc>
        <w:tc>
          <w:tcPr>
            <w:tcW w:type="dxa" w:w="15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21,1%</w:t>
            </w:r>
          </w:p>
        </w:tc>
        <w:tc>
          <w:tcPr>
            <w:tcW w:type="dxa" w:w="13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+4,7 pp</w:t>
            </w:r>
          </w:p>
        </w:tc>
      </w:tr>
      <w:tr>
        <w:tc>
          <w:tcPr>
            <w:tcW w:type="dxa" w:w="9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209</w:t>
            </w:r>
          </w:p>
        </w:tc>
        <w:tc>
          <w:tcPr>
            <w:tcW w:type="dxa" w:w="42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Ministerio Obras Publicas y Transporte</w:t>
            </w:r>
          </w:p>
        </w:tc>
        <w:tc>
          <w:tcPr>
            <w:tcW w:type="dxa" w:w="15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45,7%</w:t>
            </w:r>
          </w:p>
        </w:tc>
        <w:tc>
          <w:tcPr>
            <w:tcW w:type="dxa" w:w="15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49,8%</w:t>
            </w:r>
          </w:p>
        </w:tc>
        <w:tc>
          <w:tcPr>
            <w:tcW w:type="dxa" w:w="13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+4,1 pp</w:t>
            </w:r>
          </w:p>
        </w:tc>
      </w:tr>
      <w:tr>
        <w:tc>
          <w:tcPr>
            <w:tcW w:type="dxa" w:w="9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103</w:t>
            </w:r>
          </w:p>
        </w:tc>
        <w:tc>
          <w:tcPr>
            <w:tcW w:type="dxa" w:w="42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Defensoría Habitantes de la República.</w:t>
            </w:r>
          </w:p>
        </w:tc>
        <w:tc>
          <w:tcPr>
            <w:tcW w:type="dxa" w:w="15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88,2%</w:t>
            </w:r>
          </w:p>
        </w:tc>
        <w:tc>
          <w:tcPr>
            <w:tcW w:type="dxa" w:w="15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91,2%</w:t>
            </w:r>
          </w:p>
        </w:tc>
        <w:tc>
          <w:tcPr>
            <w:tcW w:type="dxa" w:w="13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+3,1 pp</w:t>
            </w:r>
          </w:p>
        </w:tc>
      </w:tr>
      <w:tr>
        <w:tc>
          <w:tcPr>
            <w:tcW w:type="dxa" w:w="9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214</w:t>
            </w:r>
          </w:p>
        </w:tc>
        <w:tc>
          <w:tcPr>
            <w:tcW w:type="dxa" w:w="42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Ministerio de Justicia y Paz</w:t>
            </w:r>
          </w:p>
        </w:tc>
        <w:tc>
          <w:tcPr>
            <w:tcW w:type="dxa" w:w="15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74,4%</w:t>
            </w:r>
          </w:p>
        </w:tc>
        <w:tc>
          <w:tcPr>
            <w:tcW w:type="dxa" w:w="15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77,4%</w:t>
            </w:r>
          </w:p>
        </w:tc>
        <w:tc>
          <w:tcPr>
            <w:tcW w:type="dxa" w:w="13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+3,0 pp</w:t>
            </w:r>
          </w:p>
        </w:tc>
      </w:tr>
      <w:tr>
        <w:tc>
          <w:tcPr>
            <w:tcW w:type="dxa" w:w="9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205</w:t>
            </w:r>
          </w:p>
        </w:tc>
        <w:tc>
          <w:tcPr>
            <w:tcW w:type="dxa" w:w="42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Ministerio de Seguridad Publica</w:t>
            </w:r>
          </w:p>
        </w:tc>
        <w:tc>
          <w:tcPr>
            <w:tcW w:type="dxa" w:w="15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89,1%</w:t>
            </w:r>
          </w:p>
        </w:tc>
        <w:tc>
          <w:tcPr>
            <w:tcW w:type="dxa" w:w="15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91,8%</w:t>
            </w:r>
          </w:p>
        </w:tc>
        <w:tc>
          <w:tcPr>
            <w:tcW w:type="dxa" w:w="13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+2,7 pp</w:t>
            </w:r>
          </w:p>
        </w:tc>
      </w:tr>
    </w:tbl>
    <w:p>
      <w:pPr>
        <w:spacing w:after="240"/>
      </w:pPr>
      <w:r>
        <w:rPr>
          <w:rFonts w:ascii="Calibri" w:cs="Calibri" w:eastAsia="Calibri" w:hAnsi="Calibri"/>
          <w:b/>
          <w:bCs/>
          <w:sz w:val="17"/>
          <w:szCs w:val="17"/>
        </w:rPr>
        <w:t xml:space="preserve">Nota. Tabla 1. </w:t>
      </w:r>
      <w:r>
        <w:rPr>
          <w:rFonts w:ascii="Calibri" w:cs="Calibri" w:eastAsia="Calibri" w:hAnsi="Calibri"/>
          <w:i/>
          <w:iCs/>
          <w:sz w:val="17"/>
          <w:szCs w:val="17"/>
        </w:rPr>
        <w:t xml:space="preserve">Tasa de ejecución = Devengado / Presupuesto Modificado × 100, cierre de diciembre de cada año. pp = puntos porcentuales. Fuente: elaboración propia con datos de Hacienda/SIGAF (Datos Abiertos), archivos DatosAbiertos_Egresos_Dic2024.xls y DatosAbiertos_Egresos2025VD.xls.</w:t>
      </w:r>
    </w:p>
    <w:p>
      <w:pPr>
        <w:pStyle w:val="Heading2"/>
        <w:spacing w:after="120" w:before="240"/>
      </w:pPr>
      <w:r>
        <w:rPr>
          <w:rFonts w:ascii="Calibri" w:cs="Calibri" w:eastAsia="Calibri" w:hAnsi="Calibri"/>
          <w:b/>
          <w:bCs/>
          <w:color w:val="2E74B5"/>
          <w:sz w:val="26"/>
          <w:szCs w:val="26"/>
        </w:rPr>
        <w:t xml:space="preserve">5.3. Diez títulos con mayor variación nominal del devengado</w:t>
      </w:r>
    </w:p>
    <w:p>
      <w:pPr>
        <w:spacing w:after="160" w:line="276"/>
        <w:jc w:val="both"/>
      </w:pPr>
      <w:r>
        <w:rPr>
          <w:rFonts w:ascii="Calibri" w:cs="Calibri" w:eastAsia="Calibri" w:hAnsi="Calibri"/>
          <w:i/>
          <w:iCs/>
          <w:color w:val="262626"/>
          <w:sz w:val="22"/>
          <w:szCs w:val="22"/>
        </w:rPr>
        <w:t xml:space="preserve">Ordenados por el valor absoluto de la variación porcentual del monto devengado entre 2024 y 2025.</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900"/>
        <w:gridCol w:w="1900"/>
        <w:gridCol w:w="1100"/>
      </w:tblGrid>
      <w:tr>
        <w:trPr>
          <w:tblHeader/>
        </w:trPr>
        <w:tc>
          <w:tcPr>
            <w:tcW w:type="dxa" w:w="9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Título</w:t>
            </w:r>
          </w:p>
        </w:tc>
        <w:tc>
          <w:tcPr>
            <w:tcW w:type="dxa" w:w="36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Institución</w:t>
            </w:r>
          </w:p>
        </w:tc>
        <w:tc>
          <w:tcPr>
            <w:tcW w:type="dxa" w:w="1900"/>
            <w:shd w:fill="1F3864" w:val="clear"/>
            <w:tcMar>
              <w:top w:type="dxa" w:w="60"/>
              <w:left w:type="dxa" w:w="100"/>
              <w:bottom w:type="dxa" w:w="60"/>
              <w:right w:type="dxa" w:w="100"/>
            </w:tcMar>
            <w:vAlign w:val="center"/>
          </w:tcPr>
          <w:p>
            <w:pPr>
              <w:jc w:val="right"/>
            </w:pPr>
            <w:r>
              <w:rPr>
                <w:rFonts w:ascii="Calibri" w:cs="Calibri" w:eastAsia="Calibri" w:hAnsi="Calibri"/>
                <w:b/>
                <w:bCs/>
                <w:color w:val="FFFFFF"/>
                <w:sz w:val="18"/>
                <w:szCs w:val="18"/>
              </w:rPr>
              <w:t xml:space="preserve">Devengado 2024</w:t>
            </w:r>
          </w:p>
        </w:tc>
        <w:tc>
          <w:tcPr>
            <w:tcW w:type="dxa" w:w="1900"/>
            <w:shd w:fill="1F3864" w:val="clear"/>
            <w:tcMar>
              <w:top w:type="dxa" w:w="60"/>
              <w:left w:type="dxa" w:w="100"/>
              <w:bottom w:type="dxa" w:w="60"/>
              <w:right w:type="dxa" w:w="100"/>
            </w:tcMar>
            <w:vAlign w:val="center"/>
          </w:tcPr>
          <w:p>
            <w:pPr>
              <w:jc w:val="right"/>
            </w:pPr>
            <w:r>
              <w:rPr>
                <w:rFonts w:ascii="Calibri" w:cs="Calibri" w:eastAsia="Calibri" w:hAnsi="Calibri"/>
                <w:b/>
                <w:bCs/>
                <w:color w:val="FFFFFF"/>
                <w:sz w:val="18"/>
                <w:szCs w:val="18"/>
              </w:rPr>
              <w:t xml:space="preserve">Devengado 2025</w:t>
            </w:r>
          </w:p>
        </w:tc>
        <w:tc>
          <w:tcPr>
            <w:tcW w:type="dxa" w:w="1100"/>
            <w:shd w:fill="1F3864" w:val="clear"/>
            <w:tcMar>
              <w:top w:type="dxa" w:w="60"/>
              <w:left w:type="dxa" w:w="100"/>
              <w:bottom w:type="dxa" w:w="60"/>
              <w:right w:type="dxa" w:w="100"/>
            </w:tcMar>
            <w:vAlign w:val="center"/>
          </w:tcPr>
          <w:p>
            <w:pPr>
              <w:jc w:val="right"/>
            </w:pPr>
            <w:r>
              <w:rPr>
                <w:rFonts w:ascii="Calibri" w:cs="Calibri" w:eastAsia="Calibri" w:hAnsi="Calibri"/>
                <w:b/>
                <w:bCs/>
                <w:color w:val="FFFFFF"/>
                <w:sz w:val="18"/>
                <w:szCs w:val="18"/>
              </w:rPr>
              <w:t xml:space="preserve">Δ%</w:t>
            </w:r>
          </w:p>
        </w:tc>
      </w:tr>
      <w:tr>
        <w:tc>
          <w:tcPr>
            <w:tcW w:type="dxa" w:w="9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201</w:t>
            </w:r>
          </w:p>
        </w:tc>
        <w:tc>
          <w:tcPr>
            <w:tcW w:type="dxa" w:w="36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Presidencia de la República</w:t>
            </w:r>
          </w:p>
        </w:tc>
        <w:tc>
          <w:tcPr>
            <w:tcW w:type="dxa" w:w="19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73.863 M</w:t>
            </w:r>
          </w:p>
        </w:tc>
        <w:tc>
          <w:tcPr>
            <w:tcW w:type="dxa" w:w="19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102.702 M</w:t>
            </w:r>
          </w:p>
        </w:tc>
        <w:tc>
          <w:tcPr>
            <w:tcW w:type="dxa" w:w="11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+39,0%</w:t>
            </w:r>
          </w:p>
        </w:tc>
      </w:tr>
      <w:tr>
        <w:tc>
          <w:tcPr>
            <w:tcW w:type="dxa" w:w="9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216</w:t>
            </w:r>
          </w:p>
        </w:tc>
        <w:tc>
          <w:tcPr>
            <w:tcW w:type="dxa" w:w="36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Ministerio de Comercio Exterior</w:t>
            </w:r>
          </w:p>
        </w:tc>
        <w:tc>
          <w:tcPr>
            <w:tcW w:type="dxa" w:w="19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17.593 M</w:t>
            </w:r>
          </w:p>
        </w:tc>
        <w:tc>
          <w:tcPr>
            <w:tcW w:type="dxa" w:w="19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23.308 M</w:t>
            </w:r>
          </w:p>
        </w:tc>
        <w:tc>
          <w:tcPr>
            <w:tcW w:type="dxa" w:w="11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+32,5%</w:t>
            </w:r>
          </w:p>
        </w:tc>
      </w:tr>
      <w:tr>
        <w:tc>
          <w:tcPr>
            <w:tcW w:type="dxa" w:w="9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207</w:t>
            </w:r>
          </w:p>
        </w:tc>
        <w:tc>
          <w:tcPr>
            <w:tcW w:type="dxa" w:w="36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Ministerio de Agricultura y Ganaderia</w:t>
            </w:r>
          </w:p>
        </w:tc>
        <w:tc>
          <w:tcPr>
            <w:tcW w:type="dxa" w:w="19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56.167 M</w:t>
            </w:r>
          </w:p>
        </w:tc>
        <w:tc>
          <w:tcPr>
            <w:tcW w:type="dxa" w:w="19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70.111 M</w:t>
            </w:r>
          </w:p>
        </w:tc>
        <w:tc>
          <w:tcPr>
            <w:tcW w:type="dxa" w:w="11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+24,8%</w:t>
            </w:r>
          </w:p>
        </w:tc>
      </w:tr>
      <w:tr>
        <w:tc>
          <w:tcPr>
            <w:tcW w:type="dxa" w:w="9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215</w:t>
            </w:r>
          </w:p>
        </w:tc>
        <w:tc>
          <w:tcPr>
            <w:tcW w:type="dxa" w:w="36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Ministeerio de Vivienda y Asent. Humanos</w:t>
            </w:r>
          </w:p>
        </w:tc>
        <w:tc>
          <w:tcPr>
            <w:tcW w:type="dxa" w:w="19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5.844 M</w:t>
            </w:r>
          </w:p>
        </w:tc>
        <w:tc>
          <w:tcPr>
            <w:tcW w:type="dxa" w:w="19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7.045 M</w:t>
            </w:r>
          </w:p>
        </w:tc>
        <w:tc>
          <w:tcPr>
            <w:tcW w:type="dxa" w:w="11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+20,6%</w:t>
            </w:r>
          </w:p>
        </w:tc>
      </w:tr>
      <w:tr>
        <w:tc>
          <w:tcPr>
            <w:tcW w:type="dxa" w:w="9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211</w:t>
            </w:r>
          </w:p>
        </w:tc>
        <w:tc>
          <w:tcPr>
            <w:tcW w:type="dxa" w:w="36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Ministerio de Salud</w:t>
            </w:r>
          </w:p>
        </w:tc>
        <w:tc>
          <w:tcPr>
            <w:tcW w:type="dxa" w:w="19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362.218 M</w:t>
            </w:r>
          </w:p>
        </w:tc>
        <w:tc>
          <w:tcPr>
            <w:tcW w:type="dxa" w:w="19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332.164 M</w:t>
            </w:r>
          </w:p>
        </w:tc>
        <w:tc>
          <w:tcPr>
            <w:tcW w:type="dxa" w:w="11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-8,3%</w:t>
            </w:r>
          </w:p>
        </w:tc>
      </w:tr>
      <w:tr>
        <w:tc>
          <w:tcPr>
            <w:tcW w:type="dxa" w:w="9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218</w:t>
            </w:r>
          </w:p>
        </w:tc>
        <w:tc>
          <w:tcPr>
            <w:tcW w:type="dxa" w:w="36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Ministerio de Ciencia y Tecnología</w:t>
            </w:r>
          </w:p>
        </w:tc>
        <w:tc>
          <w:tcPr>
            <w:tcW w:type="dxa" w:w="19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8.672 M</w:t>
            </w:r>
          </w:p>
        </w:tc>
        <w:tc>
          <w:tcPr>
            <w:tcW w:type="dxa" w:w="19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9.301 M</w:t>
            </w:r>
          </w:p>
        </w:tc>
        <w:tc>
          <w:tcPr>
            <w:tcW w:type="dxa" w:w="11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+7,3%</w:t>
            </w:r>
          </w:p>
        </w:tc>
      </w:tr>
      <w:tr>
        <w:tc>
          <w:tcPr>
            <w:tcW w:type="dxa" w:w="9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203</w:t>
            </w:r>
          </w:p>
        </w:tc>
        <w:tc>
          <w:tcPr>
            <w:tcW w:type="dxa" w:w="36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Ministerio de Gobernación y Policía</w:t>
            </w:r>
          </w:p>
        </w:tc>
        <w:tc>
          <w:tcPr>
            <w:tcW w:type="dxa" w:w="19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50.702 M</w:t>
            </w:r>
          </w:p>
        </w:tc>
        <w:tc>
          <w:tcPr>
            <w:tcW w:type="dxa" w:w="19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53.837 M</w:t>
            </w:r>
          </w:p>
        </w:tc>
        <w:tc>
          <w:tcPr>
            <w:tcW w:type="dxa" w:w="11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+6,2%</w:t>
            </w:r>
          </w:p>
        </w:tc>
      </w:tr>
      <w:tr>
        <w:tc>
          <w:tcPr>
            <w:tcW w:type="dxa" w:w="9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204</w:t>
            </w:r>
          </w:p>
        </w:tc>
        <w:tc>
          <w:tcPr>
            <w:tcW w:type="dxa" w:w="36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Ministerio de Relac. Exteriores y Culto</w:t>
            </w:r>
          </w:p>
        </w:tc>
        <w:tc>
          <w:tcPr>
            <w:tcW w:type="dxa" w:w="19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23.626 M</w:t>
            </w:r>
          </w:p>
        </w:tc>
        <w:tc>
          <w:tcPr>
            <w:tcW w:type="dxa" w:w="19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24.943 M</w:t>
            </w:r>
          </w:p>
        </w:tc>
        <w:tc>
          <w:tcPr>
            <w:tcW w:type="dxa" w:w="11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+5,6%</w:t>
            </w:r>
          </w:p>
        </w:tc>
      </w:tr>
      <w:tr>
        <w:tc>
          <w:tcPr>
            <w:tcW w:type="dxa" w:w="9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205</w:t>
            </w:r>
          </w:p>
        </w:tc>
        <w:tc>
          <w:tcPr>
            <w:tcW w:type="dxa" w:w="36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Ministerio de Seguridad Publica</w:t>
            </w:r>
          </w:p>
        </w:tc>
        <w:tc>
          <w:tcPr>
            <w:tcW w:type="dxa" w:w="19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284.722 M</w:t>
            </w:r>
          </w:p>
        </w:tc>
        <w:tc>
          <w:tcPr>
            <w:tcW w:type="dxa" w:w="19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299.688 M</w:t>
            </w:r>
          </w:p>
        </w:tc>
        <w:tc>
          <w:tcPr>
            <w:tcW w:type="dxa" w:w="11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+5,3%</w:t>
            </w:r>
          </w:p>
        </w:tc>
      </w:tr>
      <w:tr>
        <w:tc>
          <w:tcPr>
            <w:tcW w:type="dxa" w:w="9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230</w:t>
            </w:r>
          </w:p>
        </w:tc>
        <w:tc>
          <w:tcPr>
            <w:tcW w:type="dxa" w:w="36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Servicio de la Deuda Pública</w:t>
            </w:r>
          </w:p>
        </w:tc>
        <w:tc>
          <w:tcPr>
            <w:tcW w:type="dxa" w:w="19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4.936.309 M</w:t>
            </w:r>
          </w:p>
        </w:tc>
        <w:tc>
          <w:tcPr>
            <w:tcW w:type="dxa" w:w="19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4.697.882 M</w:t>
            </w:r>
          </w:p>
        </w:tc>
        <w:tc>
          <w:tcPr>
            <w:tcW w:type="dxa" w:w="11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-4,8%</w:t>
            </w:r>
          </w:p>
        </w:tc>
      </w:tr>
    </w:tbl>
    <w:p>
      <w:pPr>
        <w:spacing w:after="240"/>
      </w:pPr>
      <w:r>
        <w:rPr>
          <w:rFonts w:ascii="Calibri" w:cs="Calibri" w:eastAsia="Calibri" w:hAnsi="Calibri"/>
          <w:b/>
          <w:bCs/>
          <w:sz w:val="17"/>
          <w:szCs w:val="17"/>
        </w:rPr>
        <w:t xml:space="preserve">Nota. Tabla 2. </w:t>
      </w:r>
      <w:r>
        <w:rPr>
          <w:rFonts w:ascii="Calibri" w:cs="Calibri" w:eastAsia="Calibri" w:hAnsi="Calibri"/>
          <w:i/>
          <w:iCs/>
          <w:sz w:val="17"/>
          <w:szCs w:val="17"/>
        </w:rPr>
        <w:t xml:space="preserve">Montos en millones de colones corrientes (M = millones). Fuente: elaboración propia con datos de Hacienda/SIGAF (Datos Abiertos).</w:t>
      </w:r>
    </w:p>
    <w:p>
      <w:pPr>
        <w:pStyle w:val="Heading2"/>
        <w:spacing w:after="120" w:before="240"/>
      </w:pPr>
      <w:r>
        <w:rPr>
          <w:rFonts w:ascii="Calibri" w:cs="Calibri" w:eastAsia="Calibri" w:hAnsi="Calibri"/>
          <w:b/>
          <w:bCs/>
          <w:color w:val="2E74B5"/>
          <w:sz w:val="26"/>
          <w:szCs w:val="26"/>
        </w:rPr>
        <w:t xml:space="preserve">5.4. Los movimientos más grandes en colones (no en puntos porcentuales)</w:t>
      </w:r>
    </w:p>
    <w:p>
      <w:pPr>
        <w:spacing w:after="160" w:line="276"/>
        <w:jc w:val="both"/>
      </w:pPr>
      <w:r>
        <w:rPr>
          <w:rFonts w:ascii="Calibri" w:cs="Calibri" w:eastAsia="Calibri" w:hAnsi="Calibri"/>
          <w:i/>
          <w:iCs/>
          <w:color w:val="262626"/>
          <w:sz w:val="22"/>
          <w:szCs w:val="22"/>
        </w:rPr>
        <w:t xml:space="preserve">Ordenados por el valor absoluto del cambio nominal del devengado en colones — perspectiva complementaria a las Tablas 1 y 2, dominada por los títulos de mayor tamaño presupuestario.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2800"/>
        <w:gridCol w:w="1500"/>
      </w:tblGrid>
      <w:tr>
        <w:trPr>
          <w:tblHeader/>
        </w:trPr>
        <w:tc>
          <w:tcPr>
            <w:tcW w:type="dxa" w:w="9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Título</w:t>
            </w:r>
          </w:p>
        </w:tc>
        <w:tc>
          <w:tcPr>
            <w:tcW w:type="dxa" w:w="42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Institución</w:t>
            </w:r>
          </w:p>
        </w:tc>
        <w:tc>
          <w:tcPr>
            <w:tcW w:type="dxa" w:w="2800"/>
            <w:shd w:fill="1F3864" w:val="clear"/>
            <w:tcMar>
              <w:top w:type="dxa" w:w="60"/>
              <w:left w:type="dxa" w:w="100"/>
              <w:bottom w:type="dxa" w:w="60"/>
              <w:right w:type="dxa" w:w="100"/>
            </w:tcMar>
            <w:vAlign w:val="center"/>
          </w:tcPr>
          <w:p>
            <w:pPr>
              <w:jc w:val="right"/>
            </w:pPr>
            <w:r>
              <w:rPr>
                <w:rFonts w:ascii="Calibri" w:cs="Calibri" w:eastAsia="Calibri" w:hAnsi="Calibri"/>
                <w:b/>
                <w:bCs/>
                <w:color w:val="FFFFFF"/>
                <w:sz w:val="18"/>
                <w:szCs w:val="18"/>
              </w:rPr>
              <w:t xml:space="preserve">Δ Devengado (colones)</w:t>
            </w:r>
          </w:p>
        </w:tc>
        <w:tc>
          <w:tcPr>
            <w:tcW w:type="dxa" w:w="1500"/>
            <w:shd w:fill="1F3864" w:val="clear"/>
            <w:tcMar>
              <w:top w:type="dxa" w:w="60"/>
              <w:left w:type="dxa" w:w="100"/>
              <w:bottom w:type="dxa" w:w="60"/>
              <w:right w:type="dxa" w:w="100"/>
            </w:tcMar>
            <w:vAlign w:val="center"/>
          </w:tcPr>
          <w:p>
            <w:pPr>
              <w:jc w:val="right"/>
            </w:pPr>
            <w:r>
              <w:rPr>
                <w:rFonts w:ascii="Calibri" w:cs="Calibri" w:eastAsia="Calibri" w:hAnsi="Calibri"/>
                <w:b/>
                <w:bCs/>
                <w:color w:val="FFFFFF"/>
                <w:sz w:val="18"/>
                <w:szCs w:val="18"/>
              </w:rPr>
              <w:t xml:space="preserve">Δ%</w:t>
            </w:r>
          </w:p>
        </w:tc>
      </w:tr>
      <w:tr>
        <w:tc>
          <w:tcPr>
            <w:tcW w:type="dxa" w:w="9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230</w:t>
            </w:r>
          </w:p>
        </w:tc>
        <w:tc>
          <w:tcPr>
            <w:tcW w:type="dxa" w:w="42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Servicio de la Deuda Pública</w:t>
            </w:r>
          </w:p>
        </w:tc>
        <w:tc>
          <w:tcPr>
            <w:tcW w:type="dxa" w:w="2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-₡238.426.942.994</w:t>
            </w:r>
          </w:p>
        </w:tc>
        <w:tc>
          <w:tcPr>
            <w:tcW w:type="dxa" w:w="15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-4,8%</w:t>
            </w:r>
          </w:p>
        </w:tc>
      </w:tr>
      <w:tr>
        <w:tc>
          <w:tcPr>
            <w:tcW w:type="dxa" w:w="9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211</w:t>
            </w:r>
          </w:p>
        </w:tc>
        <w:tc>
          <w:tcPr>
            <w:tcW w:type="dxa" w:w="42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Ministerio de Salud</w:t>
            </w:r>
          </w:p>
        </w:tc>
        <w:tc>
          <w:tcPr>
            <w:tcW w:type="dxa" w:w="2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-₡30.054.632.984</w:t>
            </w:r>
          </w:p>
        </w:tc>
        <w:tc>
          <w:tcPr>
            <w:tcW w:type="dxa" w:w="15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-8,3%</w:t>
            </w:r>
          </w:p>
        </w:tc>
      </w:tr>
      <w:tr>
        <w:tc>
          <w:tcPr>
            <w:tcW w:type="dxa" w:w="9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201</w:t>
            </w:r>
          </w:p>
        </w:tc>
        <w:tc>
          <w:tcPr>
            <w:tcW w:type="dxa" w:w="42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Presidencia de la República</w:t>
            </w:r>
          </w:p>
        </w:tc>
        <w:tc>
          <w:tcPr>
            <w:tcW w:type="dxa" w:w="2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₡28.838.763.486</w:t>
            </w:r>
          </w:p>
        </w:tc>
        <w:tc>
          <w:tcPr>
            <w:tcW w:type="dxa" w:w="15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+39,0%</w:t>
            </w:r>
          </w:p>
        </w:tc>
      </w:tr>
      <w:tr>
        <w:tc>
          <w:tcPr>
            <w:tcW w:type="dxa" w:w="9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301</w:t>
            </w:r>
          </w:p>
        </w:tc>
        <w:tc>
          <w:tcPr>
            <w:tcW w:type="dxa" w:w="42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Poder Judicial</w:t>
            </w:r>
          </w:p>
        </w:tc>
        <w:tc>
          <w:tcPr>
            <w:tcW w:type="dxa" w:w="2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₡22.902.654.769</w:t>
            </w:r>
          </w:p>
        </w:tc>
        <w:tc>
          <w:tcPr>
            <w:tcW w:type="dxa" w:w="15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+4,7%</w:t>
            </w:r>
          </w:p>
        </w:tc>
      </w:tr>
      <w:tr>
        <w:tc>
          <w:tcPr>
            <w:tcW w:type="dxa" w:w="9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205</w:t>
            </w:r>
          </w:p>
        </w:tc>
        <w:tc>
          <w:tcPr>
            <w:tcW w:type="dxa" w:w="42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Ministerio de Seguridad Publica</w:t>
            </w:r>
          </w:p>
        </w:tc>
        <w:tc>
          <w:tcPr>
            <w:tcW w:type="dxa" w:w="2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₡14.966.142.502</w:t>
            </w:r>
          </w:p>
        </w:tc>
        <w:tc>
          <w:tcPr>
            <w:tcW w:type="dxa" w:w="15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+5,3%</w:t>
            </w:r>
          </w:p>
        </w:tc>
      </w:tr>
      <w:tr>
        <w:tc>
          <w:tcPr>
            <w:tcW w:type="dxa" w:w="9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207</w:t>
            </w:r>
          </w:p>
        </w:tc>
        <w:tc>
          <w:tcPr>
            <w:tcW w:type="dxa" w:w="42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Ministerio de Agricultura y Ganaderia</w:t>
            </w:r>
          </w:p>
        </w:tc>
        <w:tc>
          <w:tcPr>
            <w:tcW w:type="dxa" w:w="2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₡13.944.118.029</w:t>
            </w:r>
          </w:p>
        </w:tc>
        <w:tc>
          <w:tcPr>
            <w:tcW w:type="dxa" w:w="15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+24,8%</w:t>
            </w:r>
          </w:p>
        </w:tc>
      </w:tr>
    </w:tbl>
    <w:p>
      <w:pPr>
        <w:pStyle w:val="Heading2"/>
        <w:spacing w:after="120" w:before="240"/>
      </w:pPr>
      <w:r>
        <w:rPr>
          <w:rFonts w:ascii="Calibri" w:cs="Calibri" w:eastAsia="Calibri" w:hAnsi="Calibri"/>
          <w:b/>
          <w:bCs/>
          <w:color w:val="2E74B5"/>
          <w:sz w:val="26"/>
          <w:szCs w:val="26"/>
        </w:rPr>
        <w:t xml:space="preserve">5.5. Un caso singular: el título 232 “Partidas Específicas”</w:t>
      </w:r>
    </w:p>
    <w:p>
      <w:pPr>
        <w:spacing w:after="160" w:line="276"/>
        <w:jc w:val="both"/>
      </w:pPr>
      <w:r>
        <w:rPr>
          <w:rFonts w:ascii="Calibri" w:cs="Calibri" w:eastAsia="Calibri" w:hAnsi="Calibri"/>
          <w:color w:val="262626"/>
          <w:sz w:val="22"/>
          <w:szCs w:val="22"/>
        </w:rPr>
        <w:t xml:space="preserve">El título 232 no tiene registros en el archivo 2024 y aparece por primera vez en 2025 con un presupuesto modificado de ₡2.500.000.000 y un devengado de ₡0 al cierre del año — una tasa de ejecución de 0%. Se trata de la brecha más extrema de todo el panel (100 puntos porcentuales de sub-ejecución en su primer año de existencia) y no admite, con la información disponible en este acervo, distinguir entre un fondo de reciente creación aún sin desembolsos por diseño (por ejemplo, condicionado a un trámite legislativo o administrativo posterior) y un caso de rigidez o atraso en la ejecución.</w:t>
      </w:r>
    </w:p>
    <w:p>
      <w:pPr>
        <w:pStyle w:val="Heading1"/>
        <w:spacing w:after="160" w:before="320"/>
      </w:pPr>
      <w:r>
        <w:rPr>
          <w:rFonts w:ascii="Calibri" w:cs="Calibri" w:eastAsia="Calibri" w:hAnsi="Calibri"/>
          <w:b/>
          <w:bCs/>
          <w:color w:val="1F3864"/>
          <w:sz w:val="30"/>
          <w:szCs w:val="30"/>
        </w:rPr>
        <w:t xml:space="preserve">6. Discusión</w:t>
      </w:r>
    </w:p>
    <w:p>
      <w:pPr>
        <w:spacing w:after="160" w:line="276"/>
        <w:jc w:val="both"/>
      </w:pPr>
      <w:r>
        <w:rPr>
          <w:rFonts w:ascii="Calibri" w:cs="Calibri" w:eastAsia="Calibri" w:hAnsi="Calibri"/>
          <w:b/>
          <w:bCs/>
          <w:color w:val="262626"/>
          <w:sz w:val="22"/>
          <w:szCs w:val="22"/>
        </w:rPr>
        <w:t xml:space="preserve">Comercio Exterior: </w:t>
      </w:r>
      <w:r>
        <w:rPr>
          <w:rFonts w:ascii="Calibri" w:cs="Calibri" w:eastAsia="Calibri" w:hAnsi="Calibri"/>
          <w:color w:val="262626"/>
          <w:sz w:val="22"/>
          <w:szCs w:val="22"/>
        </w:rPr>
        <w:t xml:space="preserve">el cambio más pronunciado en puntos porcentuales (+27,9 pp) coincide con una reducción de 16,3% en el presupuesto modificado del título y un aumento de 32,5% en el devengado. Ambos efectos elevan mecánicamente la tasa de ejecución, por lo que no puede atribuirse la mejora únicamente a una gestión más eficiente sin examinar la composición del gasto por objeto (nivel de detalle no explorado en este informe).</w:t>
      </w:r>
    </w:p>
    <w:p>
      <w:pPr>
        <w:spacing w:after="160" w:line="276"/>
        <w:jc w:val="both"/>
      </w:pPr>
      <w:r>
        <w:rPr>
          <w:rFonts w:ascii="Calibri" w:cs="Calibri" w:eastAsia="Calibri" w:hAnsi="Calibri"/>
          <w:b/>
          <w:bCs/>
          <w:color w:val="262626"/>
          <w:sz w:val="22"/>
          <w:szCs w:val="22"/>
        </w:rPr>
        <w:t xml:space="preserve">Presidencia de la República: </w:t>
      </w:r>
      <w:r>
        <w:rPr>
          <w:rFonts w:ascii="Calibri" w:cs="Calibri" w:eastAsia="Calibri" w:hAnsi="Calibri"/>
          <w:color w:val="262626"/>
          <w:sz w:val="22"/>
          <w:szCs w:val="22"/>
        </w:rPr>
        <w:t xml:space="preserve">con una tasa de ejecución de 18,6% a 28,7% —la más baja del Gobierno Central en ambos años, muy por debajo del resto de instituciones, que en su mayoría ejecutan entre 80% y 99%— el hallazgo es consistente con la hipótesis de que este título concentra partidas de transferencia o inversión con desembolso condicionado a hitos externos, pero esta explicación no se verifica con los datos agregados por título; requiere desagregación por subpartida de objeto del gasto.</w:t>
      </w:r>
    </w:p>
    <w:p>
      <w:pPr>
        <w:spacing w:after="160" w:line="276"/>
        <w:jc w:val="both"/>
      </w:pPr>
      <w:r>
        <w:rPr>
          <w:rFonts w:ascii="Calibri" w:cs="Calibri" w:eastAsia="Calibri" w:hAnsi="Calibri"/>
          <w:b/>
          <w:bCs/>
          <w:color w:val="262626"/>
          <w:sz w:val="22"/>
          <w:szCs w:val="22"/>
        </w:rPr>
        <w:t xml:space="preserve">Servicio de la Deuda Pública y Régimen de Pensiones: </w:t>
      </w:r>
      <w:r>
        <w:rPr>
          <w:rFonts w:ascii="Calibri" w:cs="Calibri" w:eastAsia="Calibri" w:hAnsi="Calibri"/>
          <w:color w:val="262626"/>
          <w:sz w:val="22"/>
          <w:szCs w:val="22"/>
        </w:rPr>
        <w:t xml:space="preserve">aunque su cambio de tasa de ejecución es moderado (entre −2 y −3 pp), concentran, en términos de colones, los mayores movimientos absolutos del sistema por su tamaño (juntos representan cerca de la mitad del devengado agregado del Gobierno Central). Un análisis centrado exclusivamente en cambios porcentuales de tasa dejaría estos movimientos fuera de cualquier síntesis, motivo por el cual este informe reporta ambas métricas de forma explícita y separada (Secciones 5.2 y 5.3-5.4).</w:t>
      </w:r>
    </w:p>
    <w:p>
      <w:pPr>
        <w:spacing w:after="160" w:line="276"/>
        <w:jc w:val="both"/>
      </w:pPr>
      <w:r>
        <w:rPr>
          <w:rFonts w:ascii="Calibri" w:cs="Calibri" w:eastAsia="Calibri" w:hAnsi="Calibri"/>
          <w:color w:val="262626"/>
          <w:sz w:val="22"/>
          <w:szCs w:val="22"/>
        </w:rPr>
        <w:t xml:space="preserve">En conjunto, los resultados son compatibles con una lectura descriptiva de heterogeneidad institucional en la ejecución presupuestaria 2024-2025, sin que el diseño de este informe permita atribuir esa heterogeneidad a causas específicas de gestión, de diseño presupuestario o de contexto sectorial. Esa atribución requeriría un diseño distinto (por ejemplo, desagregación por objeto del gasto, entrevistas con las oficinas presupuestarias institucionales, o comparación con series más largas que las de dos años aquí usadas).</w:t>
      </w:r>
    </w:p>
    <w:p>
      <w:pPr>
        <w:pStyle w:val="Heading1"/>
        <w:spacing w:after="160" w:before="320"/>
      </w:pPr>
      <w:r>
        <w:rPr>
          <w:rFonts w:ascii="Calibri" w:cs="Calibri" w:eastAsia="Calibri" w:hAnsi="Calibri"/>
          <w:b/>
          <w:bCs/>
          <w:color w:val="1F3864"/>
          <w:sz w:val="30"/>
          <w:szCs w:val="30"/>
        </w:rPr>
        <w:t xml:space="preserve">7. Limitaciones</w:t>
      </w:r>
    </w:p>
    <w:p>
      <w:pPr>
        <w:pStyle w:val="ListParagraph"/>
        <w:numPr>
          <w:ilvl w:val="0"/>
          <w:numId w:val="1"/>
        </w:numPr>
        <w:spacing w:after="100" w:line="276"/>
      </w:pPr>
      <w:r>
        <w:rPr>
          <w:rFonts w:ascii="Calibri" w:cs="Calibri" w:eastAsia="Calibri" w:hAnsi="Calibri"/>
          <w:color w:val="262626"/>
          <w:sz w:val="22"/>
          <w:szCs w:val="22"/>
        </w:rPr>
        <w:t xml:space="preserve">Ventana temporal de dos años. La comparación 2024-2025 no permite distinguir un cambio estructural de una fluctuación propia de la variabilidad año a año; una serie más larga (por ejemplo 2018-2025, ya disponible en el acervo del proyecto) sería necesaria para esa distinción.</w:t>
      </w:r>
    </w:p>
    <w:p>
      <w:pPr>
        <w:pStyle w:val="ListParagraph"/>
        <w:numPr>
          <w:ilvl w:val="0"/>
          <w:numId w:val="1"/>
        </w:numPr>
        <w:spacing w:after="100" w:line="276"/>
      </w:pPr>
      <w:r>
        <w:rPr>
          <w:rFonts w:ascii="Calibri" w:cs="Calibri" w:eastAsia="Calibri" w:hAnsi="Calibri"/>
          <w:color w:val="262626"/>
          <w:sz w:val="22"/>
          <w:szCs w:val="22"/>
        </w:rPr>
        <w:t xml:space="preserve">Nivel de agregación institucional. Los resultados están agregados a nivel de título presupuestario; no se examinó el detalle por programa, subprograma u objeto del gasto, que podría explicar los cambios observados (por ejemplo, en el caso de Comercio Exterior y Presidencia de la República, Sección 6).</w:t>
      </w:r>
    </w:p>
    <w:p>
      <w:pPr>
        <w:pStyle w:val="ListParagraph"/>
        <w:numPr>
          <w:ilvl w:val="0"/>
          <w:numId w:val="1"/>
        </w:numPr>
        <w:spacing w:after="100" w:line="276"/>
      </w:pPr>
      <w:r>
        <w:rPr>
          <w:rFonts w:ascii="Calibri" w:cs="Calibri" w:eastAsia="Calibri" w:hAnsi="Calibri"/>
          <w:color w:val="262626"/>
          <w:sz w:val="22"/>
          <w:szCs w:val="22"/>
        </w:rPr>
        <w:t xml:space="preserve">Ausencia de deflactación. Las variaciones reportadas son nominales, no reales. Entre 2024 y 2025 la inflación en Costa Rica fue baja según la serie del IPC usada en informes previos del proyecto (04, 07 y 08), por lo que la distorsión esperada es menor que en comparaciones de década completa, pero no nula.</w:t>
      </w:r>
    </w:p>
    <w:p>
      <w:pPr>
        <w:pStyle w:val="ListParagraph"/>
        <w:numPr>
          <w:ilvl w:val="0"/>
          <w:numId w:val="1"/>
        </w:numPr>
        <w:spacing w:after="100" w:line="276"/>
      </w:pPr>
      <w:r>
        <w:rPr>
          <w:rFonts w:ascii="Calibri" w:cs="Calibri" w:eastAsia="Calibri" w:hAnsi="Calibri"/>
          <w:color w:val="262626"/>
          <w:sz w:val="22"/>
          <w:szCs w:val="22"/>
        </w:rPr>
        <w:t xml:space="preserve">Solo egresos. No se incluyó el componente de Ingresos, disponible en los mismos archivos fuente (DatosAbiertos_Ingresos_Dic2024.xls y DatosAbiertos_Ingresos2025VD.xls) pero no procesado en esta versión.</w:t>
      </w:r>
    </w:p>
    <w:p>
      <w:pPr>
        <w:pStyle w:val="ListParagraph"/>
        <w:numPr>
          <w:ilvl w:val="0"/>
          <w:numId w:val="1"/>
        </w:numPr>
        <w:spacing w:after="100" w:line="276"/>
      </w:pPr>
      <w:r>
        <w:rPr>
          <w:rFonts w:ascii="Calibri" w:cs="Calibri" w:eastAsia="Calibri" w:hAnsi="Calibri"/>
          <w:color w:val="262626"/>
          <w:sz w:val="22"/>
          <w:szCs w:val="22"/>
        </w:rPr>
        <w:t xml:space="preserve">El denominador de la tasa de ejecución es el presupuesto modificado (PP), no el inicial (PI). Una tasa de ejecución alta puede reflejar una reducción del presupuesto modificado tanto como una mejor ejecución del gasto (caso de Comercio Exterior, Sección 6); ambas cifras deben leerse en conjunto, nunca la tasa de forma aislada.</w:t>
      </w:r>
    </w:p>
    <w:p>
      <w:pPr>
        <w:pStyle w:val="ListParagraph"/>
        <w:numPr>
          <w:ilvl w:val="0"/>
          <w:numId w:val="1"/>
        </w:numPr>
        <w:spacing w:after="100" w:line="276"/>
      </w:pPr>
      <w:r>
        <w:rPr>
          <w:rFonts w:ascii="Calibri" w:cs="Calibri" w:eastAsia="Calibri" w:hAnsi="Calibri"/>
          <w:color w:val="262626"/>
          <w:sz w:val="22"/>
          <w:szCs w:val="22"/>
        </w:rPr>
        <w:t xml:space="preserve">Calidad de la fuente. Los archivos 2025 en adelante presentan comas sin comillas dentro de campos de texto (Sección 4.4), lo que exige un procesamiento no estándar; si bien se verificó la consistencia de los totales obtenidos, no se realizó una auditoría exhaustiva fila por fila del archivo fuente completo.</w:t>
      </w:r>
    </w:p>
    <w:p>
      <w:pPr>
        <w:pStyle w:val="ListParagraph"/>
        <w:numPr>
          <w:ilvl w:val="0"/>
          <w:numId w:val="1"/>
        </w:numPr>
        <w:spacing w:after="100" w:line="276"/>
      </w:pPr>
      <w:r>
        <w:rPr>
          <w:rFonts w:ascii="Calibri" w:cs="Calibri" w:eastAsia="Calibri" w:hAnsi="Calibri"/>
          <w:color w:val="262626"/>
          <w:sz w:val="22"/>
          <w:szCs w:val="22"/>
        </w:rPr>
        <w:t xml:space="preserve">No se estableció una relación causal entre ningún factor institucional, sectorial o de gestión y los cambios observados en la tasa de ejecución. Las explicaciones ofrecidas en la Sección 6 son hipótesis razonables para investigación futura, no conclusiones respaldadas por el diseño de este informe.</w:t>
      </w:r>
    </w:p>
    <w:p>
      <w:pPr>
        <w:pStyle w:val="Heading1"/>
        <w:spacing w:after="160" w:before="320"/>
      </w:pPr>
      <w:r>
        <w:rPr>
          <w:rFonts w:ascii="Calibri" w:cs="Calibri" w:eastAsia="Calibri" w:hAnsi="Calibri"/>
          <w:b/>
          <w:bCs/>
          <w:color w:val="1F3864"/>
          <w:sz w:val="30"/>
          <w:szCs w:val="30"/>
        </w:rPr>
        <w:t xml:space="preserve">8. Conclusiones</w:t>
      </w:r>
    </w:p>
    <w:p>
      <w:pPr>
        <w:spacing w:after="160" w:line="276"/>
        <w:jc w:val="both"/>
      </w:pPr>
      <w:r>
        <w:rPr>
          <w:rFonts w:ascii="Calibri" w:cs="Calibri" w:eastAsia="Calibri" w:hAnsi="Calibri"/>
          <w:color w:val="262626"/>
          <w:sz w:val="22"/>
          <w:szCs w:val="22"/>
        </w:rPr>
        <w:t xml:space="preserve">Este seguimiento documenta, por primera vez en el proyecto, la brecha entre presupuesto modificado y gasto devengado a nivel de título presupuestario del Gobierno Central costarricense para dos años consecutivos (2024-2025), aprovechando la incorporación reciente de los datos de ejecución mensual de Hacienda/SIGAF al acervo documental.</w:t>
      </w:r>
    </w:p>
    <w:p>
      <w:pPr>
        <w:spacing w:after="160" w:line="276"/>
        <w:jc w:val="both"/>
      </w:pPr>
      <w:r>
        <w:rPr>
          <w:rFonts w:ascii="Calibri" w:cs="Calibri" w:eastAsia="Calibri" w:hAnsi="Calibri"/>
          <w:color w:val="262626"/>
          <w:sz w:val="22"/>
          <w:szCs w:val="22"/>
        </w:rPr>
        <w:t xml:space="preserve">Tres hallazgos concretos se sostienen con la evidencia disponible: (1) el Ministerio de Comercio Exterior tuvo el mayor cambio relativo de ejecución del período, parcialmente explicado por una reducción del presupuesto modificado; (2) la Presidencia de la República, pese a mejorar, mantiene la ejecución más baja del Gobierno Central en ambos años; y (3) el nuevo título 232 “Partidas Específicas” inició su primer año con ejecución nula. Un cuarto hallazgo metodológico —la inutilidad del campo “Solicitado” de SIGAF para comparaciones de cierre de año— se documenta como una contribución de utilidad directa para el resto del proyecto.</w:t>
      </w:r>
    </w:p>
    <w:p>
      <w:pPr>
        <w:spacing w:after="160" w:line="276"/>
        <w:jc w:val="both"/>
      </w:pPr>
      <w:r>
        <w:rPr>
          <w:rFonts w:ascii="Calibri" w:cs="Calibri" w:eastAsia="Calibri" w:hAnsi="Calibri"/>
          <w:color w:val="262626"/>
          <w:sz w:val="22"/>
          <w:szCs w:val="22"/>
        </w:rPr>
        <w:t xml:space="preserve">Estas conclusiones son de alcance descriptivo y comparativo, no causal, y están acotadas a la información y al nivel de agregación institucional disponibles en esta versión del acervo. No debe interpretarse ningún cambio de tasa de ejecución como evaluación de desempeño institucional sin el análisis complementario señalado en la Sección 9.</w:t>
      </w:r>
    </w:p>
    <w:p>
      <w:pPr>
        <w:pStyle w:val="Heading1"/>
        <w:spacing w:after="160" w:before="320"/>
      </w:pPr>
      <w:r>
        <w:rPr>
          <w:rFonts w:ascii="Calibri" w:cs="Calibri" w:eastAsia="Calibri" w:hAnsi="Calibri"/>
          <w:b/>
          <w:bCs/>
          <w:color w:val="1F3864"/>
          <w:sz w:val="30"/>
          <w:szCs w:val="30"/>
        </w:rPr>
        <w:t xml:space="preserve">9. Recomendaciones y líneas de seguimiento</w:t>
      </w:r>
    </w:p>
    <w:p>
      <w:pPr>
        <w:pStyle w:val="ListParagraph"/>
        <w:numPr>
          <w:ilvl w:val="0"/>
          <w:numId w:val="1"/>
        </w:numPr>
        <w:spacing w:after="100" w:line="276"/>
      </w:pPr>
      <w:r>
        <w:rPr>
          <w:rFonts w:ascii="Calibri" w:cs="Calibri" w:eastAsia="Calibri" w:hAnsi="Calibri"/>
          <w:color w:val="262626"/>
          <w:sz w:val="22"/>
          <w:szCs w:val="22"/>
        </w:rPr>
        <w:t xml:space="preserve">Desagregar los cuatro títulos con mayores cambios (Comercio Exterior, Presidencia, Agricultura y Obras Públicas y Transportes) por objeto del gasto y programa presupuestario, usando el mismo archivo fuente a nivel de detalle (sin agregar), para distinguir cambios de composición de cambios de gestión.</w:t>
      </w:r>
    </w:p>
    <w:p>
      <w:pPr>
        <w:pStyle w:val="ListParagraph"/>
        <w:numPr>
          <w:ilvl w:val="0"/>
          <w:numId w:val="1"/>
        </w:numPr>
        <w:spacing w:after="100" w:line="276"/>
      </w:pPr>
      <w:r>
        <w:rPr>
          <w:rFonts w:ascii="Calibri" w:cs="Calibri" w:eastAsia="Calibri" w:hAnsi="Calibri"/>
          <w:color w:val="262626"/>
          <w:sz w:val="22"/>
          <w:szCs w:val="22"/>
        </w:rPr>
        <w:t xml:space="preserve">Extender el panel a la serie completa 2018-2026 disponible en “Ingreso Egreso/”, para diferenciar cambios estructurales de fluctuación año a año, siguiendo la hoja de ruta ya registrada en la Sección 9 (ítems 17-19) del manual del proyecto.</w:t>
      </w:r>
    </w:p>
    <w:p>
      <w:pPr>
        <w:pStyle w:val="ListParagraph"/>
        <w:numPr>
          <w:ilvl w:val="0"/>
          <w:numId w:val="1"/>
        </w:numPr>
        <w:spacing w:after="100" w:line="276"/>
      </w:pPr>
      <w:r>
        <w:rPr>
          <w:rFonts w:ascii="Calibri" w:cs="Calibri" w:eastAsia="Calibri" w:hAnsi="Calibri"/>
          <w:color w:val="262626"/>
          <w:sz w:val="22"/>
          <w:szCs w:val="22"/>
        </w:rPr>
        <w:t xml:space="preserve">Replicar el ejercicio para Ingresos, con los archivos DatosAbiertos_Ingresos_Dic2024.xls y DatosAbiertos_Ingresos2025VD.xls ya disponibles en el mismo acervo.</w:t>
      </w:r>
    </w:p>
    <w:p>
      <w:pPr>
        <w:pStyle w:val="ListParagraph"/>
        <w:numPr>
          <w:ilvl w:val="0"/>
          <w:numId w:val="1"/>
        </w:numPr>
        <w:spacing w:after="100" w:line="276"/>
      </w:pPr>
      <w:r>
        <w:rPr>
          <w:rFonts w:ascii="Calibri" w:cs="Calibri" w:eastAsia="Calibri" w:hAnsi="Calibri"/>
          <w:color w:val="262626"/>
          <w:sz w:val="22"/>
          <w:szCs w:val="22"/>
        </w:rPr>
        <w:t xml:space="preserve">Incorporar deflactación por IPC (BCCR/INEC), siguiendo la metodología ya validada en los informes 07 y 08 del proyecto, antes de citar las variaciones de este informe en un producto de mayor alcance (artículo, policy brief).</w:t>
      </w:r>
    </w:p>
    <w:p>
      <w:pPr>
        <w:pStyle w:val="ListParagraph"/>
        <w:numPr>
          <w:ilvl w:val="0"/>
          <w:numId w:val="1"/>
        </w:numPr>
        <w:spacing w:after="100" w:line="276"/>
      </w:pPr>
      <w:r>
        <w:rPr>
          <w:rFonts w:ascii="Calibri" w:cs="Calibri" w:eastAsia="Calibri" w:hAnsi="Calibri"/>
          <w:color w:val="262626"/>
          <w:sz w:val="22"/>
          <w:szCs w:val="22"/>
        </w:rPr>
        <w:t xml:space="preserve">Verificar directamente con el Ministerio de Hacienda o con la oficina presupuestaria del título 232 la naturaleza de “Partidas Específicas” y la razón de su ejecución nula en 2025.</w:t>
      </w:r>
    </w:p>
    <w:p>
      <w:pPr>
        <w:pStyle w:val="ListParagraph"/>
        <w:numPr>
          <w:ilvl w:val="0"/>
          <w:numId w:val="1"/>
        </w:numPr>
        <w:spacing w:after="100" w:line="276"/>
      </w:pPr>
      <w:r>
        <w:rPr>
          <w:rFonts w:ascii="Calibri" w:cs="Calibri" w:eastAsia="Calibri" w:hAnsi="Calibri"/>
          <w:color w:val="262626"/>
          <w:sz w:val="22"/>
          <w:szCs w:val="22"/>
        </w:rPr>
        <w:t xml:space="preserve">Auditar de forma más exhaustiva el archivo DatosAbiertos_Egresos2025VD.xls por el problema de comas sin comillas documentado en la Sección 4.4, antes de construir el panel mensual completo previsto en la hoja de ruta del proyecto.</w:t>
      </w:r>
    </w:p>
    <w:p>
      <w:pPr>
        <w:pStyle w:val="Heading1"/>
        <w:spacing w:after="160" w:before="320"/>
      </w:pPr>
      <w:r>
        <w:rPr>
          <w:rFonts w:ascii="Calibri" w:cs="Calibri" w:eastAsia="Calibri" w:hAnsi="Calibri"/>
          <w:b/>
          <w:bCs/>
          <w:color w:val="1F3864"/>
          <w:sz w:val="30"/>
          <w:szCs w:val="30"/>
        </w:rPr>
        <w:t xml:space="preserve">10. Reproducibilidad y disponibilidad de datos</w:t>
      </w:r>
    </w:p>
    <w:p>
      <w:pPr>
        <w:spacing w:after="160" w:line="276"/>
        <w:jc w:val="both"/>
      </w:pPr>
      <w:r>
        <w:rPr>
          <w:rFonts w:ascii="Calibri" w:cs="Calibri" w:eastAsia="Calibri" w:hAnsi="Calibri"/>
          <w:color w:val="262626"/>
          <w:sz w:val="22"/>
          <w:szCs w:val="22"/>
        </w:rPr>
        <w:t xml:space="preserve">Datos de entrada: DatosAbiertos_Egresos_Dic2024.xls y DatosAbiertos_Egresos2025VD.xls (carpeta “Ingreso Egreso/” del acervo local del proyecto “Presupuesto Nacional de la República de Costa Rica, 2018-2027”).</w:t>
      </w:r>
    </w:p>
    <w:p>
      <w:pPr>
        <w:spacing w:after="160" w:line="276"/>
        <w:jc w:val="both"/>
      </w:pPr>
      <w:r>
        <w:rPr>
          <w:rFonts w:ascii="Calibri" w:cs="Calibri" w:eastAsia="Calibri" w:hAnsi="Calibri"/>
          <w:color w:val="262626"/>
          <w:sz w:val="22"/>
          <w:szCs w:val="22"/>
        </w:rPr>
        <w:t xml:space="preserve">Procesamiento: Python 3 (biblioteca estándar), analizador posicional de línea por archivo (primeros 4 y últimos 8 campos de cada fila), agregación por Titulo_Codigo con suma simple de PI_Monto, PP_Monto, DE_Monto y PA_Monto de las filas con Mes = ‘12’.</w:t>
      </w:r>
    </w:p>
    <w:p>
      <w:pPr>
        <w:spacing w:after="160" w:line="276"/>
        <w:jc w:val="both"/>
      </w:pPr>
      <w:r>
        <w:rPr>
          <w:rFonts w:ascii="Calibri" w:cs="Calibri" w:eastAsia="Calibri" w:hAnsi="Calibri"/>
          <w:color w:val="262626"/>
          <w:sz w:val="22"/>
          <w:szCs w:val="22"/>
        </w:rPr>
        <w:t xml:space="preserve">Archivo de salida: analisis_seguimiento_ejecucion_2024_2025.csv (27 filas, una por título presupuestario, con los valores PI/PP/DE/PA de ambos años, la tasa de ejecución de cada año y las cuatro variaciones porcentuales/en puntos porcentuales usadas en este informe), disponible en la misma carpeta del proyecto.</w:t>
      </w:r>
    </w:p>
    <w:p>
      <w:pPr>
        <w:spacing w:after="160" w:line="276"/>
        <w:jc w:val="both"/>
      </w:pPr>
      <w:r>
        <w:rPr>
          <w:rFonts w:ascii="Calibri" w:cs="Calibri" w:eastAsia="Calibri" w:hAnsi="Calibri"/>
          <w:color w:val="262626"/>
          <w:sz w:val="22"/>
          <w:szCs w:val="22"/>
        </w:rPr>
        <w:t xml:space="preserve">No se utilizaron semillas aleatorias, muestreo ni modelos estadísticos: el ejercicio es de agregación y comparación determinística sobre el universo completo de instituciones reportadas por la fuente en diciembre de cada año.</w:t>
      </w:r>
    </w:p>
    <w:p>
      <w:pPr>
        <w:pStyle w:val="Heading1"/>
        <w:spacing w:after="160" w:before="320"/>
      </w:pPr>
      <w:r>
        <w:rPr>
          <w:rFonts w:ascii="Calibri" w:cs="Calibri" w:eastAsia="Calibri" w:hAnsi="Calibri"/>
          <w:b/>
          <w:bCs/>
          <w:color w:val="1F3864"/>
          <w:sz w:val="30"/>
          <w:szCs w:val="30"/>
        </w:rPr>
        <w:t xml:space="preserve">11. Declaración de uso de inteligencia artificial</w:t>
      </w:r>
    </w:p>
    <w:p>
      <w:pPr>
        <w:spacing w:after="160" w:line="276"/>
        <w:jc w:val="both"/>
      </w:pPr>
      <w:r>
        <w:rPr>
          <w:rFonts w:ascii="Calibri" w:cs="Calibri" w:eastAsia="Calibri" w:hAnsi="Calibri"/>
          <w:color w:val="262626"/>
          <w:sz w:val="22"/>
          <w:szCs w:val="22"/>
        </w:rPr>
        <w:t xml:space="preserve">Se utilizó inteligencia artificial generativa (Claude, Anthropic) como apoyo en la extracción y agregación programática de los datos fuente, la redacción del texto y la maquetación institucional de este documento. Los datos de entrada, las cifras y las tablas resultantes provienen de un procesamiento determinístico y verificable de los archivos oficiales de Hacienda/SIGAF señalados en la Sección 10; el investigador responsable del proyecto revisó la consistencia conceptual y numérica del contenido y asume responsabilidad por el resultado final.</w:t>
      </w:r>
    </w:p>
    <w:p>
      <w:pPr>
        <w:pStyle w:val="Heading1"/>
        <w:spacing w:after="160" w:before="320"/>
      </w:pPr>
      <w:r>
        <w:rPr>
          <w:rFonts w:ascii="Calibri" w:cs="Calibri" w:eastAsia="Calibri" w:hAnsi="Calibri"/>
          <w:b/>
          <w:bCs/>
          <w:color w:val="1F3864"/>
          <w:sz w:val="30"/>
          <w:szCs w:val="30"/>
        </w:rPr>
        <w:t xml:space="preserve">12. Referencias</w:t>
      </w:r>
    </w:p>
    <w:p>
      <w:pPr>
        <w:spacing w:after="160" w:line="276"/>
        <w:jc w:val="both"/>
      </w:pPr>
      <w:r>
        <w:rPr>
          <w:rFonts w:ascii="Calibri" w:cs="Calibri" w:eastAsia="Calibri" w:hAnsi="Calibri"/>
          <w:color w:val="262626"/>
          <w:sz w:val="22"/>
          <w:szCs w:val="22"/>
        </w:rPr>
        <w:t xml:space="preserve">Ministerio de Hacienda de Costa Rica. (2026). Datos Abiertos — Ejecución presupuestaria del Gobierno Central [Conjunto de datos]. Portal de Datos Abiertos, Ministerio de Hacienda. Sistema Integrado de Gestión de la Administración Financiera (SIGAF).</w:t>
      </w:r>
    </w:p>
    <w:p>
      <w:pPr>
        <w:spacing w:after="160" w:line="276"/>
        <w:jc w:val="both"/>
      </w:pPr>
      <w:r>
        <w:rPr>
          <w:rFonts w:ascii="Calibri" w:cs="Calibri" w:eastAsia="Calibri" w:hAnsi="Calibri"/>
          <w:color w:val="262626"/>
          <w:sz w:val="22"/>
          <w:szCs w:val="22"/>
        </w:rPr>
        <w:t xml:space="preserve">Contraloría General de la República de Costa Rica. (2026). Sistema de Información sobre Planes y Presupuestos Públicos (SIPP) — Manual de usuario, consultas.</w:t>
      </w:r>
    </w:p>
    <w:p>
      <w:pPr>
        <w:pStyle w:val="Heading1"/>
        <w:spacing w:after="160" w:before="320"/>
      </w:pPr>
      <w:r>
        <w:rPr>
          <w:rFonts w:ascii="Calibri" w:cs="Calibri" w:eastAsia="Calibri" w:hAnsi="Calibri"/>
          <w:b/>
          <w:bCs/>
          <w:color w:val="1F3864"/>
          <w:sz w:val="30"/>
          <w:szCs w:val="30"/>
        </w:rPr>
        <w:t xml:space="preserve">13. Anexo. Panel completo por título presupuestario, 2024-2025</w:t>
      </w:r>
    </w:p>
    <w:p>
      <w:pPr>
        <w:spacing w:after="160" w:line="276"/>
        <w:jc w:val="both"/>
      </w:pPr>
      <w:r>
        <w:rPr>
          <w:rFonts w:ascii="Calibri" w:cs="Calibri" w:eastAsia="Calibri" w:hAnsi="Calibri"/>
          <w:i/>
          <w:iCs/>
          <w:color w:val="262626"/>
          <w:sz w:val="22"/>
          <w:szCs w:val="22"/>
        </w:rPr>
        <w:t xml:space="preserve">Presupuesto modificado (PP), devengado (DE) y tasa de ejecución (DE/PP), 26-27 títulos presupuestarios, cierre de diciembre de cada año. Montos en millones de colones corrientes.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050"/>
        <w:gridCol w:w="1050"/>
        <w:gridCol w:w="800"/>
        <w:gridCol w:w="1050"/>
        <w:gridCol w:w="1050"/>
        <w:gridCol w:w="800"/>
        <w:gridCol w:w="800"/>
      </w:tblGrid>
      <w:tr>
        <w:trPr>
          <w:tblHeader/>
        </w:trPr>
        <w:tc>
          <w:tcPr>
            <w:tcW w:type="dxa" w:w="7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Título</w:t>
            </w:r>
          </w:p>
        </w:tc>
        <w:tc>
          <w:tcPr>
            <w:tcW w:type="dxa" w:w="25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Institución</w:t>
            </w:r>
          </w:p>
        </w:tc>
        <w:tc>
          <w:tcPr>
            <w:tcW w:type="dxa" w:w="1050"/>
            <w:shd w:fill="1F3864" w:val="clear"/>
            <w:tcMar>
              <w:top w:type="dxa" w:w="60"/>
              <w:left w:type="dxa" w:w="100"/>
              <w:bottom w:type="dxa" w:w="60"/>
              <w:right w:type="dxa" w:w="100"/>
            </w:tcMar>
            <w:vAlign w:val="center"/>
          </w:tcPr>
          <w:p>
            <w:pPr>
              <w:jc w:val="right"/>
            </w:pPr>
            <w:r>
              <w:rPr>
                <w:rFonts w:ascii="Calibri" w:cs="Calibri" w:eastAsia="Calibri" w:hAnsi="Calibri"/>
                <w:b/>
                <w:bCs/>
                <w:color w:val="FFFFFF"/>
                <w:sz w:val="18"/>
                <w:szCs w:val="18"/>
              </w:rPr>
              <w:t xml:space="preserve">PP 2024</w:t>
            </w:r>
          </w:p>
        </w:tc>
        <w:tc>
          <w:tcPr>
            <w:tcW w:type="dxa" w:w="1050"/>
            <w:shd w:fill="1F3864" w:val="clear"/>
            <w:tcMar>
              <w:top w:type="dxa" w:w="60"/>
              <w:left w:type="dxa" w:w="100"/>
              <w:bottom w:type="dxa" w:w="60"/>
              <w:right w:type="dxa" w:w="100"/>
            </w:tcMar>
            <w:vAlign w:val="center"/>
          </w:tcPr>
          <w:p>
            <w:pPr>
              <w:jc w:val="right"/>
            </w:pPr>
            <w:r>
              <w:rPr>
                <w:rFonts w:ascii="Calibri" w:cs="Calibri" w:eastAsia="Calibri" w:hAnsi="Calibri"/>
                <w:b/>
                <w:bCs/>
                <w:color w:val="FFFFFF"/>
                <w:sz w:val="18"/>
                <w:szCs w:val="18"/>
              </w:rPr>
              <w:t xml:space="preserve">DE 2024</w:t>
            </w:r>
          </w:p>
        </w:tc>
        <w:tc>
          <w:tcPr>
            <w:tcW w:type="dxa" w:w="800"/>
            <w:shd w:fill="1F3864" w:val="clear"/>
            <w:tcMar>
              <w:top w:type="dxa" w:w="60"/>
              <w:left w:type="dxa" w:w="100"/>
              <w:bottom w:type="dxa" w:w="60"/>
              <w:right w:type="dxa" w:w="100"/>
            </w:tcMar>
            <w:vAlign w:val="center"/>
          </w:tcPr>
          <w:p>
            <w:pPr>
              <w:jc w:val="right"/>
            </w:pPr>
            <w:r>
              <w:rPr>
                <w:rFonts w:ascii="Calibri" w:cs="Calibri" w:eastAsia="Calibri" w:hAnsi="Calibri"/>
                <w:b/>
                <w:bCs/>
                <w:color w:val="FFFFFF"/>
                <w:sz w:val="18"/>
                <w:szCs w:val="18"/>
              </w:rPr>
              <w:t xml:space="preserve">Tasa 24</w:t>
            </w:r>
          </w:p>
        </w:tc>
        <w:tc>
          <w:tcPr>
            <w:tcW w:type="dxa" w:w="1050"/>
            <w:shd w:fill="1F3864" w:val="clear"/>
            <w:tcMar>
              <w:top w:type="dxa" w:w="60"/>
              <w:left w:type="dxa" w:w="100"/>
              <w:bottom w:type="dxa" w:w="60"/>
              <w:right w:type="dxa" w:w="100"/>
            </w:tcMar>
            <w:vAlign w:val="center"/>
          </w:tcPr>
          <w:p>
            <w:pPr>
              <w:jc w:val="right"/>
            </w:pPr>
            <w:r>
              <w:rPr>
                <w:rFonts w:ascii="Calibri" w:cs="Calibri" w:eastAsia="Calibri" w:hAnsi="Calibri"/>
                <w:b/>
                <w:bCs/>
                <w:color w:val="FFFFFF"/>
                <w:sz w:val="18"/>
                <w:szCs w:val="18"/>
              </w:rPr>
              <w:t xml:space="preserve">PP 2025</w:t>
            </w:r>
          </w:p>
        </w:tc>
        <w:tc>
          <w:tcPr>
            <w:tcW w:type="dxa" w:w="1050"/>
            <w:shd w:fill="1F3864" w:val="clear"/>
            <w:tcMar>
              <w:top w:type="dxa" w:w="60"/>
              <w:left w:type="dxa" w:w="100"/>
              <w:bottom w:type="dxa" w:w="60"/>
              <w:right w:type="dxa" w:w="100"/>
            </w:tcMar>
            <w:vAlign w:val="center"/>
          </w:tcPr>
          <w:p>
            <w:pPr>
              <w:jc w:val="right"/>
            </w:pPr>
            <w:r>
              <w:rPr>
                <w:rFonts w:ascii="Calibri" w:cs="Calibri" w:eastAsia="Calibri" w:hAnsi="Calibri"/>
                <w:b/>
                <w:bCs/>
                <w:color w:val="FFFFFF"/>
                <w:sz w:val="18"/>
                <w:szCs w:val="18"/>
              </w:rPr>
              <w:t xml:space="preserve">DE 2025</w:t>
            </w:r>
          </w:p>
        </w:tc>
        <w:tc>
          <w:tcPr>
            <w:tcW w:type="dxa" w:w="800"/>
            <w:shd w:fill="1F3864" w:val="clear"/>
            <w:tcMar>
              <w:top w:type="dxa" w:w="60"/>
              <w:left w:type="dxa" w:w="100"/>
              <w:bottom w:type="dxa" w:w="60"/>
              <w:right w:type="dxa" w:w="100"/>
            </w:tcMar>
            <w:vAlign w:val="center"/>
          </w:tcPr>
          <w:p>
            <w:pPr>
              <w:jc w:val="right"/>
            </w:pPr>
            <w:r>
              <w:rPr>
                <w:rFonts w:ascii="Calibri" w:cs="Calibri" w:eastAsia="Calibri" w:hAnsi="Calibri"/>
                <w:b/>
                <w:bCs/>
                <w:color w:val="FFFFFF"/>
                <w:sz w:val="18"/>
                <w:szCs w:val="18"/>
              </w:rPr>
              <w:t xml:space="preserve">Tasa 25</w:t>
            </w:r>
          </w:p>
        </w:tc>
        <w:tc>
          <w:tcPr>
            <w:tcW w:type="dxa" w:w="800"/>
            <w:shd w:fill="1F3864" w:val="clear"/>
            <w:tcMar>
              <w:top w:type="dxa" w:w="60"/>
              <w:left w:type="dxa" w:w="100"/>
              <w:bottom w:type="dxa" w:w="60"/>
              <w:right w:type="dxa" w:w="100"/>
            </w:tcMar>
            <w:vAlign w:val="center"/>
          </w:tcPr>
          <w:p>
            <w:pPr>
              <w:jc w:val="right"/>
            </w:pPr>
            <w:r>
              <w:rPr>
                <w:rFonts w:ascii="Calibri" w:cs="Calibri" w:eastAsia="Calibri" w:hAnsi="Calibri"/>
                <w:b/>
                <w:bCs/>
                <w:color w:val="FFFFFF"/>
                <w:sz w:val="18"/>
                <w:szCs w:val="18"/>
              </w:rPr>
              <w:t xml:space="preserve">Δ pp</w:t>
            </w:r>
          </w:p>
        </w:tc>
      </w:tr>
      <w:tr>
        <w:tc>
          <w:tcPr>
            <w:tcW w:type="dxa" w:w="7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101</w:t>
            </w:r>
          </w:p>
        </w:tc>
        <w:tc>
          <w:tcPr>
            <w:tcW w:type="dxa" w:w="25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Asamblea Legislativa</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48.907 M</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45.193 M</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92,4%</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49.543 M</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46.597 M</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94,1%</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+1,6 pp</w:t>
            </w:r>
          </w:p>
        </w:tc>
      </w:tr>
      <w:tr>
        <w:tc>
          <w:tcPr>
            <w:tcW w:type="dxa" w:w="7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102</w:t>
            </w:r>
          </w:p>
        </w:tc>
        <w:tc>
          <w:tcPr>
            <w:tcW w:type="dxa" w:w="25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Contraloria General de la República</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20.399 M</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19.904 M</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97,6%</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20.590 M</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20.072 M</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97,5%</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-0,1 pp</w:t>
            </w:r>
          </w:p>
        </w:tc>
      </w:tr>
      <w:tr>
        <w:tc>
          <w:tcPr>
            <w:tcW w:type="dxa" w:w="7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103</w:t>
            </w:r>
          </w:p>
        </w:tc>
        <w:tc>
          <w:tcPr>
            <w:tcW w:type="dxa" w:w="25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Defensoría Habitantes de la República.</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5.987 M</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5.279 M</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88,2%</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6.046 M</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5.516 M</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91,2%</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+3,1 pp</w:t>
            </w:r>
          </w:p>
        </w:tc>
      </w:tr>
      <w:tr>
        <w:tc>
          <w:tcPr>
            <w:tcW w:type="dxa" w:w="7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201</w:t>
            </w:r>
          </w:p>
        </w:tc>
        <w:tc>
          <w:tcPr>
            <w:tcW w:type="dxa" w:w="25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Presidencia de la República</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397.566 M</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73.863 M</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18,6%</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358.242 M</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102.702 M</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28,7%</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+10,1 pp</w:t>
            </w:r>
          </w:p>
        </w:tc>
      </w:tr>
      <w:tr>
        <w:tc>
          <w:tcPr>
            <w:tcW w:type="dxa" w:w="7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202</w:t>
            </w:r>
          </w:p>
        </w:tc>
        <w:tc>
          <w:tcPr>
            <w:tcW w:type="dxa" w:w="25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Ministerio de la Presidencia</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12.032 M</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10.802 M</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89,8%</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11.466 M</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10.418 M</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90,9%</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+1,1 pp</w:t>
            </w:r>
          </w:p>
        </w:tc>
      </w:tr>
      <w:tr>
        <w:tc>
          <w:tcPr>
            <w:tcW w:type="dxa" w:w="7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203</w:t>
            </w:r>
          </w:p>
        </w:tc>
        <w:tc>
          <w:tcPr>
            <w:tcW w:type="dxa" w:w="25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Ministerio de Gobernación y Policía</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58.827 M</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50.702 M</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86,2%</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62.095 M</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53.837 M</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86,7%</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+0,5 pp</w:t>
            </w:r>
          </w:p>
        </w:tc>
      </w:tr>
      <w:tr>
        <w:tc>
          <w:tcPr>
            <w:tcW w:type="dxa" w:w="7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204</w:t>
            </w:r>
          </w:p>
        </w:tc>
        <w:tc>
          <w:tcPr>
            <w:tcW w:type="dxa" w:w="25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Ministerio de Relac. Exteriores y Culto</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27.843 M</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23.626 M</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84,9%</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31.535 M</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24.943 M</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79,1%</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-5,8 pp</w:t>
            </w:r>
          </w:p>
        </w:tc>
      </w:tr>
      <w:tr>
        <w:tc>
          <w:tcPr>
            <w:tcW w:type="dxa" w:w="7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205</w:t>
            </w:r>
          </w:p>
        </w:tc>
        <w:tc>
          <w:tcPr>
            <w:tcW w:type="dxa" w:w="25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Ministerio de Seguridad Publica</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319.540 M</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284.722 M</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89,1%</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326.313 M</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299.688 M</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91,8%</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+2,7 pp</w:t>
            </w:r>
          </w:p>
        </w:tc>
      </w:tr>
      <w:tr>
        <w:tc>
          <w:tcPr>
            <w:tcW w:type="dxa" w:w="7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206</w:t>
            </w:r>
          </w:p>
        </w:tc>
        <w:tc>
          <w:tcPr>
            <w:tcW w:type="dxa" w:w="25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Ministerio de Hacienda</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242.623 M</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136.023 M</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56,1%</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236.241 M</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133.529 M</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56,5%</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+0,5 pp</w:t>
            </w:r>
          </w:p>
        </w:tc>
      </w:tr>
      <w:tr>
        <w:tc>
          <w:tcPr>
            <w:tcW w:type="dxa" w:w="7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207</w:t>
            </w:r>
          </w:p>
        </w:tc>
        <w:tc>
          <w:tcPr>
            <w:tcW w:type="dxa" w:w="25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Ministerio de Agricultura y Ganaderia</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342.071 M</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56.167 M</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16,4%</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332.016 M</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70.111 M</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21,1%</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+4,7 pp</w:t>
            </w:r>
          </w:p>
        </w:tc>
      </w:tr>
      <w:tr>
        <w:tc>
          <w:tcPr>
            <w:tcW w:type="dxa" w:w="7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208</w:t>
            </w:r>
          </w:p>
        </w:tc>
        <w:tc>
          <w:tcPr>
            <w:tcW w:type="dxa" w:w="25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Ministerio EconomíaIndustria y Comercio</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16.591 M</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15.554 M</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93,7%</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16.599 M</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15.460 M</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93,1%</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-0,6 pp</w:t>
            </w:r>
          </w:p>
        </w:tc>
      </w:tr>
      <w:tr>
        <w:tc>
          <w:tcPr>
            <w:tcW w:type="dxa" w:w="7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209</w:t>
            </w:r>
          </w:p>
        </w:tc>
        <w:tc>
          <w:tcPr>
            <w:tcW w:type="dxa" w:w="25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Ministerio Obras Publicas y Transporte</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981.368 M</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448.631 M</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45,7%</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918.316 M</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457.451 M</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49,8%</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+4,1 pp</w:t>
            </w:r>
          </w:p>
        </w:tc>
      </w:tr>
      <w:tr>
        <w:tc>
          <w:tcPr>
            <w:tcW w:type="dxa" w:w="7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210</w:t>
            </w:r>
          </w:p>
        </w:tc>
        <w:tc>
          <w:tcPr>
            <w:tcW w:type="dxa" w:w="25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Ministerio de Educacion Publica</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2.687.815 M</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2.656.356 M</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98,8%</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2.721.800 M</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2.661.793 M</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97,8%</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-1,0 pp</w:t>
            </w:r>
          </w:p>
        </w:tc>
      </w:tr>
      <w:tr>
        <w:tc>
          <w:tcPr>
            <w:tcW w:type="dxa" w:w="7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211</w:t>
            </w:r>
          </w:p>
        </w:tc>
        <w:tc>
          <w:tcPr>
            <w:tcW w:type="dxa" w:w="25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Ministerio de Salud</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410.881 M</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362.218 M</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88,2%</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378.183 M</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332.164 M</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87,8%</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-0,3 pp</w:t>
            </w:r>
          </w:p>
        </w:tc>
      </w:tr>
      <w:tr>
        <w:tc>
          <w:tcPr>
            <w:tcW w:type="dxa" w:w="7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212</w:t>
            </w:r>
          </w:p>
        </w:tc>
        <w:tc>
          <w:tcPr>
            <w:tcW w:type="dxa" w:w="25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Ministerio de Trabajo y Seguridad Social</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667.865 M</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661.351 M</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99,0%</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679.712 M</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674.767 M</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99,3%</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+0,2 pp</w:t>
            </w:r>
          </w:p>
        </w:tc>
      </w:tr>
      <w:tr>
        <w:tc>
          <w:tcPr>
            <w:tcW w:type="dxa" w:w="7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213</w:t>
            </w:r>
          </w:p>
        </w:tc>
        <w:tc>
          <w:tcPr>
            <w:tcW w:type="dxa" w:w="25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Ministerio de Cultura Juvent. y Deportes</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49.447 M</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44.786 M</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90,6%</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48.995 M</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45.292 M</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92,4%</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+1,9 pp</w:t>
            </w:r>
          </w:p>
        </w:tc>
      </w:tr>
      <w:tr>
        <w:tc>
          <w:tcPr>
            <w:tcW w:type="dxa" w:w="7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214</w:t>
            </w:r>
          </w:p>
        </w:tc>
        <w:tc>
          <w:tcPr>
            <w:tcW w:type="dxa" w:w="25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Ministerio de Justicia y Paz</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256.357 M</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190.768 M</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74,4%</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258.133 M</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199.874 M</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77,4%</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+3,0 pp</w:t>
            </w:r>
          </w:p>
        </w:tc>
      </w:tr>
      <w:tr>
        <w:tc>
          <w:tcPr>
            <w:tcW w:type="dxa" w:w="7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215</w:t>
            </w:r>
          </w:p>
        </w:tc>
        <w:tc>
          <w:tcPr>
            <w:tcW w:type="dxa" w:w="25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Ministeerio de Vivienda y Asent. Humanos</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6.055 M</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5.844 M</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96,5%</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7.231 M</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7.045 M</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97,4%</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+0,9 pp</w:t>
            </w:r>
          </w:p>
        </w:tc>
      </w:tr>
      <w:tr>
        <w:tc>
          <w:tcPr>
            <w:tcW w:type="dxa" w:w="7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216</w:t>
            </w:r>
          </w:p>
        </w:tc>
        <w:tc>
          <w:tcPr>
            <w:tcW w:type="dxa" w:w="25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Ministerio de Comercio Exterior</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36.698 M</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17.593 M</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47,9%</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30.717 M</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23.308 M</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75,9%</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+27,9 pp</w:t>
            </w:r>
          </w:p>
        </w:tc>
      </w:tr>
      <w:tr>
        <w:tc>
          <w:tcPr>
            <w:tcW w:type="dxa" w:w="7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217</w:t>
            </w:r>
          </w:p>
        </w:tc>
        <w:tc>
          <w:tcPr>
            <w:tcW w:type="dxa" w:w="25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Minist.Planific.Nac.y Política Económica</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19.032 M</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18.284 M</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96,1%</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18.624 M</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17.917 M</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96,2%</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+0,1 pp</w:t>
            </w:r>
          </w:p>
        </w:tc>
      </w:tr>
      <w:tr>
        <w:tc>
          <w:tcPr>
            <w:tcW w:type="dxa" w:w="7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218</w:t>
            </w:r>
          </w:p>
        </w:tc>
        <w:tc>
          <w:tcPr>
            <w:tcW w:type="dxa" w:w="25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Ministerio de Ciencia y Tecnología</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12.291 M</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8.672 M</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70,6%</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12.225 M</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9.301 M</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76,1%</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+5,5 pp</w:t>
            </w:r>
          </w:p>
        </w:tc>
      </w:tr>
      <w:tr>
        <w:tc>
          <w:tcPr>
            <w:tcW w:type="dxa" w:w="7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219</w:t>
            </w:r>
          </w:p>
        </w:tc>
        <w:tc>
          <w:tcPr>
            <w:tcW w:type="dxa" w:w="25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Ministerio de Ambiente y Energía</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58.335 M</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54.544 M</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93,5%</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58.570 M</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55.890 M</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95,4%</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+1,9 pp</w:t>
            </w:r>
          </w:p>
        </w:tc>
      </w:tr>
      <w:tr>
        <w:tc>
          <w:tcPr>
            <w:tcW w:type="dxa" w:w="7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230</w:t>
            </w:r>
          </w:p>
        </w:tc>
        <w:tc>
          <w:tcPr>
            <w:tcW w:type="dxa" w:w="25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Servicio de la Deuda Pública</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5.291.135 M</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4.936.309 M</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93,3%</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5.160.236 M</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4.697.882 M</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91,0%</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-2,3 pp</w:t>
            </w:r>
          </w:p>
        </w:tc>
      </w:tr>
      <w:tr>
        <w:tc>
          <w:tcPr>
            <w:tcW w:type="dxa" w:w="7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231</w:t>
            </w:r>
          </w:p>
        </w:tc>
        <w:tc>
          <w:tcPr>
            <w:tcW w:type="dxa" w:w="25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Regímenes Especiales de Pensiones</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1.283.874 M</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1.183.550 M</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92,2%</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1.312.049 M</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1.177.190 M</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89,7%</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-2,5 pp</w:t>
            </w:r>
          </w:p>
        </w:tc>
      </w:tr>
      <w:tr>
        <w:tc>
          <w:tcPr>
            <w:tcW w:type="dxa" w:w="7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232</w:t>
            </w:r>
          </w:p>
        </w:tc>
        <w:tc>
          <w:tcPr>
            <w:tcW w:type="dxa" w:w="25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Partidas Especificas</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2.500 M</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0 M</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0,0%</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w:t>
            </w:r>
          </w:p>
        </w:tc>
      </w:tr>
      <w:tr>
        <w:tc>
          <w:tcPr>
            <w:tcW w:type="dxa" w:w="7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301</w:t>
            </w:r>
          </w:p>
        </w:tc>
        <w:tc>
          <w:tcPr>
            <w:tcW w:type="dxa" w:w="2500"/>
            <w:shd w:fill="EEF3F8" w:val="clear"/>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Poder Judicial</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507.295 M</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489.253 M</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96,4%</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535.219 M</w:t>
            </w:r>
          </w:p>
        </w:tc>
        <w:tc>
          <w:tcPr>
            <w:tcW w:type="dxa" w:w="105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512.156 M</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95,7%</w:t>
            </w:r>
          </w:p>
        </w:tc>
        <w:tc>
          <w:tcPr>
            <w:tcW w:type="dxa" w:w="800"/>
            <w:shd w:fill="EEF3F8" w:val="clear"/>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-0,8 pp</w:t>
            </w:r>
          </w:p>
        </w:tc>
      </w:tr>
      <w:tr>
        <w:tc>
          <w:tcPr>
            <w:tcW w:type="dxa" w:w="7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401</w:t>
            </w:r>
          </w:p>
        </w:tc>
        <w:tc>
          <w:tcPr>
            <w:tcW w:type="dxa" w:w="2500"/>
            <w:tcMar>
              <w:top w:type="dxa" w:w="60"/>
              <w:left w:type="dxa" w:w="100"/>
              <w:bottom w:type="dxa" w:w="60"/>
              <w:right w:type="dxa" w:w="100"/>
            </w:tcMar>
            <w:vAlign w:val="center"/>
          </w:tcPr>
          <w:p>
            <w:pPr>
              <w:jc w:val="left"/>
            </w:pPr>
            <w:r>
              <w:rPr>
                <w:rFonts w:ascii="Calibri" w:cs="Calibri" w:eastAsia="Calibri" w:hAnsi="Calibri"/>
                <w:color w:val="262626"/>
                <w:sz w:val="18"/>
                <w:szCs w:val="18"/>
              </w:rPr>
              <w:t xml:space="preserve">Tribunal Supremo de Elecciones</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54.046 M</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46.352 M</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85,8%</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56.955 M</w:t>
            </w:r>
          </w:p>
        </w:tc>
        <w:tc>
          <w:tcPr>
            <w:tcW w:type="dxa" w:w="105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45.791 M</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80,4%</w:t>
            </w:r>
          </w:p>
        </w:tc>
        <w:tc>
          <w:tcPr>
            <w:tcW w:type="dxa" w:w="800"/>
            <w:tcMar>
              <w:top w:type="dxa" w:w="60"/>
              <w:left w:type="dxa" w:w="100"/>
              <w:bottom w:type="dxa" w:w="60"/>
              <w:right w:type="dxa" w:w="100"/>
            </w:tcMar>
            <w:vAlign w:val="center"/>
          </w:tcPr>
          <w:p>
            <w:pPr>
              <w:jc w:val="right"/>
            </w:pPr>
            <w:r>
              <w:rPr>
                <w:rFonts w:ascii="Calibri" w:cs="Calibri" w:eastAsia="Calibri" w:hAnsi="Calibri"/>
                <w:color w:val="262626"/>
                <w:sz w:val="18"/>
                <w:szCs w:val="18"/>
              </w:rPr>
              <w:t xml:space="preserve">-5,4 pp</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262626"/>
        <w:sz w:val="16"/>
        <w:szCs w:val="16"/>
      </w:rPr>
      <w:t xml:space="preserve">Página </w:t>
    </w:r>
    <w:r>
      <w:rPr>
        <w:rFonts w:ascii="Calibri" w:cs="Calibri" w:eastAsia="Calibri" w:hAnsi="Calibri"/>
        <w:color w:val="262626"/>
        <w:sz w:val="16"/>
        <w:szCs w:val="16"/>
      </w:rPr>
      <w:fldChar w:fldCharType="begin"/>
      <w:instrText xml:space="preserve">PAGE</w:instrText>
      <w:fldChar w:fldCharType="separate"/>
      <w:fldChar w:fldCharType="end"/>
    </w:r>
    <w:r>
      <w:rPr>
        <w:rFonts w:ascii="Calibri" w:cs="Calibri" w:eastAsia="Calibri" w:hAnsi="Calibri"/>
        <w:color w:val="262626"/>
        <w:sz w:val="16"/>
        <w:szCs w:val="16"/>
      </w:rPr>
      <w:t xml:space="preserve"> de </w:t>
    </w:r>
    <w:r>
      <w:rPr>
        <w:rFonts w:ascii="Calibri" w:cs="Calibri" w:eastAsia="Calibri" w:hAnsi="Calibri"/>
        <w:color w:val="26262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2E74B5"/>
        <w:sz w:val="16"/>
        <w:szCs w:val="16"/>
      </w:rPr>
      <w:t xml:space="preserve">CIOdD-UCR · Seguimiento Ejecución Presupuestaria 2024-2025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2026-09-17T00:32:26.322Z</dcterms:created>
  <dcterms:modified xsi:type="dcterms:W3CDTF">2026-09-17T00:32:26.322Z</dcterms:modified>
</cp:coreProperties>
</file>

<file path=docProps/custom.xml><?xml version="1.0" encoding="utf-8"?>
<Properties xmlns="http://schemas.openxmlformats.org/officeDocument/2006/custom-properties" xmlns:vt="http://schemas.openxmlformats.org/officeDocument/2006/docPropsVTypes"/>
</file>