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74D79"/>
          <w:sz w:val="20"/>
          <w:szCs w:val="20"/>
        </w:rPr>
        <w:t xml:space="preserve">INFORME TÉCNICO</w:t>
      </w:r>
    </w:p>
    <w:p>
      <w:pPr>
        <w:spacing w:after="120"/>
      </w:pPr>
      <w:r>
        <w:rPr>
          <w:rFonts w:ascii="Arial" w:cs="Arial" w:eastAsia="Arial" w:hAnsi="Arial"/>
          <w:b/>
          <w:bCs/>
          <w:color w:val="086EA8"/>
          <w:sz w:val="30"/>
          <w:szCs w:val="30"/>
        </w:rPr>
        <w:t xml:space="preserve">Evolución de la corrupción, el crimen organizado y el narcotráfico en Costa Rica, 1980-2026</w:t>
      </w:r>
    </w:p>
    <w:p>
      <w:pPr>
        <w:spacing w:after="200"/>
      </w:pPr>
      <w:r>
        <w:rPr>
          <w:rFonts w:ascii="Arial" w:cs="Arial" w:eastAsia="Arial" w:hAnsi="Arial"/>
          <w:i/>
          <w:iCs/>
          <w:sz w:val="20"/>
          <w:szCs w:val="20"/>
        </w:rPr>
        <w:t xml:space="preserve">Violencia homicida, integridad pública, penetración institucional, fuero y aforamiento, logística criminal y respuesta del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074D79"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PROPÓSITO</w:t>
            </w:r>
          </w:p>
        </w:tc>
        <w:tc>
          <w:tcPr>
            <w:tcW w:type="dxa" w:w="74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Balance de largo plazo, convergencias, alertas y prioridades públicas — versión auditada</w:t>
            </w:r>
          </w:p>
        </w:tc>
      </w:tr>
      <w:tr>
        <w:tc>
          <w:tcPr>
            <w:tcW w:type="dxa" w:w="1900"/>
            <w:shd w:fill="074D79"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FUENTES</w:t>
            </w:r>
          </w:p>
        </w:tc>
        <w:tc>
          <w:tcPr>
            <w:tcW w:type="dxa" w:w="74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Base maestra de corrupción y crimen organizado (versión auditada); Informe auditado 2.0 "Corrupción pública, crimen organizado y penetración institucional en Costa Rica (1980-2026)"; revisión de Informes Estado de la Nación 1994-2025; OIJ, Poder Judicial, Ministerio Público, ICD, MSP, CGR, TSE, Transparencia Internacional, DOJ/OFAC</w:t>
            </w:r>
          </w:p>
        </w:tc>
      </w:tr>
      <w:tr>
        <w:tc>
          <w:tcPr>
            <w:tcW w:type="dxa" w:w="1900"/>
            <w:shd w:fill="074D79"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HORIZONTE</w:t>
            </w:r>
          </w:p>
        </w:tc>
        <w:tc>
          <w:tcPr>
            <w:tcW w:type="dxa" w:w="74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1980-2026, con énfasis analítico en 1994-2026</w:t>
            </w:r>
          </w:p>
        </w:tc>
      </w:tr>
      <w:tr>
        <w:tc>
          <w:tcPr>
            <w:tcW w:type="dxa" w:w="1900"/>
            <w:shd w:fill="074D79"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FECHA DE CORTE</w:t>
            </w:r>
          </w:p>
        </w:tc>
        <w:tc>
          <w:tcPr>
            <w:tcW w:type="dxa" w:w="74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14 de agosto de 2026 (incorpora hitos verificados hasta esa fecha, incluida la segunda ronda de verificación)</w:t>
            </w:r>
          </w:p>
        </w:tc>
      </w:tr>
    </w:tbl>
    <w:p>
      <w:pPr>
        <w:spacing w:after="100" w:before="200"/>
      </w:pPr>
      <w:r>
        <w:rPr>
          <w:rFonts w:ascii="Arial" w:cs="Arial" w:eastAsia="Arial" w:hAnsi="Arial"/>
          <w:i/>
          <w:iCs/>
          <w:sz w:val="18"/>
          <w:szCs w:val="18"/>
        </w:rPr>
        <w:t xml:space="preserve">Documento dirigido a tomadores de decisión de política pública</w:t>
      </w:r>
    </w:p>
    <w:p>
      <w:pPr>
        <w:spacing w:after="60"/>
      </w:pPr>
      <w:r>
        <w:rPr>
          <w:rFonts w:ascii="Arial" w:cs="Arial" w:eastAsia="Arial" w:hAnsi="Arial"/>
          <w:b/>
          <w:bCs/>
          <w:sz w:val="18"/>
          <w:szCs w:val="18"/>
        </w:rPr>
        <w:t xml:space="preserve">MSI. Agustín Gómez Meléndez</w:t>
      </w:r>
    </w:p>
    <w:p>
      <w:pPr>
        <w:spacing w:after="200"/>
      </w:pPr>
      <w:r>
        <w:rPr>
          <w:rFonts w:ascii="Arial" w:cs="Arial" w:eastAsia="Arial" w:hAnsi="Arial"/>
          <w:sz w:val="18"/>
          <w:szCs w:val="18"/>
        </w:rPr>
        <w:t xml:space="preserve">Investigador del CIOdD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F8" w:val="clear"/>
            <w:tcMar>
              <w:top w:type="dxa" w:w="140"/>
              <w:left w:type="dxa" w:w="160"/>
              <w:bottom w:type="dxa" w:w="140"/>
              <w:right w:type="dxa" w:w="160"/>
            </w:tcMar>
          </w:tcPr>
          <w:p>
            <w:pPr>
              <w:spacing w:after="60"/>
            </w:pPr>
            <w:r>
              <w:rPr>
                <w:rFonts w:ascii="Arial" w:cs="Arial" w:eastAsia="Arial" w:hAnsi="Arial"/>
                <w:b/>
                <w:bCs/>
                <w:color w:val="074D79"/>
                <w:sz w:val="18"/>
                <w:szCs w:val="18"/>
              </w:rPr>
              <w:t xml:space="preserve">Nota de actualización de esta edición</w:t>
            </w:r>
          </w:p>
          <w:p>
            <w:pPr>
              <w:jc w:val="both"/>
            </w:pPr>
            <w:r>
              <w:rPr>
                <w:rFonts w:ascii="Arial" w:cs="Arial" w:eastAsia="Arial" w:hAnsi="Arial"/>
                <w:sz w:val="18"/>
                <w:szCs w:val="18"/>
              </w:rPr>
              <w:t xml:space="preserve">Esta versión incorpora la auditoría 2.0 de la base documental (corte 14 de agosto de 2026): corrige nueve hallazgos de severidad crítica y alta detectados en la versión previa, añade como eje transversal nuevo el ciclo de inmunidad y desafuero presidencial (caso BCIE-Cariñitos, ausente en la edición anterior), incorpora el aforamiento y la duración procesal como variables estructurales, añade el régimen de sanciones financieras extranjeras (OFAC) y la reforma constitucional de extradición (Ley N.º 10730) como instrumentos analíticos nuevos, y actualiza las series de homicidios, decomisos y percepción de la corrupción hasta el primer semestre de 2026. El corpus de casos se mantiene en 27, con dos incorporaciones de este ciclo (la extradición de agosto de 2026 y la condena federal por soborno a oficiales navales).</w:t>
            </w:r>
          </w:p>
        </w:tc>
      </w:tr>
    </w:tbl>
    <w:p>
      <w:r>
        <w:br w:type="page"/>
      </w:r>
    </w:p>
    <w:p>
      <w:pPr>
        <w:spacing w:after="200" w:before="360"/>
      </w:pPr>
      <w:r>
        <w:rPr>
          <w:rFonts w:ascii="Arial" w:cs="Arial" w:eastAsia="Arial" w:hAnsi="Arial"/>
          <w:b/>
          <w:bCs/>
          <w:color w:val="086EA8"/>
          <w:sz w:val="28"/>
          <w:szCs w:val="28"/>
        </w:rPr>
        <w:t xml:space="preserve">Resumen ejecutivo</w:t>
      </w:r>
    </w:p>
    <w:p>
      <w:pPr>
        <w:spacing w:after="120"/>
        <w:jc w:val="both"/>
      </w:pPr>
      <w:r>
        <w:rPr>
          <w:rFonts w:ascii="Arial" w:cs="Arial" w:eastAsia="Arial" w:hAnsi="Arial"/>
          <w:sz w:val="18"/>
          <w:szCs w:val="18"/>
        </w:rPr>
        <w:t xml:space="preserve">Costa Rica enfrenta una transformación simultánea de la violencia, el crimen organizado y los riesgos de integridad pública. La serie longitudinal revisada muestra que la tasa de homicidios pasó de un rango relativamente estable de 4 a 6 por 100.000 habitantes entre 1980 y 2007 a niveles superiores a 10 desde 2008, con un máximo histórico de 17,2 en 2023 (905 homicidios), 16,6 en 2024 (876) y 16,7 en 2025 (873). El cambio no es solo cuantitativo: desde 2014 el ajuste de cuentas y la venganza asociados a mercados criminales sustituyen progresivamente a riñas, robos y conflictos interpersonales como principal móvil de la violencia letal; en 2025 el OIJ atribuyó 69% de los homicidios a ajustes de cuentas vinculados al narcotráfico.</w:t>
      </w:r>
    </w:p>
    <w:p>
      <w:pPr>
        <w:spacing w:after="120"/>
        <w:jc w:val="both"/>
      </w:pPr>
      <w:r>
        <w:rPr>
          <w:rFonts w:ascii="Arial" w:cs="Arial" w:eastAsia="Arial" w:hAnsi="Arial"/>
          <w:sz w:val="18"/>
          <w:szCs w:val="18"/>
        </w:rPr>
        <w:t xml:space="preserve">En paralelo, la corrupción pública cambió de configuración. Los casos de las décadas de 1990 y 2000 se concentran en banca estatal, grandes contratos y compras públicas, con desenlaces judiciales tardíos y, en dos de los casos más antiguos del corpus (Banco Anglo y Reaseguros), un resultado patrimonial neto negativo para el Estado. Desde 2012 el riesgo se amplía hacia infraestructura de emergencia, gobiernos locales y servicios públicos. Entre 2021 y 2026 gana peso la integridad judicial y registral, la legitimación de capitales, la logística portuaria y marítima, la facilitación desde el sistema penitenciario y —el hallazgo más significativo de esta actualización— el primer ciclo de desafuero contra un presidente en ejercicio en la historia constitucional costarricense (caso BCIE-Cariñitos). Corrupción y narcotráfico no deben fusionarse como si fueran un único fenómeno, pero sus puntos de contacto institucional se han vuelto decisivos para la política pública.</w:t>
      </w:r>
    </w:p>
    <w:p>
      <w:pPr>
        <w:spacing w:after="120"/>
        <w:jc w:val="both"/>
      </w:pPr>
      <w:r>
        <w:rPr>
          <w:rFonts w:ascii="Arial" w:cs="Arial" w:eastAsia="Arial" w:hAnsi="Arial"/>
          <w:sz w:val="18"/>
          <w:szCs w:val="18"/>
        </w:rPr>
        <w:t xml:space="preserve">La base maestra auditada contiene 27 casos u operaciones de alto impacto. No constituye una muestra probabilística del universo nacional y, por tanto, sus frecuencias no estiman prevalencia. Sí permite observar un patrón operativo: 13 casos tienen su primer hito público entre 2021 y 2026; 18 presentan conexión institucional alta (17 por expediente judicial nacional y 1 por fuente administrativa extranjera); siete registran incidencias de nulidad; ocho superan ocho años de duración procesal; la duración media de los casos con dato disponible es 6,7 años y el máximo alcanza 25 años (Reaseguros); y tres casos tienen aforamiento activo, un mecanismo que no extingue la causa sino que la suspende y traslada la decisión del ámbito jurisdiccional al político. El principal cuello de botella ya no parece ser la detección, sino la consolidación jurídica, la superación del fuero y la recuperación patrimonial efectiva de investigaciones complejas.</w:t>
      </w:r>
    </w:p>
    <w:p>
      <w:pPr>
        <w:spacing w:after="120" w:before="240"/>
      </w:pPr>
      <w:r>
        <w:rPr>
          <w:rFonts w:ascii="Arial" w:cs="Arial" w:eastAsia="Arial" w:hAnsi="Arial"/>
          <w:b/>
          <w:bCs/>
          <w:color w:val="17AEE5"/>
          <w:sz w:val="23"/>
          <w:szCs w:val="23"/>
        </w:rPr>
        <w:t xml:space="preserve">Cinco mensajes para la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Señal</w:t>
            </w:r>
          </w:p>
        </w:tc>
        <w:tc>
          <w:tcPr>
            <w:tcW w:type="dxa" w:w="67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Implicación para política pública</w:t>
            </w:r>
          </w:p>
        </w:tc>
      </w:tr>
      <w:tr>
        <w:tc>
          <w:tcPr>
            <w:tcW w:type="dxa" w:w="26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 Violencia más instrumental</w:t>
            </w:r>
          </w:p>
        </w:tc>
        <w:tc>
          <w:tcPr>
            <w:tcW w:type="dxa" w:w="67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El aumento de homicidios se asocia cada vez más a disputas de mercados, sicariato y control territorial; en 2025, 69% de los homicidios se atribuyó a ajustes de cuentas vinculados al narcotráfico, con Limón registrando una tasa de 37,7 por 100.000.</w:t>
            </w:r>
          </w:p>
        </w:tc>
      </w:tr>
      <w:tr>
        <w:tc>
          <w:tcPr>
            <w:tcW w:type="dxa" w:w="26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 Costa Rica es un nodo logístico</w:t>
            </w:r>
          </w:p>
        </w:tc>
        <w:tc>
          <w:tcPr>
            <w:tcW w:type="dxa" w:w="67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 evidencia ya no describe únicamente tránsito: aparecen almacenamiento, exportación en contenedores, rutas marítimas y semisumergibles, pistas, islas, empresas y activos utilizados para sostener operaciones; una condena federal estadounidense de noviembre de 2025 documentó además el soborno de oficiales navales costarricenses.</w:t>
            </w:r>
          </w:p>
        </w:tc>
      </w:tr>
      <w:tr>
        <w:tc>
          <w:tcPr>
            <w:tcW w:type="dxa" w:w="26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 El riesgo institucional es focalizado, y ahora incluye el vértice del Ejecutivo</w:t>
            </w:r>
          </w:p>
        </w:tc>
        <w:tc>
          <w:tcPr>
            <w:tcW w:type="dxa" w:w="67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Los hallazgos más sólidos se concentran en nodos concretos: registros y fe pública, sistema penitenciario, componente marítimo, procesos judiciales, redes de acceso a información y, desde 2025, el propio mecanismo de fuero presidencial (caso BCIE-Cariñitos).</w:t>
            </w:r>
          </w:p>
        </w:tc>
      </w:tr>
      <w:tr>
        <w:tc>
          <w:tcPr>
            <w:tcW w:type="dxa" w:w="26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4. Detectar no equivale a resolver</w:t>
            </w:r>
          </w:p>
        </w:tc>
        <w:tc>
          <w:tcPr>
            <w:tcW w:type="dxa" w:w="67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Operativos de gran escala conviven con nulidades totales (Topo), declaratorias de crimen organizado revocadas (Diamante), audiencias anuladas de oficio (Cementazo), cautelares volátiles (Madre Patria) y procesos de más de una década; medir solo detenciones o allanamientos sobreestima resultados.</w:t>
            </w:r>
          </w:p>
        </w:tc>
      </w:tr>
      <w:tr>
        <w:tc>
          <w:tcPr>
            <w:tcW w:type="dxa" w:w="26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5. El aforamiento es una variable estructural, no un accidente</w:t>
            </w:r>
          </w:p>
        </w:tc>
        <w:tc>
          <w:tcPr>
            <w:tcW w:type="dxa" w:w="67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El fuero no extingue la causa: la suspende. En el ciclo 2022-2026 explica por qué la mayor acumulación histórica de causas contra el vértice del Ejecutivo coincide con la menor actividad jurisdiccional sobre ellas; su levantamiento requiere mayoría calificada de 38 votos, que el oficialismo entrante (31 curules) no alcanza por sí solo.</w:t>
            </w:r>
          </w:p>
        </w:tc>
      </w:tr>
    </w:tbl>
    <w:p>
      <w:pPr>
        <w:spacing w:after="200" w:before="60"/>
        <w:jc w:val="both"/>
      </w:pPr>
      <w:r>
        <w:rPr>
          <w:rFonts w:ascii="Arial" w:cs="Arial" w:eastAsia="Arial" w:hAnsi="Arial"/>
          <w:i/>
          <w:iCs/>
          <w:color w:val="555555"/>
          <w:sz w:val="16"/>
          <w:szCs w:val="16"/>
        </w:rPr>
        <w:t xml:space="preserve">Fuente: elaboración propia a partir de la base maestra auditada (corte 14/08/2026), la auditoría 2.0 del informe integrado, la revisión de Informes Estado de la Nación 1994-2025 y series oficiales incorporadas en la investigación.</w:t>
      </w:r>
    </w:p>
    <w:p>
      <w:pPr>
        <w:spacing w:after="200" w:before="360"/>
      </w:pPr>
      <w:r>
        <w:rPr>
          <w:rFonts w:ascii="Arial" w:cs="Arial" w:eastAsia="Arial" w:hAnsi="Arial"/>
          <w:b/>
          <w:bCs/>
          <w:color w:val="086EA8"/>
          <w:sz w:val="28"/>
          <w:szCs w:val="28"/>
        </w:rPr>
        <w:t xml:space="preserve">1. Propósito, alcance y método</w:t>
      </w:r>
    </w:p>
    <w:p>
      <w:pPr>
        <w:spacing w:after="120"/>
        <w:jc w:val="both"/>
      </w:pPr>
      <w:r>
        <w:rPr>
          <w:rFonts w:ascii="Arial" w:cs="Arial" w:eastAsia="Arial" w:hAnsi="Arial"/>
          <w:sz w:val="18"/>
          <w:szCs w:val="18"/>
        </w:rPr>
        <w:t xml:space="preserve">Este informe integra tres líneas de evidencia: (i) la revisión longitudinal de seguridad ciudadana, homicidios, delincuencia, crimen organizado y narcotráfico en la serie de Informes Estado de la Nación; (ii) la base maestra auditada de casos de corrupción, legitimación, armas, fraude registral y penetración institucional, en su versión 2.0 (corte 14 de agosto de 2026); y (iii) fuentes institucionales primarias incorporadas en la auditoría —comunicados judiciales, sentencias, designaciones de la Oficina de Control de Activos Extranjeros (OFAC) del Tesoro de Estados Unidos y actas legislativas— que corrigen y amplían el corpus original. El objetivo no es producir un ranking de escándalos, sino identificar cambios estructurales, riesgos para la capacidad estatal y variables útiles para seguimiento.</w:t>
      </w:r>
    </w:p>
    <w:p>
      <w:pPr>
        <w:spacing w:after="120"/>
        <w:jc w:val="both"/>
      </w:pPr>
      <w:r>
        <w:rPr>
          <w:rFonts w:ascii="Arial" w:cs="Arial" w:eastAsia="Arial" w:hAnsi="Arial"/>
          <w:sz w:val="18"/>
          <w:szCs w:val="18"/>
        </w:rPr>
        <w:t xml:space="preserve">Reglas de interpretación: una persona investigada, imputada o acusada conserva la presunción de inocencia; un monto contractual no equivale a daño; un decomiso cautelar no equivale a comiso firme; y una absolución, nulidad o sobreseimiento tampoco prueban por sí solos que el hecho investigado no existiera. Se añade una regla simétrica adoptada en la auditoría: el registro de acusaciones y detenciones debe ir siempre acompañado del registro, con la misma disciplina, de nulidades, sobreseimientos, prescripciones y absoluciones, incluidas aquellas con condena en costas contra el Estado. Los indicadores nacionales de homicidios, decomisos y percepción de la corrupción se utilizan como contexto y no se atribuyen a un caso particular.</w:t>
      </w:r>
    </w:p>
    <w:p>
      <w:pPr>
        <w:spacing w:after="120"/>
        <w:jc w:val="both"/>
      </w:pPr>
      <w:r>
        <w:rPr>
          <w:rFonts w:ascii="Arial" w:cs="Arial" w:eastAsia="Arial" w:hAnsi="Arial"/>
          <w:sz w:val="18"/>
          <w:szCs w:val="18"/>
        </w:rPr>
        <w:t xml:space="preserve">Advertencia adicional sobre la unidad monetaria: las cifras en colones y en dólares no son directamente comparables entre épocas ni entre fuentes, y un valor registral de bienes no equivale a su valor de mercado ni a un comiso firme. El informe distingue, cuando la fuente lo permite, entre valor contractual, perjuicio estimado por autoridad competente, valor registral, valor estimado de mercado, decomiso cautelar, comiso firme y recuperación efectivamente cobrada.</w:t>
      </w:r>
    </w:p>
    <w:p>
      <w:pPr>
        <w:spacing w:after="200" w:before="360"/>
      </w:pPr>
      <w:r>
        <w:rPr>
          <w:rFonts w:ascii="Arial" w:cs="Arial" w:eastAsia="Arial" w:hAnsi="Arial"/>
          <w:b/>
          <w:bCs/>
          <w:color w:val="086EA8"/>
          <w:sz w:val="28"/>
          <w:szCs w:val="28"/>
        </w:rPr>
        <w:t xml:space="preserve">2. Transformación estructural: de violencia convencional a mercados criminales complejos</w:t>
      </w:r>
    </w:p>
    <w:p>
      <w:pPr>
        <w:spacing w:after="100"/>
        <w:jc w:val="center"/>
      </w:pPr>
      <w:r>
        <w:drawing>
          <wp:inline distT="0" distB="0" distL="0" distR="0">
            <wp:extent cx="5334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733550"/>
                    </a:xfrm>
                    <a:prstGeom prst="rect">
                      <a:avLst/>
                    </a:prstGeom>
                  </pic:spPr>
                </pic:pic>
              </a:graphicData>
            </a:graphic>
          </wp:inline>
        </w:drawing>
      </w:r>
    </w:p>
    <w:p>
      <w:pPr>
        <w:spacing w:after="200" w:before="60"/>
        <w:jc w:val="both"/>
      </w:pPr>
      <w:r>
        <w:rPr>
          <w:rFonts w:ascii="Arial" w:cs="Arial" w:eastAsia="Arial" w:hAnsi="Arial"/>
          <w:i/>
          <w:iCs/>
          <w:color w:val="555555"/>
          <w:sz w:val="16"/>
          <w:szCs w:val="16"/>
        </w:rPr>
        <w:t xml:space="preserve">Figura 1. Tasa de homicidios por 100.000 habitantes, 1980-2025. Serie reconstruida a partir de PEN/OIJ y consolidada en la auditoría 2.0. Las pequeñas diferencias de conteo entre fuentes se deben a revisiones posteriores de las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960"/>
      </w:tblGrid>
      <w:tr>
        <w:trPr>
          <w:tblHeader/>
        </w:trPr>
        <w:tc>
          <w:tcPr>
            <w:tcW w:type="dxa" w:w="15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Periodo</w:t>
            </w:r>
          </w:p>
        </w:tc>
        <w:tc>
          <w:tcPr>
            <w:tcW w:type="dxa" w:w="29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Cambio dominante</w:t>
            </w:r>
          </w:p>
        </w:tc>
        <w:tc>
          <w:tcPr>
            <w:tcW w:type="dxa" w:w="49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Lectura de riesgo</w:t>
            </w:r>
          </w:p>
        </w:tc>
      </w:tr>
      <w:tr>
        <w:tc>
          <w:tcPr>
            <w:tcW w:type="dxa" w:w="15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1980-2007</w:t>
            </w:r>
          </w:p>
        </w:tc>
        <w:tc>
          <w:tcPr>
            <w:tcW w:type="dxa" w:w="29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Baja violencia letal relativa</w:t>
            </w:r>
          </w:p>
        </w:tc>
        <w:tc>
          <w:tcPr>
            <w:tcW w:type="dxa" w:w="4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Tasas de 4 a 7,5; predominan delitos patrimoniales y conflictos interpersonales. La corrupción de alto impacto se concentra en banca, contratación y servicios públicos.</w:t>
            </w:r>
          </w:p>
        </w:tc>
      </w:tr>
      <w:tr>
        <w:tc>
          <w:tcPr>
            <w:tcW w:type="dxa" w:w="15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2008-2013</w:t>
            </w:r>
          </w:p>
        </w:tc>
        <w:tc>
          <w:tcPr>
            <w:tcW w:type="dxa" w:w="29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Primer salto y respuesta institucional</w:t>
            </w:r>
          </w:p>
        </w:tc>
        <w:tc>
          <w:tcPr>
            <w:tcW w:type="dxa" w:w="4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 supera el umbral de 10 por 100.000; se fortalecen fiscalías y legislación contra delincuencia organizada. Aumenta la relevancia de rutas transnacionales.</w:t>
            </w:r>
          </w:p>
        </w:tc>
      </w:tr>
      <w:tr>
        <w:tc>
          <w:tcPr>
            <w:tcW w:type="dxa" w:w="15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2014-2020</w:t>
            </w:r>
          </w:p>
        </w:tc>
        <w:tc>
          <w:tcPr>
            <w:tcW w:type="dxa" w:w="29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Territorialización y violencia organizada</w:t>
            </w:r>
          </w:p>
        </w:tc>
        <w:tc>
          <w:tcPr>
            <w:tcW w:type="dxa" w:w="4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Ajustes de cuentas y sicariato ganan peso; se identifican conglomerados territoriales y estructuras de narcomenudeo con organización empresarial. La corrupción se desplaza hacia obra pública y emergencias.</w:t>
            </w:r>
          </w:p>
        </w:tc>
      </w:tr>
      <w:tr>
        <w:tc>
          <w:tcPr>
            <w:tcW w:type="dxa" w:w="15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2021-2024</w:t>
            </w:r>
          </w:p>
        </w:tc>
        <w:tc>
          <w:tcPr>
            <w:tcW w:type="dxa" w:w="29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Convergencia de riesgos y récord de homicidios</w:t>
            </w:r>
          </w:p>
        </w:tc>
        <w:tc>
          <w:tcPr>
            <w:tcW w:type="dxa" w:w="4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Máximo histórico de 17,2 por 100.000 (2023); redes transnacionales, legitimación, armas y logística portuaria; primer ciclo de desafuero presidencial (BCIE-Cariñitos); casos de integridad judicial y registral (Topo, Madre Patria).</w:t>
            </w:r>
          </w:p>
        </w:tc>
      </w:tr>
      <w:tr>
        <w:tc>
          <w:tcPr>
            <w:tcW w:type="dxa" w:w="15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2025-2026</w:t>
            </w:r>
          </w:p>
        </w:tc>
        <w:tc>
          <w:tcPr>
            <w:tcW w:type="dxa" w:w="29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Nuevos instrumentos jurídicos y persistencia del riesgo</w:t>
            </w:r>
          </w:p>
        </w:tc>
        <w:tc>
          <w:tcPr>
            <w:tcW w:type="dxa" w:w="4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Entra en vigor la extradición de nacionales por narcotráfico (Ley N.º 10730) y se ejecutan las dos primeras entregas; el régimen OFAC se consolida como fuente de nivel A; la tasa de homicidios se estabiliza en un nivel alto (16,6-16,7) sin retroceder al umbral pre-2021; el fuero presidencial se extiende hasta 2030 por designación ministerial.</w:t>
            </w:r>
          </w:p>
        </w:tc>
      </w:tr>
    </w:tbl>
    <w:p>
      <w:pPr>
        <w:spacing w:after="200" w:before="360"/>
      </w:pPr>
      <w:r>
        <w:rPr>
          <w:rFonts w:ascii="Arial" w:cs="Arial" w:eastAsia="Arial" w:hAnsi="Arial"/>
          <w:b/>
          <w:bCs/>
          <w:color w:val="086EA8"/>
          <w:sz w:val="28"/>
          <w:szCs w:val="28"/>
        </w:rPr>
        <w:t xml:space="preserve">3. Corrupción pública e integridad institucional: cambio del patrón de riesgo</w:t>
      </w:r>
    </w:p>
    <w:p>
      <w:pPr>
        <w:spacing w:after="120"/>
        <w:jc w:val="both"/>
      </w:pPr>
      <w:r>
        <w:rPr>
          <w:rFonts w:ascii="Arial" w:cs="Arial" w:eastAsia="Arial" w:hAnsi="Arial"/>
          <w:sz w:val="18"/>
          <w:szCs w:val="18"/>
        </w:rPr>
        <w:t xml:space="preserve">La lectura histórica muestra tres desplazamientos. Primero, los megacasos de las décadas de 1990 y 2000 se vinculan principalmente con banca estatal, compras públicas, intermediación política y contratos de alto valor. Segundo, desde 2012 la exposición se dispersa hacia infraestructura vial, regímenes de emergencia, gobiernos locales y salud. Tercero, en el ciclo 2021-2026 la integridad judicial, registral y del propio vértice del Poder Ejecutivo se convierte en parte del problema analítico: el riesgo ya no se agota en la decisión contractual, sino que incluye acceso a información, fe pública, facilitación logística, protección de redes criminales y el mecanismo constitucional de fuero.</w:t>
      </w:r>
    </w:p>
    <w:p>
      <w:pPr>
        <w:spacing w:after="120"/>
        <w:jc w:val="both"/>
      </w:pPr>
      <w:r>
        <w:rPr>
          <w:rFonts w:ascii="Arial" w:cs="Arial" w:eastAsia="Arial" w:hAnsi="Arial"/>
          <w:sz w:val="18"/>
          <w:szCs w:val="18"/>
        </w:rPr>
        <w:t xml:space="preserve">Los desenlaces obligan a evitar la narrativa lineal "denuncia-operativo-condena". Entre 2012 y 2026, ninguno de los megacasos de corrupción en obra pública (La Trocha, Cementazo, Cochinilla, Diamante, Bancrédito) ha llegado a sentencia firme. El corpus registra, en cambio, un patrón de disipación jurídica: absolución (ICE-Alcatel, Reaseguros), prescripción parcial (Banco Anglo), sobreseimiento (La Trocha, 48 personas investigadas), nulidad total (Topo) o suspensión por fuero (BCIE-Cariñitos). La única condena firme del corpus por hechos de corrupción de alto nivel —CCSS-Fischel— se cumplió con pena reducida a tres años de ejecución condicional y sin recuperación civil efectiva.</w:t>
      </w:r>
    </w:p>
    <w:p>
      <w:pPr>
        <w:spacing w:after="120"/>
        <w:jc w:val="both"/>
      </w:pPr>
      <w:r>
        <w:rPr>
          <w:rFonts w:ascii="Arial" w:cs="Arial" w:eastAsia="Arial" w:hAnsi="Arial"/>
          <w:sz w:val="18"/>
          <w:szCs w:val="18"/>
        </w:rPr>
        <w:t xml:space="preserve">El resultado patrimonial agregado del litigio anticorrupción del corpus, hasta donde se ha verificado, es negativo: la condena civil de US$86,6 millones del caso Banco Anglo resultó incobrable, y el caso Reaseguros —25 años después de iniciado el expediente— concluyó en mayo de 2026 con la absolución unánime de los cinco acusados y una condena en costas superior a US$7,1 millones contra el Estado, el INS y el ICE. Esta conclusión no impugna la legitimidad de la persecución penal; impugna la costumbre analítica de contabilizar solo los montos presuntamente sustraídos sin registrar el costo fiscal del litigio fallido.</w:t>
      </w:r>
    </w:p>
    <w:p>
      <w:pPr>
        <w:spacing w:after="200" w:before="360"/>
      </w:pPr>
      <w:r>
        <w:rPr>
          <w:rFonts w:ascii="Arial" w:cs="Arial" w:eastAsia="Arial" w:hAnsi="Arial"/>
          <w:b/>
          <w:bCs/>
          <w:color w:val="086EA8"/>
          <w:sz w:val="28"/>
          <w:szCs w:val="28"/>
        </w:rPr>
        <w:t xml:space="preserve">4. Puntos de contacto entre crimen organizado e instituciones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750"/>
        <w:gridCol w:w="1000"/>
        <w:gridCol w:w="5160"/>
      </w:tblGrid>
      <w:tr>
        <w:trPr>
          <w:tblHeader/>
        </w:trPr>
        <w:tc>
          <w:tcPr>
            <w:tcW w:type="dxa" w:w="145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Nodo</w:t>
            </w:r>
          </w:p>
        </w:tc>
        <w:tc>
          <w:tcPr>
            <w:tcW w:type="dxa" w:w="175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Casos/operaciones</w:t>
            </w:r>
          </w:p>
        </w:tc>
        <w:tc>
          <w:tcPr>
            <w:tcW w:type="dxa" w:w="10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Evidencia</w:t>
            </w:r>
          </w:p>
        </w:tc>
        <w:tc>
          <w:tcPr>
            <w:tcW w:type="dxa" w:w="51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Qué demuestra / qué no demuestra</w:t>
            </w:r>
          </w:p>
        </w:tc>
      </w:tr>
      <w:tr>
        <w:tc>
          <w:tcPr>
            <w:tcW w:type="dxa" w:w="14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Registral / notarial</w:t>
            </w:r>
          </w:p>
        </w:tc>
        <w:tc>
          <w:tcPr>
            <w:tcW w:type="dxa" w:w="17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Madre Patria</w:t>
            </w:r>
          </w:p>
        </w:tc>
        <w:tc>
          <w:tcPr>
            <w:tcW w:type="dxa" w:w="10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Alta</w:t>
            </w:r>
          </w:p>
        </w:tc>
        <w:tc>
          <w:tcPr>
            <w:tcW w:type="dxa" w:w="51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Fraude registral, legitimación y participación de operadores de fe pública y funcionarios investigados (47 allanamientos simultáneos, jun.-jul. 2024). El régimen cautelar ha sido volátil: sustitución de prisión preventiva en feb. 2026, recaptura, y liberación de 17 sospechosos el 11 de agosto de 2026 por rechazo judicial a prorrogar la prisión preventiva.</w:t>
            </w:r>
          </w:p>
        </w:tc>
      </w:tr>
      <w:tr>
        <w:tc>
          <w:tcPr>
            <w:tcW w:type="dxa" w:w="14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Penitenciario y sucesión criminal</w:t>
            </w:r>
          </w:p>
        </w:tc>
        <w:tc>
          <w:tcPr>
            <w:tcW w:type="dxa" w:w="17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Riverside</w:t>
            </w:r>
          </w:p>
        </w:tc>
        <w:tc>
          <w:tcPr>
            <w:tcW w:type="dxa" w:w="10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Alta</w:t>
            </w:r>
          </w:p>
        </w:tc>
        <w:tc>
          <w:tcPr>
            <w:tcW w:type="dxa" w:w="51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Dos oficiales de Policía Penitenciaria fueron detenidos en el operativo de junio de 2026 (97 allanamientos, ~140 estructuras) contra una organización que habría continuado operando tras la extradición previa de un cabecilla. Muestra que neutralizar al liderazgo no equivale a desarticular la estructura si la base patrimonial y familiar permanece intacta.</w:t>
            </w:r>
          </w:p>
        </w:tc>
      </w:tr>
      <w:tr>
        <w:tc>
          <w:tcPr>
            <w:tcW w:type="dxa" w:w="14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Marítimo</w:t>
            </w:r>
          </w:p>
        </w:tc>
        <w:tc>
          <w:tcPr>
            <w:tcW w:type="dxa" w:w="17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Condena federal de nov. 2025 (Vindas); Riverside</w:t>
            </w:r>
          </w:p>
        </w:tc>
        <w:tc>
          <w:tcPr>
            <w:tcW w:type="dxa" w:w="10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Alta</w:t>
            </w:r>
          </w:p>
        </w:tc>
        <w:tc>
          <w:tcPr>
            <w:tcW w:type="dxa" w:w="51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Una sentencia federal estadounidense (292 meses de prisión) documentó sobornos de hasta US$80.000 a oficiales navales costarricenses para evitar la interceptación de cargamentos superiores a 1.000 kg de cocaína. No se trata de inferencia logística: es evidencia de nivel A que obliga a incorporar de forma estructural fuentes judiciales extranjeras.</w:t>
            </w:r>
          </w:p>
        </w:tc>
      </w:tr>
      <w:tr>
        <w:tc>
          <w:tcPr>
            <w:tcW w:type="dxa" w:w="14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Judicial / acceso a información</w:t>
            </w:r>
          </w:p>
        </w:tc>
        <w:tc>
          <w:tcPr>
            <w:tcW w:type="dxa" w:w="17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Topo; Gamboa/López Vega</w:t>
            </w:r>
          </w:p>
        </w:tc>
        <w:tc>
          <w:tcPr>
            <w:tcW w:type="dxa" w:w="10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Mixta</w:t>
            </w:r>
          </w:p>
        </w:tc>
        <w:tc>
          <w:tcPr>
            <w:tcW w:type="dxa" w:w="51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Topo terminó en nulidad total en 2026 por defecto en la habilitación de la injerencia de junio de 2024. En Gamboa/López Vega existe una imputación administrativa extranjera de nivel A (OFAC, ago. 2025) que describe venta de información sobre investigaciones antidrogas y uso de un bufete y un club deportivo para legitimar ganancias, pero no una sentencia que pruebe captura institucional del órgano donde el principal acusado ocupó cargos.</w:t>
            </w:r>
          </w:p>
        </w:tc>
      </w:tr>
      <w:tr>
        <w:tc>
          <w:tcPr>
            <w:tcW w:type="dxa" w:w="14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Vértice del Poder Ejecutivo (fuero)</w:t>
            </w:r>
          </w:p>
        </w:tc>
        <w:tc>
          <w:tcPr>
            <w:tcW w:type="dxa" w:w="175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BCIE-Cariñitos; ciclo de beligerancia política</w:t>
            </w:r>
          </w:p>
        </w:tc>
        <w:tc>
          <w:tcPr>
            <w:tcW w:type="dxa" w:w="10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Alta (acusación fiscal; sin declaratoria de responsabilidad)</w:t>
            </w:r>
          </w:p>
        </w:tc>
        <w:tc>
          <w:tcPr>
            <w:tcW w:type="dxa" w:w="51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Primer proceso de desafuero contra un presidente en ejercicio en la historia constitucional del país (dos votaciones, sep. y dic. 2025, ninguna alcanzó los 38 votos requeridos). Demuestra que el diseño de mayoría calificada puede convertir la persecución penal del vértice del Ejecutivo en función de la aritmética legislativa; no demuestra responsabilidad penal, que sigue sin resolverse.</w:t>
            </w:r>
          </w:p>
        </w:tc>
      </w:tr>
      <w:tr>
        <w:tc>
          <w:tcPr>
            <w:tcW w:type="dxa" w:w="14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Logístico-financiero</w:t>
            </w:r>
          </w:p>
        </w:tc>
        <w:tc>
          <w:tcPr>
            <w:tcW w:type="dxa" w:w="175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Traición; contenedores a Europa; Riverside</w:t>
            </w:r>
          </w:p>
        </w:tc>
        <w:tc>
          <w:tcPr>
            <w:tcW w:type="dxa" w:w="10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Media/alta</w:t>
            </w:r>
          </w:p>
        </w:tc>
        <w:tc>
          <w:tcPr>
            <w:tcW w:type="dxa" w:w="51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Uso de puertos, empresas, bienes inmuebles, ganado, vehículos, embarcaciones y otras formas de almacenamiento de valor. La legitimación funciona como puente entre economía legal e ilegal; el régimen de sanciones OFAC identificó además un bufete de abogados y un club de fútbol de segunda división como vehículos de presunto blanqueo.</w:t>
            </w:r>
          </w:p>
        </w:tc>
      </w:tr>
    </w:tbl>
    <w:p>
      <w:pPr>
        <w:spacing w:after="200" w:before="60"/>
        <w:jc w:val="both"/>
      </w:pPr>
      <w:r>
        <w:rPr>
          <w:rFonts w:ascii="Arial" w:cs="Arial" w:eastAsia="Arial" w:hAnsi="Arial"/>
          <w:i/>
          <w:iCs/>
          <w:color w:val="555555"/>
          <w:sz w:val="16"/>
          <w:szCs w:val="16"/>
        </w:rPr>
        <w:t xml:space="preserve">Nota: "conexión institucional alta" describe el nivel de evidencia del vínculo en el caso, no una estimación de captura general de la institución. El corpus prohíbe inferencias reputacionales basadas solo en cargos previos o exposición mediática; la codificación de Gamboa/López Vega se elevó a "alta" únicamente tras localizarse una fuente institucional extranjera de nivel A (OFAC), no por la trayectoria pública del acusado.</w:t>
      </w:r>
    </w:p>
    <w:p>
      <w:pPr>
        <w:spacing w:after="200" w:before="360"/>
      </w:pPr>
      <w:r>
        <w:rPr>
          <w:rFonts w:ascii="Arial" w:cs="Arial" w:eastAsia="Arial" w:hAnsi="Arial"/>
          <w:b/>
          <w:bCs/>
          <w:color w:val="086EA8"/>
          <w:sz w:val="28"/>
          <w:szCs w:val="28"/>
        </w:rPr>
        <w:t xml:space="preserve">5. Integridad del vértice institucional: fuero, aforamiento y el caso BCIE-Cariñitos</w:t>
      </w:r>
    </w:p>
    <w:p>
      <w:pPr>
        <w:spacing w:after="120"/>
        <w:jc w:val="both"/>
      </w:pPr>
      <w:r>
        <w:rPr>
          <w:rFonts w:ascii="Arial" w:cs="Arial" w:eastAsia="Arial" w:hAnsi="Arial"/>
          <w:sz w:val="18"/>
          <w:szCs w:val="18"/>
        </w:rPr>
        <w:t xml:space="preserve">Esta sección no existía en la versión anterior del informe y constituye, junto con la sección 6, la principal ampliación sustantiva de esta actualización. Su ausencia previa eliminaba del análisis la variable que mejor explica por qué, en el ciclo 2022-2026, la acumulación de causas penales contra el vértice del Ejecutivo no se tradujo en actividad jurisdiccional.</w:t>
      </w:r>
    </w:p>
    <w:p>
      <w:pPr>
        <w:spacing w:after="120" w:before="240"/>
      </w:pPr>
      <w:r>
        <w:rPr>
          <w:rFonts w:ascii="Arial" w:cs="Arial" w:eastAsia="Arial" w:hAnsi="Arial"/>
          <w:b/>
          <w:bCs/>
          <w:color w:val="17AEE5"/>
          <w:sz w:val="23"/>
          <w:szCs w:val="23"/>
        </w:rPr>
        <w:t xml:space="preserve">5.1 El caso BCIE-Cariñitos</w:t>
      </w:r>
    </w:p>
    <w:p>
      <w:pPr>
        <w:pStyle w:val="ListParagraph"/>
        <w:numPr>
          <w:ilvl w:val="0"/>
          <w:numId w:val="2"/>
        </w:numPr>
        <w:spacing w:after="80"/>
        <w:jc w:val="both"/>
      </w:pPr>
      <w:r>
        <w:rPr>
          <w:rFonts w:ascii="Arial" w:cs="Arial" w:eastAsia="Arial" w:hAnsi="Arial"/>
          <w:sz w:val="18"/>
          <w:szCs w:val="18"/>
        </w:rPr>
        <w:t xml:space="preserve">Hechos investigados: entre agosto y octubre de 2022, contratación de una productora audiovisual por aproximadamente US$405.800 para servicios de comunicación, mercadeo, consultoría estratégica y análisis de opinión para la Presidencia de la República, financiada con fondos donados por el Banco Centroamericano de Integración Económica (BCIE). La acusación sostiene que, a cambio del contrato, se solicitó al contratista girar US$32.000 a un exasesor presidencial sin cargo público formal.</w:t>
      </w:r>
    </w:p>
    <w:p>
      <w:pPr>
        <w:pStyle w:val="ListParagraph"/>
        <w:numPr>
          <w:ilvl w:val="0"/>
          <w:numId w:val="2"/>
        </w:numPr>
        <w:spacing w:after="80"/>
        <w:jc w:val="both"/>
      </w:pPr>
      <w:r>
        <w:rPr>
          <w:rFonts w:ascii="Arial" w:cs="Arial" w:eastAsia="Arial" w:hAnsi="Arial"/>
          <w:sz w:val="18"/>
          <w:szCs w:val="18"/>
        </w:rPr>
        <w:t xml:space="preserve">Trayectoria procesal: secuestro de audios grabados por la entonces ministra de Comunicación (30 de enero de 2025); acusación de la Fiscalía General por concusión contra el presidente de la República y el entonces jefe de despacho, posteriormente ministro de Cultura (7 de abril de 2025, expediente 25-000019-0033-PE); acuerdo de colaboración del empresario contratista, convertido en testigo de la corona; acuerdo de la Corte Plena de solicitar el desafuero de ambos (1 de julio de 2025, 15 votos contra 7 respecto del presidente y 17 contra 7 respecto del ministro); remisión a la Asamblea Legislativa (28 de julio de 2025, expediente legislativo 25.105).</w:t>
      </w:r>
    </w:p>
    <w:p>
      <w:pPr>
        <w:pStyle w:val="ListParagraph"/>
        <w:numPr>
          <w:ilvl w:val="0"/>
          <w:numId w:val="2"/>
        </w:numPr>
        <w:spacing w:after="80"/>
        <w:jc w:val="both"/>
      </w:pPr>
      <w:r>
        <w:rPr>
          <w:rFonts w:ascii="Arial" w:cs="Arial" w:eastAsia="Arial" w:hAnsi="Arial"/>
          <w:sz w:val="18"/>
          <w:szCs w:val="18"/>
        </w:rPr>
        <w:t xml:space="preserve">Primera votación del Plenario (22 de septiembre de 2025): 34 votos a favor y 21 en contra del desafuero presidencial; no se alcanzó la mayoría calificada de 38 votos. El ministro codemandado renunció a su propia inmunidad y quedó sujeto a proceso; la causa contra el presidente quedó suspendida mientras conserve el fuero.</w:t>
      </w:r>
    </w:p>
    <w:p>
      <w:pPr>
        <w:pStyle w:val="ListParagraph"/>
        <w:numPr>
          <w:ilvl w:val="0"/>
          <w:numId w:val="2"/>
        </w:numPr>
        <w:spacing w:after="80"/>
        <w:jc w:val="both"/>
      </w:pPr>
      <w:r>
        <w:rPr>
          <w:rFonts w:ascii="Arial" w:cs="Arial" w:eastAsia="Arial" w:hAnsi="Arial"/>
          <w:sz w:val="18"/>
          <w:szCs w:val="18"/>
        </w:rPr>
        <w:t xml:space="preserve">Segunda votación (16 de diciembre de 2025), solicitada por el Tribunal Supremo de Elecciones a partir de 15 denuncias por presunta beligerancia política: 35 votos a favor y 21 en contra; tampoco se alcanzaron los 38 votos requeridos.</w:t>
      </w:r>
    </w:p>
    <w:p>
      <w:pPr>
        <w:pStyle w:val="ListParagraph"/>
        <w:numPr>
          <w:ilvl w:val="0"/>
          <w:numId w:val="2"/>
        </w:numPr>
        <w:spacing w:after="80"/>
        <w:jc w:val="both"/>
      </w:pPr>
      <w:r>
        <w:rPr>
          <w:rFonts w:ascii="Arial" w:cs="Arial" w:eastAsia="Arial" w:hAnsi="Arial"/>
          <w:sz w:val="18"/>
          <w:szCs w:val="18"/>
        </w:rPr>
        <w:t xml:space="preserve">Extensión del fuero: el 5-8 de mayo de 2026, el mandatario saliente fue designado ministro de la Presidencia y de Hacienda del nuevo gobierno, lo que extiende su fuero de improcedibilidad penal hasta 2030. En la conformación legislativa 2026-2030, la fracción oficialista controla 31 de las 57 curules, por debajo de los 38 votos necesarios para un desafuero.</w:t>
      </w:r>
    </w:p>
    <w:p>
      <w:pPr>
        <w:pStyle w:val="ListParagraph"/>
        <w:numPr>
          <w:ilvl w:val="0"/>
          <w:numId w:val="2"/>
        </w:numPr>
        <w:spacing w:after="80"/>
        <w:jc w:val="both"/>
      </w:pPr>
      <w:r>
        <w:rPr>
          <w:rFonts w:ascii="Arial" w:cs="Arial" w:eastAsia="Arial" w:hAnsi="Arial"/>
          <w:sz w:val="18"/>
          <w:szCs w:val="18"/>
        </w:rPr>
        <w:t xml:space="preserve">Causas adicionales bajo el mismo régimen de fuero: presunto financiamiento irregular de la campaña electoral de 2022 (nueva solicitud de desafuero estancada en julio de 2026 por falta de magistrados suplentes en la Sala Constitucional); presunto prevaricato relacionado con la remoción de la junta directiva de un banco estatal; y una causa por presunto tráfico de influencias, abierta en octubre de 2025.</w:t>
      </w:r>
    </w:p>
    <w:p>
      <w:pPr>
        <w:spacing w:after="120"/>
        <w:jc w:val="both"/>
      </w:pPr>
      <w:r>
        <w:rPr>
          <w:rFonts w:ascii="Arial" w:cs="Arial" w:eastAsia="Arial" w:hAnsi="Arial"/>
          <w:sz w:val="18"/>
          <w:szCs w:val="18"/>
        </w:rPr>
        <w:t xml:space="preserve">Con independencia del fondo —que no está resuelto y sobre el cual este informe se abstiene de pronunciarse—, el caso es el hito institucional más significativo del periodo por tres razones. Primera, es la primera vez en la historia constitucional costarricense que el Plenario legislativo vota el desafuero de un presidente en ejercicio. Segunda, muestra que el diseño de mayoría calificada convierte la persecución penal del vértice del Ejecutivo en una función de la aritmética legislativa y no exclusivamente del mérito probatorio. Tercera, introduce en el corpus la figura del testigo colaborador con suspensión de la acción penal, cuya utilización creciente merece seguimiento metodológico específico.</w:t>
      </w:r>
    </w:p>
    <w:p>
      <w:pPr>
        <w:spacing w:after="120" w:before="240"/>
      </w:pPr>
      <w:r>
        <w:rPr>
          <w:rFonts w:ascii="Arial" w:cs="Arial" w:eastAsia="Arial" w:hAnsi="Arial"/>
          <w:b/>
          <w:bCs/>
          <w:color w:val="17AEE5"/>
          <w:sz w:val="23"/>
          <w:szCs w:val="23"/>
        </w:rPr>
        <w:t xml:space="preserve">5.2 El aforamiento como variable estructural</w:t>
      </w:r>
    </w:p>
    <w:p>
      <w:pPr>
        <w:spacing w:after="120"/>
        <w:jc w:val="both"/>
      </w:pPr>
      <w:r>
        <w:rPr>
          <w:rFonts w:ascii="Arial" w:cs="Arial" w:eastAsia="Arial" w:hAnsi="Arial"/>
          <w:sz w:val="18"/>
          <w:szCs w:val="18"/>
        </w:rPr>
        <w:t xml:space="preserve">El fuero no extingue la causa: la suspende. Esto tiene dos consecuencias analíticas relevantes para la política pública. Primera, interactúa con los plazos de prescripción, de forma que una suspensión prolongada puede terminar produciendo el mismo resultado práctico que una absolución, sin que exista un pronunciamiento sobre el fondo. Segunda, desplaza el locus de la decisión desde el Poder Judicial hacia el Poder Legislativo, sometiendo la persecución penal de altos cargos a una lógica de negociación política ausente en el proceso penal ordinario. El corpus auditado registra tres casos con aforamiento activo a la fecha de corte; ninguno de ellos cuenta con declaratoria de responsabilidad.</w:t>
      </w:r>
    </w:p>
    <w:p>
      <w:pPr>
        <w:spacing w:after="120"/>
        <w:jc w:val="both"/>
      </w:pPr>
      <w:r>
        <w:rPr>
          <w:rFonts w:ascii="Arial" w:cs="Arial" w:eastAsia="Arial" w:hAnsi="Arial"/>
          <w:sz w:val="18"/>
          <w:szCs w:val="18"/>
        </w:rPr>
        <w:t xml:space="preserve">Formulada como hipótesis para investigación futura: en el corpus 2022-2026, la existencia de fuero predice la suspensión del proceso con independencia del grado de desarrollo de la acusación. Contrastarla exige ampliar el corpus a todas las causas contra miembros de los Supremos Poderes en el periodo, tarea que excede el alcance de este informe pero que se recomienda como línea de trabajo prioritaria.</w:t>
      </w:r>
    </w:p>
    <w:p>
      <w:pPr>
        <w:spacing w:after="200" w:before="360"/>
      </w:pPr>
      <w:r>
        <w:rPr>
          <w:rFonts w:ascii="Arial" w:cs="Arial" w:eastAsia="Arial" w:hAnsi="Arial"/>
          <w:b/>
          <w:bCs/>
          <w:color w:val="086EA8"/>
          <w:sz w:val="28"/>
          <w:szCs w:val="28"/>
        </w:rPr>
        <w:t xml:space="preserve">6. Instrumentos recientes: extradición de nacionales y sanciones financieras extranjeras</w:t>
      </w:r>
    </w:p>
    <w:p>
      <w:pPr>
        <w:spacing w:after="120" w:before="240"/>
      </w:pPr>
      <w:r>
        <w:rPr>
          <w:rFonts w:ascii="Arial" w:cs="Arial" w:eastAsia="Arial" w:hAnsi="Arial"/>
          <w:b/>
          <w:bCs/>
          <w:color w:val="17AEE5"/>
          <w:sz w:val="23"/>
          <w:szCs w:val="23"/>
        </w:rPr>
        <w:t xml:space="preserve">6.1 Reforma constitucional de extradición (Ley N.º 10730)</w:t>
      </w:r>
    </w:p>
    <w:p>
      <w:pPr>
        <w:spacing w:after="120"/>
        <w:jc w:val="both"/>
      </w:pPr>
      <w:r>
        <w:rPr>
          <w:rFonts w:ascii="Arial" w:cs="Arial" w:eastAsia="Arial" w:hAnsi="Arial"/>
          <w:sz w:val="18"/>
          <w:szCs w:val="18"/>
        </w:rPr>
        <w:t xml:space="preserve">La Asamblea Legislativa aprobó en tercer debate, el 15 de mayo de 2025, con 45 votos, la Ley N.º 10730, que reforma el artículo 32 de la Constitución para permitir la extradición de costarricenses —por nacimiento o naturalización— exclusivamente por tráfico internacional de drogas y terrorismo; la ley se publicó el 28 de mayo de 2025. Las primeras extradiciones de nacionales bajo este marco se ejecutaron el 20 de marzo de 2026 (el exmagistrado Celso Gamboa y Edwin López Vega, hacia el Distrito Este de Texas) y el 13 de agosto de 2026 (el primer costarricense designado por la OFAC en 2023, junto con un ciudadano colombiano naturalizado costarricense, señalados por el envío de cocaína líquida hacia Europa y Asia).</w:t>
      </w:r>
    </w:p>
    <w:p>
      <w:pPr>
        <w:spacing w:after="120"/>
        <w:jc w:val="both"/>
      </w:pPr>
      <w:r>
        <w:rPr>
          <w:rFonts w:ascii="Arial" w:cs="Arial" w:eastAsia="Arial" w:hAnsi="Arial"/>
          <w:sz w:val="18"/>
          <w:szCs w:val="18"/>
        </w:rPr>
        <w:t xml:space="preserve">Persiste una controversia jurídica sobre si la reforma puede aplicarse a hechos anteriores a mayo de 2025. En el caso del designado de 2023, el Tribunal Penal de Limón denegó en marzo de 2026 la solicitud estadounidense de extradición por tratarse de hechos anteriores a la reforma; el Tribunal de Apelaciones revocó esa decisión el 2 de junio de 2026, acogiendo la tesis de la prevalencia de los mecanismos de cooperación internacional, y la entrega se ejecutó el 13 de agosto de 2026. Este desenlace resuelve la disputa en ese caso concreto, pero no la cierra en abstracto: no existe pronunciamiento uniforme de la Sala Constitucional ni de todas las cámaras de apelación, y a mediados de 2026 se reportaban veinte expedientes de extradición que involucraban a 27 ciudadanos costarricenses. En julio de 2026 el Poder Ejecutivo presentó una nueva reforma para ampliar los delitos extraditables a sicariato, legitimación de capitales, tráfico de armas y personas, y ciberdelitos.</w:t>
      </w:r>
    </w:p>
    <w:p>
      <w:pPr>
        <w:spacing w:after="120"/>
        <w:jc w:val="both"/>
      </w:pPr>
      <w:r>
        <w:rPr>
          <w:rFonts w:ascii="Arial" w:cs="Arial" w:eastAsia="Arial" w:hAnsi="Arial"/>
          <w:sz w:val="18"/>
          <w:szCs w:val="18"/>
        </w:rPr>
        <w:t xml:space="preserve">La reforma es la condición de posibilidad jurídica de las extradiciones de 2026 y, simultáneamente, una fuente de riesgo de reversibilidad: si la interpretación restrictiva sobre su eficacia temporal se consolidara en instancias superiores, una parte sustancial de los procesos en trámite podría verse afectada. El caso Riverside, además, muestra que la estructura investigada sobrevivió a la extradición previa de su líder, por lo que la extradición debe entenderse como una herramienta dentro de una estrategia más amplia de desarticulación patrimonial y de redes, no como un desenlace suficiente por sí mismo.</w:t>
      </w:r>
    </w:p>
    <w:p>
      <w:pPr>
        <w:spacing w:after="120" w:before="240"/>
      </w:pPr>
      <w:r>
        <w:rPr>
          <w:rFonts w:ascii="Arial" w:cs="Arial" w:eastAsia="Arial" w:hAnsi="Arial"/>
          <w:b/>
          <w:bCs/>
          <w:color w:val="17AEE5"/>
          <w:sz w:val="23"/>
          <w:szCs w:val="23"/>
        </w:rPr>
        <w:t xml:space="preserve">6.2 Régimen de sanciones financieras extranjeras (OFAC)</w:t>
      </w:r>
    </w:p>
    <w:p>
      <w:pPr>
        <w:spacing w:after="120"/>
        <w:jc w:val="both"/>
      </w:pPr>
      <w:r>
        <w:rPr>
          <w:rFonts w:ascii="Arial" w:cs="Arial" w:eastAsia="Arial" w:hAnsi="Arial"/>
          <w:sz w:val="18"/>
          <w:szCs w:val="18"/>
        </w:rPr>
        <w:t xml:space="preserve">El régimen de designaciones de la Oficina de Control de Activos Extranjeros (OFAC) del Departamento del Tesoro de Estados Unidos constituye una fuente institucional de nivel A, publicada en el Registro Federal, distinta tanto del proceso penal como del extraditorio. El 15 de noviembre de 2023 se designó al primer costarricense, un traficante radicado en Limón señalado por el volumen de cocaína movilizada mediante embarcaciones pesqueras. El 18 de agosto de 2025 se designó a cuatro costarricenses adicionales —entre ellos el exmagistrado posteriormente extraditado y el cabecilla cuya estructura sería intervenida en el caso Riverside— junto con dos personas jurídicas vinculadas al primero: su bufete de abogados y un club de fútbol de segunda división, señalados como vehículos de presunto blanqueo de ganancias.</w:t>
      </w:r>
    </w:p>
    <w:p>
      <w:pPr>
        <w:spacing w:after="120"/>
        <w:jc w:val="both"/>
      </w:pPr>
      <w:r>
        <w:rPr>
          <w:rFonts w:ascii="Arial" w:cs="Arial" w:eastAsia="Arial" w:hAnsi="Arial"/>
          <w:sz w:val="18"/>
          <w:szCs w:val="18"/>
        </w:rPr>
        <w:t xml:space="preserve">El comunicado del Tesoro de agosto de 2025 sostiene que el exmagistrado empleó su red de contactos dentro del gobierno para obtener y vender información sobre investigaciones antidrogas en curso, y que sobornó a policías y funcionarios públicos para facilitar el transporte de cocaína. Se trata de un acto administrativo de un Estado extranjero, no de una declaratoria judicial de responsabilidad, y así debe consignarse en cualquier uso de este dato. Su valor analítico es, no obstante, considerable: permite codificar la conexión institucional del caso Gamboa/López Vega como "alta por fuente administrativa extranjera", distinta de la codificación "alta por expediente judicial nacional" que aplica a la mayoría de los demás casos del corpus.</w:t>
      </w:r>
    </w:p>
    <w:p>
      <w:pPr>
        <w:spacing w:after="200" w:before="360"/>
      </w:pPr>
      <w:r>
        <w:rPr>
          <w:rFonts w:ascii="Arial" w:cs="Arial" w:eastAsia="Arial" w:hAnsi="Arial"/>
          <w:b/>
          <w:bCs/>
          <w:color w:val="086EA8"/>
          <w:sz w:val="28"/>
          <w:szCs w:val="28"/>
        </w:rPr>
        <w:t xml:space="preserve">7. Capacidad estatal: fuerte detección, consolidación jurídica insuficiente</w:t>
      </w:r>
    </w:p>
    <w:p>
      <w:pPr>
        <w:spacing w:after="120"/>
        <w:jc w:val="both"/>
      </w:pPr>
      <w:r>
        <w:rPr>
          <w:rFonts w:ascii="Arial" w:cs="Arial" w:eastAsia="Arial" w:hAnsi="Arial"/>
          <w:sz w:val="18"/>
          <w:szCs w:val="18"/>
        </w:rPr>
        <w:t xml:space="preserve">El patrón emergente del ciclo 2024-2026 es una brecha entre capacidad operativa y sostenibilidad procesal. Costa Rica puede ejecutar allanamientos simultáneos de gran escala —97 en el operativo de Limón de junio de 2026, con cerca de 1.500 funcionarios— cooperación internacional, decomisos y extradiciones; sin embargo, varios megacasos se definen por problemas de fundamentación jurídica, tiempos prolongados, nulidades, cambios cautelares y obstáculos derivados del aforamiento. La duración deja de ser un problema administrativo y se convierte en una variable causal: dispersa evidencia, aumenta costos, eleva el riesgo de prescripción y deteriora la capacidad de recuperar activos.</w:t>
      </w:r>
    </w:p>
    <w:p>
      <w:pPr>
        <w:spacing w:after="120" w:before="240"/>
      </w:pPr>
      <w:r>
        <w:rPr>
          <w:rFonts w:ascii="Arial" w:cs="Arial" w:eastAsia="Arial" w:hAnsi="Arial"/>
          <w:b/>
          <w:bCs/>
          <w:color w:val="17AEE5"/>
          <w:sz w:val="23"/>
          <w:szCs w:val="23"/>
        </w:rPr>
        <w:t xml:space="preserve">7.1 Nulidades y defectos de fundamentación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Caso</w:t>
            </w:r>
          </w:p>
        </w:tc>
        <w:tc>
          <w:tcPr>
            <w:tcW w:type="dxa" w:w="71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Incidencia de nulidad o defecto procesal</w:t>
            </w:r>
          </w:p>
        </w:tc>
      </w:tr>
      <w:tr>
        <w:tc>
          <w:tcPr>
            <w:tcW w:type="dxa" w:w="22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Topo</w:t>
            </w:r>
          </w:p>
        </w:tc>
        <w:tc>
          <w:tcPr>
            <w:tcW w:type="dxa" w:w="71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Nulidad total: la resolución que autorizó los allanamientos de junio de 2024 fue declarada ineficaz en 2026, anulando todo lo actuado a partir de ella, incluidos operativos, detenciones y decomisos.</w:t>
            </w:r>
          </w:p>
        </w:tc>
      </w:tr>
      <w:tr>
        <w:tc>
          <w:tcPr>
            <w:tcW w:type="dxa" w:w="22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Diamante</w:t>
            </w:r>
          </w:p>
        </w:tc>
        <w:tc>
          <w:tcPr>
            <w:tcW w:type="dxa" w:w="71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 declaratoria de crimen organizado que sustentaba parte de la investigación fue anulada; la causa continúa por otras vías procesales.</w:t>
            </w:r>
          </w:p>
        </w:tc>
      </w:tr>
      <w:tr>
        <w:tc>
          <w:tcPr>
            <w:tcW w:type="dxa" w:w="22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Cementazo (arista BCR)</w:t>
            </w:r>
          </w:p>
        </w:tc>
        <w:tc>
          <w:tcPr>
            <w:tcW w:type="dxa" w:w="71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Audiencia preliminar anulada de oficio; la arista del Banco Popular tiene juicio programado para noviembre de 2026.</w:t>
            </w:r>
          </w:p>
        </w:tc>
      </w:tr>
      <w:tr>
        <w:tc>
          <w:tcPr>
            <w:tcW w:type="dxa" w:w="22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Barrenador</w:t>
            </w:r>
          </w:p>
        </w:tc>
        <w:tc>
          <w:tcPr>
            <w:tcW w:type="dxa" w:w="71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El insumo técnico inicial de la acusación fue impugnado; persiste divergencia no resuelta entre la estimación fiscal del perjuicio (más de ₡12.400 millones anuales) y la de la comisión legislativa (₡2.400 millones).</w:t>
            </w:r>
          </w:p>
        </w:tc>
      </w:tr>
    </w:tbl>
    <w:p>
      <w:pPr>
        <w:spacing w:after="120" w:before="240"/>
      </w:pPr>
      <w:r>
        <w:rPr>
          <w:rFonts w:ascii="Arial" w:cs="Arial" w:eastAsia="Arial" w:hAnsi="Arial"/>
          <w:b/>
          <w:bCs/>
          <w:color w:val="17AEE5"/>
          <w:sz w:val="23"/>
          <w:szCs w:val="23"/>
        </w:rPr>
        <w:t xml:space="preserve">7.2 Indicadores de gestión del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Indicador</w:t>
            </w:r>
          </w:p>
        </w:tc>
        <w:tc>
          <w:tcPr>
            <w:tcW w:type="dxa" w:w="39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Valor</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Casos/operaciones registrados</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27</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Primer hito público 2021-2026</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13</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Conexión institucional alta (nacional + extranjera)</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18 (17 + 1)</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Casos con nivel de evidencia A</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14</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Casos con nivel de evidencia C (requieren expediente)</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4</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Incidencias de nulidad</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7</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Duración media con dato disponible</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6,7 años</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Duración máxima</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25 años (Reaseguros)</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Casos con más de 8 años de duración</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8</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Resultado patrimonial pendiente</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17</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Resultado patrimonial negativo para el Estado</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 (Banco Anglo, Reaseguros)</w:t>
            </w:r>
          </w:p>
        </w:tc>
      </w:tr>
      <w:tr>
        <w:tc>
          <w:tcPr>
            <w:tcW w:type="dxa" w:w="5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Aforamiento activo</w:t>
            </w:r>
          </w:p>
        </w:tc>
        <w:tc>
          <w:tcPr>
            <w:tcW w:type="dxa" w:w="3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w:t>
            </w:r>
          </w:p>
        </w:tc>
      </w:tr>
      <w:tr>
        <w:tc>
          <w:tcPr>
            <w:tcW w:type="dxa" w:w="5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Extradiciones ejecutadas</w:t>
            </w:r>
          </w:p>
        </w:tc>
        <w:tc>
          <w:tcPr>
            <w:tcW w:type="dxa" w:w="3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w:t>
            </w:r>
          </w:p>
        </w:tc>
      </w:tr>
    </w:tbl>
    <w:p>
      <w:pPr>
        <w:spacing w:after="200" w:before="60"/>
        <w:jc w:val="both"/>
      </w:pPr>
      <w:r>
        <w:rPr>
          <w:rFonts w:ascii="Arial" w:cs="Arial" w:eastAsia="Arial" w:hAnsi="Arial"/>
          <w:i/>
          <w:iCs/>
          <w:color w:val="555555"/>
          <w:sz w:val="16"/>
          <w:szCs w:val="16"/>
        </w:rPr>
        <w:t xml:space="preserve">Fuente: Base maestra de corrupción y crimen organizado CR, hoja "Tablero de control", corte 14/08/2026. La concentración de casos en estados no conclusivos (investigación, acusación, medidas cautelares), junto con la duración media de 6,7 años, sostiene la hipótesis de que el cuello de botella del sistema se ha desplazado de la detección a la consolidación jurídica.</w:t>
      </w:r>
    </w:p>
    <w:p>
      <w:pPr>
        <w:spacing w:after="200" w:before="360"/>
      </w:pPr>
      <w:r>
        <w:rPr>
          <w:rFonts w:ascii="Arial" w:cs="Arial" w:eastAsia="Arial" w:hAnsi="Arial"/>
          <w:b/>
          <w:bCs/>
          <w:color w:val="086EA8"/>
          <w:sz w:val="28"/>
          <w:szCs w:val="28"/>
        </w:rPr>
        <w:t xml:space="preserve">8. Riesgo territorial, violencia, drogas y costo económico</w:t>
      </w:r>
    </w:p>
    <w:p>
      <w:pPr>
        <w:spacing w:after="120"/>
        <w:jc w:val="both"/>
      </w:pPr>
      <w:r>
        <w:rPr>
          <w:rFonts w:ascii="Arial" w:cs="Arial" w:eastAsia="Arial" w:hAnsi="Arial"/>
          <w:sz w:val="18"/>
          <w:szCs w:val="18"/>
        </w:rPr>
        <w:t xml:space="preserve">La escalada de la violencia tiene un componente territorial y económico. En 2025 se registraron 873 homicidios y una tasa de 16,7 por 100.000 habitantes —tercera cifra más alta de la serie, tres homicidios menos que en 2024 (876) pero con una tasa levemente superior por efecto de la corrección poblacional—; 69% se atribuyó a ajustes de cuentas vinculados al narcotráfico, 589 víctimas tenían entre 18 y 39 años, 50 eran personas menores de edad y se contabilizaron 85 víctimas colaterales. Limón registró 172 homicidios y una tasa de 37,7 por 100.000, comparable a la de países con crisis de seguridad reconocidas internacionalmente. Al 22 de marzo de 2026 se habían registrado 156 homicidios, un promedio de 1,9 diarios frente a 2,4 en 2024 y 2025, con una proyección oficial por debajo de 800 para el cierre del año. La revisión del Estado de la Nación identifica además 38 cantones con tasas "epidémicas" que concentran 62% del PIB nacional: la seguridad dejó de ser un problema sectorial y afecta corredores logísticos, empleo, inversión, movilidad y continuidad de la actividad productiva.</w:t>
      </w:r>
    </w:p>
    <w:p>
      <w:pPr>
        <w:spacing w:after="120"/>
        <w:jc w:val="both"/>
      </w:pPr>
      <w:r>
        <w:rPr>
          <w:rFonts w:ascii="Arial" w:cs="Arial" w:eastAsia="Arial" w:hAnsi="Arial"/>
          <w:sz w:val="18"/>
          <w:szCs w:val="18"/>
        </w:rPr>
        <w:t xml:space="preserve">Los costos son significativos. El BID estimó en 2022 que el crimen equivalía a cerca de 3% del PIB de Costa Rica, mientras la Contraloría calculó en ₡542.000 millones el capital humano perdido por homicidios entre 2018 y 2023. Los decomisos de cocaína alcanzaron 46,5 toneladas en 2025 —segunda cifra más alta de la serie histórica, tras el máximo de 47,1 toneladas en 2020— y superaron 12 toneladas en el primer trimestre de 2026, frente a cerca de 3 toneladas en el mismo periodo de 2025; los decomisos de marihuana en el primer trimestre de 2026 rondaron las 4 toneladas, frente a 1 tonelada un año antes. En junio de 2026 se decomisaron 3 toneladas adicionales de cocaína en un semisumergible en el Pacífico. Un decomiso mayor puede reflejar más flujo, mayor efectividad policial o ambas cosas; no debe utilizarse aisladamente como indicador de empeoramiento o éxito. Las cifras del Instituto Costarricense sobre Drogas y las del Ministerio de Seguridad Pública no son intercambiables: la primera agrega el resultado de todos los cuerpos intervinientes (46,5 t en 2025) y la segunda reporta solo la actividad de sus propias fuerzas (58.124 incautaciones en 2025, un incremento de 67,2% respecto de las 34.765 de 2024); compararlas directamente produce inconsistencias aparentes.</w:t>
      </w:r>
    </w:p>
    <w:p>
      <w:pPr>
        <w:spacing w:after="120"/>
        <w:jc w:val="both"/>
      </w:pPr>
      <w:r>
        <w:rPr>
          <w:rFonts w:ascii="Arial" w:cs="Arial" w:eastAsia="Arial" w:hAnsi="Arial"/>
          <w:sz w:val="18"/>
          <w:szCs w:val="18"/>
        </w:rPr>
        <w:t xml:space="preserve">El Índice de Percepción de la Corrupción de Transparencia Internacional sitúa a Costa Rica en una banda relativamente estable pero sin mejora sostenida desde 2012: 59 puntos en 2017 (máximo histórico del país), 54 en 2022, 55 en 2023 (posición 45 de 180), 58 en 2024 (posición 42) y 56 en 2025, publicado el 10 de febrero de 2026. En su edición de 2025, la organización situó explícitamente a Costa Rica entre las democracias de la región afectadas por la violencia alimentada por corrupción y crimen organizado, un cambio de encuadre respecto de ediciones anteriores. El OIJ reportó, para 2025, 44 organizaciones criminales desarticuladas y 601 personas imputadas en esas causas; entre 2006 y 2017 se habían contabilizado 791 armas vinculadas a narcotráfico.</w:t>
      </w:r>
    </w:p>
    <w:p>
      <w:pPr>
        <w:spacing w:after="200" w:before="360"/>
      </w:pPr>
      <w:r>
        <w:rPr>
          <w:rFonts w:ascii="Arial" w:cs="Arial" w:eastAsia="Arial" w:hAnsi="Arial"/>
          <w:b/>
          <w:bCs/>
          <w:color w:val="086EA8"/>
          <w:sz w:val="28"/>
          <w:szCs w:val="28"/>
        </w:rPr>
        <w:t xml:space="preserve">9. Prioridades para la toma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Prioridad</w:t>
            </w:r>
          </w:p>
        </w:tc>
        <w:tc>
          <w:tcPr>
            <w:tcW w:type="dxa" w:w="6960"/>
            <w:shd w:fill="074D79" w:val="clear"/>
            <w:tcMar>
              <w:top w:type="dxa" w:w="60"/>
              <w:left w:type="dxa" w:w="100"/>
              <w:bottom w:type="dxa" w:w="60"/>
              <w:right w:type="dxa" w:w="100"/>
            </w:tcMar>
            <w:vAlign w:val="center"/>
          </w:tcPr>
          <w:p>
            <w:r>
              <w:rPr>
                <w:rFonts w:ascii="Arial" w:cs="Arial" w:eastAsia="Arial" w:hAnsi="Arial"/>
                <w:b/>
                <w:bCs/>
                <w:color w:val="FFFFFF"/>
                <w:sz w:val="16"/>
                <w:szCs w:val="16"/>
              </w:rPr>
              <w:t xml:space="preserve">Orientación</w:t>
            </w:r>
          </w:p>
        </w:tc>
      </w:tr>
      <w:tr>
        <w:tc>
          <w:tcPr>
            <w:tcW w:type="dxa" w:w="2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 Integrar el análisis de riesgo</w:t>
            </w:r>
          </w:p>
        </w:tc>
        <w:tc>
          <w:tcPr>
            <w:tcW w:type="dxa" w:w="6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Construir una arquitectura común de información sobre crimen organizado, corrupción, legitimación, armas, fuero y vulnerabilidades institucionales, manteniendo separadas las competencias jurídicas y los estándares de prueba.</w:t>
            </w:r>
          </w:p>
        </w:tc>
      </w:tr>
      <w:tr>
        <w:tc>
          <w:tcPr>
            <w:tcW w:type="dxa" w:w="2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 Asegurar la calidad jurídica de los megacasos</w:t>
            </w:r>
          </w:p>
        </w:tc>
        <w:tc>
          <w:tcPr>
            <w:tcW w:type="dxa" w:w="6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Fortalecer gestión de evidencia digital, trazabilidad, fundamentación de injerencias, coordinación fiscal-policial y administración de agendas para reducir nulidades, retrasos y pérdidas probatorias.</w:t>
            </w:r>
          </w:p>
        </w:tc>
      </w:tr>
      <w:tr>
        <w:tc>
          <w:tcPr>
            <w:tcW w:type="dxa" w:w="2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 Seguir dinero y activos hasta recuperación real</w:t>
            </w:r>
          </w:p>
        </w:tc>
        <w:tc>
          <w:tcPr>
            <w:tcW w:type="dxa" w:w="6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Distinguir valor contractual, daño estimado, valor registral, decomiso cautelar, comiso firme y recuperación efectivamente cobrada. El resultado patrimonial —incluido el costo fiscal de litigios perdidos— debe ser un indicador de desempeño.</w:t>
            </w:r>
          </w:p>
        </w:tc>
      </w:tr>
      <w:tr>
        <w:tc>
          <w:tcPr>
            <w:tcW w:type="dxa" w:w="2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4. Blindar nodos institucionales críticos</w:t>
            </w:r>
          </w:p>
        </w:tc>
        <w:tc>
          <w:tcPr>
            <w:tcW w:type="dxa" w:w="6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Priorizar controles de acceso, rotación y supervisión, declaraciones de conflicto, trazabilidad de consultas y alertas de integridad en puertos, sistema penitenciario, registros, contratación y unidades con información sensible.</w:t>
            </w:r>
          </w:p>
        </w:tc>
      </w:tr>
      <w:tr>
        <w:tc>
          <w:tcPr>
            <w:tcW w:type="dxa" w:w="2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5. Territorializar la respuesta</w:t>
            </w:r>
          </w:p>
        </w:tc>
        <w:tc>
          <w:tcPr>
            <w:tcW w:type="dxa" w:w="6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Combinar investigación criminal, prevención focalizada y resiliencia económica en cantones con violencia epidémica, corredores logísticos y zonas portuarias; evitar políticas nacionales uniformes para riesgos territorialmente concentrados.</w:t>
            </w:r>
          </w:p>
        </w:tc>
      </w:tr>
      <w:tr>
        <w:tc>
          <w:tcPr>
            <w:tcW w:type="dxa" w:w="240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6. Profundizar cooperación internacional</w:t>
            </w:r>
          </w:p>
        </w:tc>
        <w:tc>
          <w:tcPr>
            <w:tcW w:type="dxa" w:w="6960"/>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Sistematizar extradiciones, solicitudes de asistencia, decisiones judiciales extranjeras y designaciones OFAC como fuentes de inteligencia institucional, sin confundir actos administrativos extranjeros con sentencias penales.</w:t>
            </w:r>
          </w:p>
        </w:tc>
      </w:tr>
      <w:tr>
        <w:tc>
          <w:tcPr>
            <w:tcW w:type="dxa" w:w="240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7. Dar trazabilidad pública al fuero y el aforamiento</w:t>
            </w:r>
          </w:p>
        </w:tc>
        <w:tc>
          <w:tcPr>
            <w:tcW w:type="dxa" w:w="6960"/>
            <w:shd w:fill="EAF3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Publicar y actualizar de forma sistemática el estado de causas suspendidas por fuero, sus plazos de prescripción asociados y los votos legislativos correspondientes, dado que el tiempo se ha vuelto una variable sustantiva en los casos de mayor nivel.</w:t>
            </w:r>
          </w:p>
        </w:tc>
      </w:tr>
    </w:tbl>
    <w:p>
      <w:pPr>
        <w:spacing w:after="120" w:before="240"/>
      </w:pPr>
      <w:r>
        <w:rPr>
          <w:rFonts w:ascii="Arial" w:cs="Arial" w:eastAsia="Arial" w:hAnsi="Arial"/>
          <w:b/>
          <w:bCs/>
          <w:color w:val="17AEE5"/>
          <w:sz w:val="23"/>
          <w:szCs w:val="23"/>
        </w:rPr>
        <w:t xml:space="preserve">Sistema mínimo de seguimiento</w:t>
      </w:r>
    </w:p>
    <w:p>
      <w:pPr>
        <w:spacing w:after="120"/>
        <w:jc w:val="both"/>
      </w:pPr>
      <w:r>
        <w:rPr>
          <w:rFonts w:ascii="Arial" w:cs="Arial" w:eastAsia="Arial" w:hAnsi="Arial"/>
          <w:sz w:val="18"/>
          <w:szCs w:val="18"/>
        </w:rPr>
        <w:t xml:space="preserve">Tasa de homicidios y porcentaje de ajustes de cuentas; organizaciones desarticuladas y evidencia de recomposición; decomisos por fuente y cobertura institucional, sin combinar series de ICD y MSP; tiempo desde primer hito hasta acusación, juicio y sentencia; porcentaje de actos anulados o revocados; activos decomisados, comisados y efectivamente recuperados; casos complejos con más de 5 y 8 años; eventos verificados de facilitación institucional por nodo, incluido el penitenciario y el marítimo; solicitudes y resultados de extradición, diferenciando su eficacia temporal; causas suspendidas por fuero y plazos de prescripción asociados; designaciones OFAC y su correspondencia o no con procesos penales nacionales; y ejecución de medidas correctivas de integridad.</w:t>
      </w:r>
    </w:p>
    <w:p>
      <w:pPr>
        <w:spacing w:after="120" w:before="240"/>
      </w:pPr>
      <w:r>
        <w:rPr>
          <w:rFonts w:ascii="Arial" w:cs="Arial" w:eastAsia="Arial" w:hAnsi="Arial"/>
          <w:b/>
          <w:bCs/>
          <w:color w:val="17AEE5"/>
          <w:sz w:val="23"/>
          <w:szCs w:val="23"/>
        </w:rPr>
        <w:t xml:space="preserve">Conclusión</w:t>
      </w:r>
    </w:p>
    <w:p>
      <w:pPr>
        <w:spacing w:after="120"/>
        <w:jc w:val="both"/>
      </w:pPr>
      <w:r>
        <w:rPr>
          <w:rFonts w:ascii="Arial" w:cs="Arial" w:eastAsia="Arial" w:hAnsi="Arial"/>
          <w:sz w:val="18"/>
          <w:szCs w:val="18"/>
        </w:rPr>
        <w:t xml:space="preserve">La principal transformación observada no consiste simplemente en "más corrupción" o "más narcotráfico". Costa Rica pasó a enfrentar mercados criminales con mayor capacidad de violencia, logística, legitimación y adaptación, mientras varios casos de corrupción e integridad muestran una respuesta estatal capaz de detectar pero no siempre de consolidar jurídicamente —o, en el caso del vértice del Ejecutivo, de siquiera iniciar el proceso jurisdiccional mientras subsista el fuero—. El corpus no exhibe impunidad uniforme, sino un patrón de disipación jurídica: absoluciones, prescripciones, sobreseimientos, nulidades y suspensiones por fuero explican la ausencia de sentencias firmes en los megacasos de obra pública del período 2012-2026, y dos de los casos más antiguos del corpus dejaron al erario en una posición patrimonial neta negativa. La decisión pública debería desplazarse del conteo de operativos hacia la resiliencia institucional: investigaciones que sobrevivan al control judicial, activos que se recuperen efectivamente, estructuras que no se recompongan tras la captura o extradición de sus líderes, mecanismos de fuero con trazabilidad pública, y nodos públicos —incluidos los registrales, penitenciarios, marítimos y del propio vértice político— cuya vulnerabilidad se reduzca de forma verificable.</w:t>
      </w:r>
    </w:p>
    <w:p>
      <w:pPr>
        <w:spacing w:after="120" w:before="240"/>
      </w:pPr>
      <w:r>
        <w:rPr>
          <w:rFonts w:ascii="Arial" w:cs="Arial" w:eastAsia="Arial" w:hAnsi="Arial"/>
          <w:b/>
          <w:bCs/>
          <w:color w:val="17AEE5"/>
          <w:sz w:val="23"/>
          <w:szCs w:val="23"/>
        </w:rPr>
        <w:t xml:space="preserve">Fuentes y nota metodológica</w:t>
      </w:r>
    </w:p>
    <w:p>
      <w:pPr>
        <w:spacing w:after="120"/>
        <w:jc w:val="both"/>
      </w:pPr>
      <w:r>
        <w:rPr>
          <w:rFonts w:ascii="Arial" w:cs="Arial" w:eastAsia="Arial" w:hAnsi="Arial"/>
          <w:sz w:val="18"/>
          <w:szCs w:val="18"/>
        </w:rPr>
        <w:t xml:space="preserve">Base maestra de corrupción y crimen organizado de Costa Rica, versión auditada 2.0, corte 14 de agosto de 2026 (hojas Corpus, Codificación, Indicadores, Pendientes y Tablero de control); informe auditado "Corrupción pública, crimen organizado y penetración institucional en Costa Rica (1980-2026)", versión 2.0, con sus anexos A (matriz codificada del corpus), B (protocolo de actualización) y C (segunda ronda de verificación, 14 de agosto de 2026); "Seguridad ciudadana, homicidios y crimen organizado en Costa Rica", revisión de Informes Estado de la Nación 1994-2025; PEN-CONARE; OIJ; Poder Judicial; Ministerio Público; Instituto Costarricense sobre Drogas; Ministerio de Seguridad Pública; Contraloría General de la República; Tribunal Supremo de Elecciones; Transparencia Internacional (Índice de Percepción de la Corrupción, ediciones 2017 y 2022-2025); Asamblea Legislativa (expedientes 25.105 y Ley N.º 10730); legislación costarricense; y fuentes primarias extranjeras incorporadas en la auditoría (Departamento de Justicia y Oficina de Control de Activos Extranjeros del Tesoro de Estados Unidos). El corpus es intencional y de alto impacto: sus proporciones describen la base analizada, no la prevalencia nacional de corrupción o penetración institucional. Persisten discrepancias abiertas identificadas en la auditoría (montos de Cochinilla y Barrenador, resultado final de Riverside, texto íntegro de la resolución anulatoria del caso Topo, entre otras) que se recomienda cerrar mediante consulta directa de expediente antes de cualquier uso publicable de este informe.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1f912aa2cfd2016a2ce613e8c0f90a5fd641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2026-08-14T21:16:47.468Z</dcterms:created>
  <dcterms:modified xsi:type="dcterms:W3CDTF">2026-08-14T21:16:47.472Z</dcterms:modified>
</cp:coreProperties>
</file>

<file path=docProps/custom.xml><?xml version="1.0" encoding="utf-8"?>
<Properties xmlns="http://schemas.openxmlformats.org/officeDocument/2006/custom-properties" xmlns:vt="http://schemas.openxmlformats.org/officeDocument/2006/docPropsVTypes"/>
</file>