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8C1D2E"/>
          <w:sz w:val="20"/>
          <w:szCs w:val="20"/>
        </w:rPr>
        <w:t xml:space="preserve">PROGRAMA ESTADO DE LA NACIÓN · SERIE ESTADO DE LA JUSTICIA</w:t>
      </w:r>
    </w:p>
    <w:p>
      <w:pPr>
        <w:spacing w:after="200"/>
        <w:jc w:val="center"/>
      </w:pPr>
      <w:r>
        <w:rPr>
          <w:b/>
          <w:bCs/>
          <w:color w:val="1F3A5F"/>
          <w:sz w:val="44"/>
          <w:szCs w:val="44"/>
        </w:rPr>
        <w:t xml:space="preserve">El Sistema Judicial de Costa Rica, 2015-2025</w:t>
      </w:r>
    </w:p>
    <w:p>
      <w:pPr>
        <w:spacing w:after="100"/>
        <w:jc w:val="center"/>
      </w:pPr>
      <w:r>
        <w:rPr>
          <w:color w:val="595959"/>
          <w:sz w:val="26"/>
          <w:szCs w:val="26"/>
        </w:rPr>
        <w:t xml:space="preserve">Informe de seguimiento a partir de las cinco ediciones del Informe Estado de la Justicia</w:t>
      </w:r>
    </w:p>
    <w:p>
      <w:pPr>
        <w:spacing w:after="800"/>
        <w:jc w:val="center"/>
      </w:pPr>
      <w:r>
        <w:rPr>
          <w:i/>
          <w:iCs/>
          <w:color w:val="595959"/>
          <w:sz w:val="22"/>
          <w:szCs w:val="22"/>
        </w:rPr>
        <w:t xml:space="preserve">Poder Judicial · Sala Constitucional · Corte Suprema de Justicia · Ministerio Público · OIJ · Defensa Pública</w:t>
      </w:r>
    </w:p>
    <w:p>
      <w:pPr>
        <w:spacing w:after="100"/>
        <w:jc w:val="center"/>
      </w:pPr>
      <w:r>
        <w:rPr>
          <w:color w:val="595959"/>
          <w:sz w:val="22"/>
          <w:szCs w:val="22"/>
        </w:rPr>
        <w:t xml:space="preserve">Observatorio del Desarrollo — Documento de trabajo</w:t>
      </w:r>
    </w:p>
    <w:p>
      <w:pPr>
        <w:jc w:val="center"/>
      </w:pPr>
      <w:r>
        <w:rPr>
          <w:color w:val="595959"/>
          <w:sz w:val="22"/>
          <w:szCs w:val="22"/>
        </w:rPr>
        <w:t xml:space="preserve">Agosto de 2026</w:t>
      </w:r>
    </w:p>
    <w:p>
      <w:r>
        <w:br w:type="page"/>
      </w:r>
    </w:p>
    <w:p>
      <w:pPr>
        <w:pStyle w:val="Heading1"/>
        <w:spacing w:after="240" w:before="480"/>
      </w:pPr>
      <w:r>
        <w:t xml:space="preserve">Resumen ejecutivo: balance de una década</w:t>
      </w:r>
    </w:p>
    <w:p>
      <w:pPr>
        <w:spacing w:after="200" w:line="300"/>
        <w:jc w:val="both"/>
      </w:pPr>
      <w:r>
        <w:rPr>
          <w:b w:val="false"/>
          <w:bCs w:val="false"/>
          <w:i w:val="false"/>
          <w:iCs w:val="false"/>
        </w:rPr>
        <w:t xml:space="preserve">Entre 2015 y 2025, las cinco ediciones del Informe Estado de la Justicia documentan una trayectoria que no admite una sola etiqueta. Costa Rica pasó de tener, en 2014, uno de los sistemas judiciales institucionalmente más sólidos de América Latina —tercer lugar regional en independencia judicial según el Foro Económico Mundial (WEF)— a ser objeto, según el proyecto V-Dem, de una escalada de ataques políticos desde el Poder Ejecutivo sin precedentes en su historia republicana: de cero eventos registrados entre 1900 y 2022 a dieciséis entre 2022 y 2024. La confianza ciudadana en el Poder Judicial acompaña esa misma curva, con una caída de 62% en 2004 a un piso de 40% en 2020 y una recuperación parcial a 46% en 2023 que no revierte la tendencia de fondo. Ese deterioro externo conviene distinguirlo, sin embargo, de un segundo fenómeno igualmente documentado por la serie: una notable continuidad en los problemas internos de gestión, que ninguna crisis —ni la de 2016-2018, ni la fiscal de 2018, ni la pandemia, ni el ataque político reciente— ha logrado desbloquear.</w:t>
      </w:r>
    </w:p>
    <w:p>
      <w:pPr>
        <w:spacing w:after="200" w:line="300"/>
        <w:jc w:val="both"/>
      </w:pPr>
      <w:r>
        <w:rPr>
          <w:b w:val="false"/>
          <w:bCs w:val="false"/>
          <w:i w:val="false"/>
          <w:iCs w:val="false"/>
        </w:rPr>
        <w:t xml:space="preserve">La Corte Suprema de Justicia sigue concentrando funciones administrativas, políticas y jurisdiccionales que debería haber desconcentrado hacia el Consejo Superior desde la reforma de 1993; el sistema de nombramiento de los veintidós magistrados sigue apoyado en una entrevista discrecional y una votación secreta, con tiempos de designación que se multiplicaron varias veces entre 1989 y 2020; y la productividad judicial —casos resueltos por juez— nunca recuperó, ni en 2023-2024, los niveles del año 2000, pese a que el presupuesto y el personal por habitante se multiplicaron entre tres y cuatro veces en el mismo período. El propio Segundo Informe (2017) lo resumió con precisión: "la sostenida y creciente inversión no se ha traducido en un mejor desempeño", diagnóstico que las tres ediciones siguientes confirman sin variación sustantiva.</w:t>
      </w:r>
    </w:p>
    <w:p>
      <w:pPr>
        <w:spacing w:after="200" w:line="300"/>
        <w:jc w:val="both"/>
      </w:pPr>
      <w:r>
        <w:rPr>
          <w:b w:val="false"/>
          <w:bCs w:val="false"/>
          <w:i w:val="false"/>
          <w:iCs w:val="false"/>
        </w:rPr>
        <w:t xml:space="preserve">La corrupción judicial muestra el mismo patrón de baja capacidad de sanción interna: apenas 7% a 18% de las denuncias disciplinarias termina en sanción efectiva según las mediciones disponibles, y solo entre 3% y 3,5% de los casos penales de corrupción estudiados por el Tercer Informe (2020) llegó a una condena. El "cementazo" de 2016-2018 —el escándalo que involucró a un magistrado, al entonces Fiscal General y a funcionarios de los tres poderes— funciona como bisagra de la serie: antes de esa fecha la corrupción judicial era, literalmente, un vacío de investigación; después se convirtió en el eje articulador de la edición 2020 y en referencia constante de las dos ediciones siguientes.</w:t>
      </w:r>
    </w:p>
    <w:p>
      <w:pPr>
        <w:spacing w:after="200" w:line="300"/>
        <w:jc w:val="both"/>
      </w:pPr>
      <w:r>
        <w:rPr>
          <w:b w:val="false"/>
          <w:bCs w:val="false"/>
          <w:i w:val="false"/>
          <w:iCs w:val="false"/>
        </w:rPr>
        <w:t xml:space="preserve">La Sala Constitucional atraviesa una transformación propia: de expandir progresivamente el control judicial sobre la política pública mediante el amparo y la consulta previa de constitucionalidad (1989-2015), a mostrar una autocontención creciente —menos acciones de inconstitucionalidad admitidas, menos consultas legislativas, más demoras y, en 2022, el nivel más alto de votos divididos de toda su historia—. El hallazgo más contraintuitivo de la serie proviene del análisis con inteligencia artificial que aplicó el Cuarto Informe (2022) sobre 433.000 sentencias: apenas el 2,4% contiene una orden específica con plazo definido, y el 98% de esas órdenes carece de cualquier mecanismo de seguimiento sobre su cumplimiento.</w:t>
      </w:r>
    </w:p>
    <w:p>
      <w:pPr>
        <w:spacing w:after="200" w:line="300"/>
        <w:jc w:val="both"/>
      </w:pPr>
      <w:r>
        <w:rPr>
          <w:b w:val="false"/>
          <w:bCs w:val="false"/>
          <w:i w:val="false"/>
          <w:iCs w:val="false"/>
        </w:rPr>
        <w:t xml:space="preserve">En el ámbito del acceso a la justicia, cada edición dedicó su investigación en profundidad a una población distinta —salud (2015), privación de libertad (2017), reformas procesales (2020), contencioso-administrativo (2022), violencia contra las mujeres y población migrante (2025)—, y el patrón que emerge de esa sucesión es consistente: la probabilidad de que una denuncia penal termine en una sentencia de fondo se mantiene estructuralmente baja, entre 13% y 16% según la materia, independientemente del tipo de delito o la población afectada.</w:t>
      </w:r>
    </w:p>
    <w:p>
      <w:pPr>
        <w:spacing w:after="200" w:line="300"/>
        <w:jc w:val="both"/>
      </w:pPr>
      <w:r>
        <w:rPr>
          <w:b w:val="false"/>
          <w:bCs w:val="false"/>
          <w:i w:val="false"/>
          <w:iCs w:val="false"/>
        </w:rPr>
        <w:t xml:space="preserve">El balance de la década es, en consecuencia, doble. Por un lado, existen mejoras puntuales y verificables: el hacinamiento carcelario bajó de forma sostenida desde 2019, el acatamiento de sentencias de la Sala Constitucional por parte de la Caja Costarricense de Seguro Social (CCSS) mejoró de 20% a 53%, y ningún tribunal cerró durante la pandemia gracias a una inversión tecnológica previa. Por otro, persisten sin resolver los dos "dominios reservados" que la propia serie señala desde 2020 —el nombramiento de magistrados y la concentración de poder en la Corte Plena— y se suma, desde 2022, una erosión de la independencia judicial frente al poder político que ninguna edición anterior había tenido que documentar. La renovación de catorce de las veintidós magistraturas ante la Asamblea Legislativa electa en febrero de 2026 será la primera oportunidad, tras una década de diagnósticos coincidentes, para observar si alguno de esos patrones estructurales finalmente se modifica.</w:t>
      </w:r>
    </w:p>
    <w:p>
      <w:pPr>
        <w:spacing w:after="80" w:before="120"/>
        <w:jc w:val="center"/>
      </w:pPr>
      <w:r>
        <w:drawing>
          <wp:inline distT="0" distB="0" distL="0" distR="0">
            <wp:extent cx="5715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19475"/>
                    </a:xfrm>
                    <a:prstGeom prst="rect">
                      <a:avLst/>
                    </a:prstGeom>
                  </pic:spPr>
                </pic:pic>
              </a:graphicData>
            </a:graphic>
          </wp:inline>
        </w:drawing>
      </w:r>
    </w:p>
    <w:p>
      <w:pPr>
        <w:spacing w:after="260"/>
      </w:pPr>
      <w:r>
        <w:rPr>
          <w:i/>
          <w:iCs/>
          <w:color w:val="595959"/>
          <w:sz w:val="18"/>
          <w:szCs w:val="18"/>
        </w:rPr>
        <w:t xml:space="preserve">Figura 1. Hitos positivos (verde) y negativos (rojo) del sistema judicial costarricense, 2012-2025. El hito en azul (2025) señala un proceso institucional en curso cuyo resultado aún no puede clasificarse.</w:t>
      </w:r>
    </w:p>
    <w:p>
      <w:r>
        <w:br w:type="page"/>
      </w:r>
    </w:p>
    <w:p>
      <w:pPr>
        <w:pStyle w:val="Heading1"/>
        <w:spacing w:after="240" w:before="480"/>
      </w:pPr>
      <w:r>
        <w:t xml:space="preserve">1. Presentación y alcance</w:t>
      </w:r>
    </w:p>
    <w:p>
      <w:pPr>
        <w:spacing w:after="200" w:line="300"/>
        <w:jc w:val="both"/>
      </w:pPr>
      <w:r>
        <w:rPr>
          <w:b w:val="false"/>
          <w:bCs w:val="false"/>
          <w:i w:val="false"/>
          <w:iCs w:val="false"/>
        </w:rPr>
        <w:t xml:space="preserve">Este informe caracteriza el comportamiento del sistema judicial costarricense entre 2015 y 2025, tomando como fuente primaria las cinco ediciones publicadas del Informe Estado de la Justicia del Programa Estado de la Nación (PEN/CONARE): el Primer Informe (2015), el Segundo (2017), el Tercer (2020), el Cuarto (2022) y el Quinto (2025). Se trata de la única serie de investigación costarricense dedicada específicamente al desempeño, la gobernanza y la independencia del Poder Judicial en su conjunto —Corte Suprema de Justicia, Sala Constitucional, Consejo Superior, Organismo de Investigación Judicial (OIJ), Ministerio Público y Defensa Pública—, y desde su segunda edición incorpora un capítulo formal de seguimiento a los desafíos identificados en la entrega anterior, lo que permite reconstruir una trayectoria relativamente continua de una década.</w:t>
      </w:r>
    </w:p>
    <w:p>
      <w:pPr>
        <w:spacing w:after="200" w:line="300"/>
        <w:jc w:val="both"/>
      </w:pPr>
      <w:r>
        <w:rPr>
          <w:b w:val="false"/>
          <w:bCs w:val="false"/>
          <w:i w:val="false"/>
          <w:iCs w:val="false"/>
        </w:rPr>
        <w:t xml:space="preserve">El objetivo no es resumir cada informe por separado, sino leerlos como una serie: identificar qué problemas del sistema judicial se repiten edición tras edición sin resolverse, cuáles muestran mejoras sostenidas, cuáles se revierten y cuáles emergen como fenómenos nuevos —el más notorio de ellos, la escalada de ataques políticos al Poder Judicial documentada en la edición de 2025—. El análisis se organiza en seis dimensiones —independencia judicial, gobierno judicial y nombramientos, desempeño jurisdiccional, Sala Constitucional, corrupción y controles internos, y confianza ciudadana— más un apartado de acceso a la justicia que recoge los temas de investigación en profundidad propios de cada edición (salud, brechas territoriales, privación de libertad, pandemia, violencia contra las mujeres, migración).</w:t>
      </w:r>
    </w:p>
    <w:p>
      <w:pPr>
        <w:pStyle w:val="Heading2"/>
        <w:spacing w:after="160" w:before="360"/>
      </w:pPr>
      <w:r>
        <w:t xml:space="preserve">Nota metodológica</w:t>
      </w:r>
    </w:p>
    <w:p>
      <w:pPr>
        <w:spacing w:after="200" w:line="300"/>
        <w:jc w:val="both"/>
      </w:pPr>
      <w:r>
        <w:rPr>
          <w:b w:val="false"/>
          <w:bCs w:val="false"/>
          <w:i w:val="false"/>
          <w:iCs w:val="false"/>
        </w:rPr>
        <w:t xml:space="preserve">El texto de las cinco ediciones se extrajo de los archivos PDF originales mediante procesamiento de texto plano (pdftotext), sin necesidad de reconocimiento óptico de caracteres adicional —el cuerpo de los cinco documentos es 100% procesable; la portada del Tercer Informe (2020) presenta un defecto de OCR que no afecta el contenido interno—. Todas las cifras citadas provienen directamente de los informes; cuando dos ediciones reportan un mismo indicador con metodologías distintas —lo que ocurre con cierta frecuencia, dado que el propio Poder Judicial cambió su fuente estadística del Anuario Judicial al Observatorio Judicial en 2021— se señala explícitamente para evitar comparaciones espurias.</w:t>
      </w:r>
    </w:p>
    <w:p>
      <w:pPr>
        <w:pStyle w:val="Heading1"/>
        <w:spacing w:after="240" w:before="480"/>
      </w:pPr>
      <w:r>
        <w:t xml:space="preserve">2. El Poder Judicial como conglomerado institucional</w:t>
      </w:r>
    </w:p>
    <w:p>
      <w:pPr>
        <w:spacing w:after="200" w:line="300"/>
        <w:jc w:val="both"/>
      </w:pPr>
      <w:r>
        <w:rPr>
          <w:b w:val="false"/>
          <w:bCs w:val="false"/>
          <w:i w:val="false"/>
          <w:iCs w:val="false"/>
        </w:rPr>
        <w:t xml:space="preserve">Desde su primera edición, la serie Estado de la Justicia propone un concepto que estructura todo el análisis posterior: el Poder Judicial costarricense no es una institución única sino un conglomerado de entidades con autonomía funcional que comparten una misma plataforma presupuestaria y de gobierno. Bajo la Corte Suprema de Justicia (22 magistrados repartidos en cuatro salas —Primera, Segunda, Tercera de casación y Constitucional— y la Corte Plena) operan órganos auxiliares con lógicas propias: el Organismo de Investigación Judicial (policía judicial), el Ministerio Público (persecución penal), la Defensa Pública (garantía de defensa técnica) y la Escuela Judicial (formación). El Consejo Superior actúa como órgano de gobierno administrativo, pero —hallazgo que se repite sin variación en las cinco ediciones— subordinado a una Corte Plena que conserva la potestad de avocar cualquier asunto que delega.</w:t>
      </w:r>
    </w:p>
    <w:p>
      <w:pPr>
        <w:spacing w:after="200" w:line="300"/>
        <w:jc w:val="both"/>
      </w:pPr>
      <w:r>
        <w:rPr>
          <w:b w:val="false"/>
          <w:bCs w:val="false"/>
          <w:i w:val="false"/>
          <w:iCs w:val="false"/>
        </w:rPr>
        <w:t xml:space="preserve">Ese diseño institucional genera una tensión estructural que atraviesa todo el período estudiado: la misma Corte Suprema que nombra y sanciona a jueces y juezas es, simultáneamente, junta directiva política, gerencia administrativa colegiada y cúpula jurisdiccional. El Informe 2020 lo describe con precisión como el ejercicio simultáneo de una "junta directiva" y una "gerencia colegiada" del Poder Judicial; el Informe 2022 lo bautiza como el modelo "corte-céntrico" de gobernanza. Como se detalla en la sección 4, ninguna de las cinco ediciones documenta una reforma que haya alterado ese diseño de fondo.</w:t>
      </w:r>
    </w:p>
    <w:p>
      <w:pPr>
        <w:pStyle w:val="Heading1"/>
        <w:spacing w:after="240" w:before="480"/>
      </w:pPr>
      <w:r>
        <w:t xml:space="preserve">3. Independencia judicial y relación con el sistema político</w:t>
      </w:r>
    </w:p>
    <w:p>
      <w:pPr>
        <w:spacing w:after="200" w:line="300"/>
        <w:jc w:val="both"/>
      </w:pPr>
      <w:r>
        <w:rPr>
          <w:b w:val="false"/>
          <w:bCs w:val="false"/>
          <w:i w:val="false"/>
          <w:iCs w:val="false"/>
        </w:rPr>
        <w:t xml:space="preserve">Esta es la dimensión donde el contraste entre 2015 y 2025 resulta más marcado, y la que ordena el relato longitudinal del conjunto de la serie.</w:t>
      </w:r>
    </w:p>
    <w:p>
      <w:pPr>
        <w:pStyle w:val="Heading2"/>
        <w:spacing w:after="160" w:before="360"/>
      </w:pPr>
      <w:r>
        <w:t xml:space="preserve">3.1 De la construcción histórica de la independencia (2015) a su erosión (2025)</w:t>
      </w:r>
    </w:p>
    <w:p>
      <w:pPr>
        <w:spacing w:after="200" w:line="300"/>
        <w:jc w:val="both"/>
      </w:pPr>
      <w:r>
        <w:rPr>
          <w:b w:val="false"/>
          <w:bCs w:val="false"/>
          <w:i w:val="false"/>
          <w:iCs w:val="false"/>
        </w:rPr>
        <w:t xml:space="preserve">El Primer Informe (2015) narra la construcción gradual de la independencia judicial costarricense a lo largo del siglo XX: la Ley Orgánica de 1937, la reelección automática de magistrados salvo voto legislativo calificado en contra (Constitución de 1949) y la fijación de un ingreso mínimo constitucional para el Poder Judicial (reforma de 1957) —aunque ese 6% del gasto del Gobierno Central nunca se alcanzó entre 1900 y 1990, y solo se superó "en el presente siglo"—. Para 2014, Costa Rica ocupaba el tercer lugar regional en independencia judicial (Global Competitiveness Report del Foro Económico Mundial, puesto 32 de 144 países) y era señalada por el DPLF como la nación centroamericana con mayor independencia judicial.</w:t>
      </w:r>
    </w:p>
    <w:p>
      <w:pPr>
        <w:spacing w:after="200" w:line="300"/>
        <w:jc w:val="both"/>
      </w:pPr>
      <w:r>
        <w:rPr>
          <w:b w:val="false"/>
          <w:bCs w:val="false"/>
          <w:i w:val="false"/>
          <w:iCs w:val="false"/>
        </w:rPr>
        <w:t xml:space="preserve">Una década después, el Quinto Informe (2025) documenta el fenómeno inverso: "un peligroso ataque político que erosiona la calidad de la democracia", sin precedentes en la historia republicana del país. El V-Dem Institute —que no había registrado un solo evento de "ataque del Ejecutivo al Judicial" en Costa Rica entre 1900 y 2022— contabilizó 9 eventos en 2023 y 16 en el trienio 2022-2024, un nivel comparable al de Estados Unidos en el mismo período. El índice de ataques del V-Dem para Costa Rica cayó de 1,91 a 0,68 entre 2022 y 2024.</w:t>
      </w:r>
    </w:p>
    <w:p>
      <w:pPr>
        <w:pBdr>
          <w:left w:val="single" w:color="8C1D2E" w:sz="12" w:space="8"/>
        </w:pBdr>
        <w:spacing w:after="200" w:before="120" w:line="280"/>
        <w:ind w:left="480" w:right="480"/>
      </w:pPr>
      <w:r>
        <w:rPr>
          <w:i/>
          <w:iCs/>
        </w:rPr>
        <w:t xml:space="preserve">“El Poder Judicial enfrenta un peligroso ataque político que erosiona calidad de la democracia”</w:t>
      </w:r>
      <w:r>
        <w:rPr>
          <w:i/>
          <w:iCs/>
          <w:color w:val="595959"/>
          <w:sz w:val="20"/>
          <w:szCs w:val="20"/>
        </w:rPr>
        <w:t xml:space="preserve">  (Informe Estado de la Justicia 2025, Sinopsis)</w:t>
      </w:r>
    </w:p>
    <w:p>
      <w:pPr>
        <w:pStyle w:val="Heading2"/>
        <w:spacing w:after="160" w:before="360"/>
      </w:pPr>
      <w:r>
        <w:t xml:space="preserve">3.2 Los mecanismos del deterioro documentados por la serie</w:t>
      </w:r>
    </w:p>
    <w:p>
      <w:pPr>
        <w:spacing w:after="200" w:line="300"/>
        <w:jc w:val="both"/>
      </w:pPr>
      <w:r>
        <w:rPr>
          <w:b w:val="false"/>
          <w:bCs w:val="false"/>
          <w:i w:val="false"/>
          <w:iCs w:val="false"/>
        </w:rPr>
        <w:t xml:space="preserve">La transición no fue abrupta: los cinco informes permiten identificar una secuencia de episodios que, leídos en conjunto, muestran una erosión acumulativa antes que un quiebre repentino.</w:t>
      </w:r>
    </w:p>
    <w:p>
      <w:pPr>
        <w:pStyle w:val="ListParagraph"/>
        <w:numPr>
          <w:ilvl w:val="0"/>
          <w:numId w:val="1"/>
        </w:numPr>
        <w:spacing w:after="120" w:line="280"/>
        <w:jc w:val="both"/>
      </w:pPr>
      <w:r>
        <w:t xml:space="preserve">2012 — Caso Cruz Castro: única destitución de un magistrado propietario desde 1949 (38 diputados votaron contra su reelección por sus votos en los casos TLC y Crucitas); fue restituido por resolución de magistrados suplentes de la propia Sala Constitucional, que declaró nulo el acuerdo legislativo (Informe 2015).</w:t>
      </w:r>
    </w:p>
    <w:p>
      <w:pPr>
        <w:pStyle w:val="ListParagraph"/>
        <w:numPr>
          <w:ilvl w:val="0"/>
          <w:numId w:val="1"/>
        </w:numPr>
        <w:spacing w:after="120" w:line="280"/>
        <w:jc w:val="both"/>
      </w:pPr>
      <w:r>
        <w:t xml:space="preserve">2016-2018 — "El cementazo": escándalo de corrupción de alto perfil con destitución de un magistrado de la Sala Tercera y jubilaciones anticipadas en la cúpula judicial, coincidente con las leyes de austeridad fiscal de 2018 y la primera huelga de trabajadores judiciales del país (Informe 2020).</w:t>
      </w:r>
    </w:p>
    <w:p>
      <w:pPr>
        <w:pStyle w:val="ListParagraph"/>
        <w:numPr>
          <w:ilvl w:val="0"/>
          <w:numId w:val="1"/>
        </w:numPr>
        <w:spacing w:after="120" w:line="280"/>
        <w:jc w:val="both"/>
      </w:pPr>
      <w:r>
        <w:t xml:space="preserve">2019 — El Relator Especial de la ONU sobre la Independencia de Magistrados y Abogados advierte sobre el sistema de nombramiento de magistrados; en el mismo período la Asamblea Legislativa intenta —sin éxito— remover magistrados por desacuerdo con sus fallos, y se presenta un proyecto de ley para reducir de 8 a 5 años el período de nombramiento (Informe 2020).</w:t>
      </w:r>
    </w:p>
    <w:p>
      <w:pPr>
        <w:pStyle w:val="ListParagraph"/>
        <w:numPr>
          <w:ilvl w:val="0"/>
          <w:numId w:val="1"/>
        </w:numPr>
        <w:spacing w:after="120" w:line="280"/>
        <w:jc w:val="both"/>
      </w:pPr>
      <w:r>
        <w:t xml:space="preserve">2020 — Caso UPAD: el Ministerio Público allana la Casa Presidencial por primera vez en la historia reciente y acusa formalmente al Presidente y a exministros; emerge el riesgo de "lawfare" —uso del aparato judicial para desgastar políticamente a opositores— como categoría de análisis (Informe 2022).</w:t>
      </w:r>
    </w:p>
    <w:p>
      <w:pPr>
        <w:pStyle w:val="ListParagraph"/>
        <w:numPr>
          <w:ilvl w:val="0"/>
          <w:numId w:val="1"/>
        </w:numPr>
        <w:spacing w:after="120" w:line="280"/>
        <w:jc w:val="both"/>
      </w:pPr>
      <w:r>
        <w:t xml:space="preserve">2022-2025 — Bajo la administración Chaves Robles, el Poder Judicial se convierte en el segundo actor institucional más mencionado en las conferencias de prensa presidenciales (27 y 18 menciones en dos períodos de 2022-2024, solo detrás de la Asamblea Legislativa), con el argumento recurrente de que "los jueces liberan delincuentes"; se documentan 104 procesos penales abiertos por la Fiscalía contra el presidente durante su gestión (70 en investigación activa) y una marcha convocada por el propio Ejecutivo en marzo de 2025 exigiendo la renuncia del Fiscal General (Informe 2025).</w:t>
      </w:r>
    </w:p>
    <w:p>
      <w:pPr>
        <w:pStyle w:val="ListParagraph"/>
        <w:numPr>
          <w:ilvl w:val="0"/>
          <w:numId w:val="1"/>
        </w:numPr>
        <w:spacing w:after="120" w:line="280"/>
        <w:jc w:val="both"/>
      </w:pPr>
      <w:r>
        <w:t xml:space="preserve">2022-2024 — Ataques criminales inéditos: oficinas judiciales de Batán y Pococí atacadas con armas de alto calibre, un testigo asesinado frente a los tribunales de Limón, y al menos tres funcionarios judiciales víctimas de atentados en 2024 (una fiscal en Jacó, una jueza en Aserrí, un oficial del OIJ asesinado en Guápiles) (Informe 2025).</w:t>
      </w:r>
    </w:p>
    <w:p>
      <w:pPr>
        <w:spacing w:after="200" w:line="300"/>
        <w:jc w:val="both"/>
      </w:pPr>
      <w:r>
        <w:rPr>
          <w:b w:val="false"/>
          <w:bCs w:val="false"/>
          <w:i w:val="false"/>
          <w:iCs w:val="false"/>
        </w:rPr>
        <w:t xml:space="preserve">La Relatora Especial de la ONU sobre la Independencia de Magistrados y Abogados, Margaret Satterthwaite, se pronunció sobre Costa Rica en tres ocasiones (2020, 2022 y 2025) —un nivel de escrutinio internacional inusual para lo que hasta entonces era considerado uno de los países más estables de la región—, y en noviembre de 2024 el conflicto entre poderes llegó a una audiencia temática ante la Comisión Interamericana de Derechos Humanos.</w:t>
      </w:r>
    </w:p>
    <w:p>
      <w:pPr>
        <w:pStyle w:val="Heading2"/>
        <w:spacing w:after="160" w:before="360"/>
      </w:pPr>
      <w:r>
        <w:t xml:space="preserve">3.3 El correlato en las mediciones internacionales</w:t>
      </w:r>
    </w:p>
    <w:p>
      <w:pPr>
        <w:spacing w:after="200" w:line="300"/>
        <w:jc w:val="both"/>
      </w:pPr>
      <w:r>
        <w:rPr>
          <w:b w:val="false"/>
          <w:bCs w:val="false"/>
          <w:i w:val="false"/>
          <w:iCs w:val="false"/>
        </w:rPr>
        <w:t xml:space="preserve">El deterioro documentado cualitativamente por la serie tiene un correlato preciso en los índices comparados que Costa Rica utiliza como referencia desde el Primer Informe: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2600"/>
        <w:gridCol w:w="1800"/>
      </w:tblGrid>
      <w:tr>
        <w:trPr>
          <w:tblHeader/>
        </w:trPr>
        <w:tc>
          <w:tcPr>
            <w:tcW w:type="dxa" w:w="2600"/>
            <w:shd w:fill="1F3A5F" w:val="clear"/>
            <w:tcMar>
              <w:top w:type="dxa" w:w="80"/>
              <w:left w:type="dxa" w:w="100"/>
              <w:bottom w:type="dxa" w:w="80"/>
              <w:right w:type="dxa" w:w="100"/>
            </w:tcMar>
          </w:tcPr>
          <w:p>
            <w:pPr>
              <w:jc w:val="center"/>
            </w:pPr>
            <w:r>
              <w:rPr>
                <w:b/>
                <w:bCs/>
                <w:color w:val="FFFFFF"/>
                <w:sz w:val="19"/>
                <w:szCs w:val="19"/>
              </w:rPr>
              <w:t xml:space="preserve">Indicador / fuente</w:t>
            </w:r>
          </w:p>
        </w:tc>
        <w:tc>
          <w:tcPr>
            <w:tcW w:type="dxa" w:w="1500"/>
            <w:shd w:fill="1F3A5F" w:val="clear"/>
            <w:tcMar>
              <w:top w:type="dxa" w:w="80"/>
              <w:left w:type="dxa" w:w="100"/>
              <w:bottom w:type="dxa" w:w="80"/>
              <w:right w:type="dxa" w:w="100"/>
            </w:tcMar>
          </w:tcPr>
          <w:p>
            <w:pPr>
              <w:jc w:val="center"/>
            </w:pPr>
            <w:r>
              <w:rPr>
                <w:b/>
                <w:bCs/>
                <w:color w:val="FFFFFF"/>
                <w:sz w:val="19"/>
                <w:szCs w:val="19"/>
              </w:rPr>
              <w:t xml:space="preserve">2014-2015</w:t>
            </w:r>
          </w:p>
        </w:tc>
        <w:tc>
          <w:tcPr>
            <w:tcW w:type="dxa" w:w="1500"/>
            <w:shd w:fill="1F3A5F" w:val="clear"/>
            <w:tcMar>
              <w:top w:type="dxa" w:w="80"/>
              <w:left w:type="dxa" w:w="100"/>
              <w:bottom w:type="dxa" w:w="80"/>
              <w:right w:type="dxa" w:w="100"/>
            </w:tcMar>
          </w:tcPr>
          <w:p>
            <w:pPr>
              <w:jc w:val="center"/>
            </w:pPr>
            <w:r>
              <w:rPr>
                <w:b/>
                <w:bCs/>
                <w:color w:val="FFFFFF"/>
                <w:sz w:val="19"/>
                <w:szCs w:val="19"/>
              </w:rPr>
              <w:t xml:space="preserve">2018</w:t>
            </w:r>
          </w:p>
        </w:tc>
        <w:tc>
          <w:tcPr>
            <w:tcW w:type="dxa" w:w="2600"/>
            <w:shd w:fill="1F3A5F" w:val="clear"/>
            <w:tcMar>
              <w:top w:type="dxa" w:w="80"/>
              <w:left w:type="dxa" w:w="100"/>
              <w:bottom w:type="dxa" w:w="80"/>
              <w:right w:type="dxa" w:w="100"/>
            </w:tcMar>
          </w:tcPr>
          <w:p>
            <w:pPr>
              <w:jc w:val="center"/>
            </w:pPr>
            <w:r>
              <w:rPr>
                <w:b/>
                <w:bCs/>
                <w:color w:val="FFFFFF"/>
                <w:sz w:val="19"/>
                <w:szCs w:val="19"/>
              </w:rPr>
              <w:t xml:space="preserve">2024-2025</w:t>
            </w:r>
          </w:p>
        </w:tc>
        <w:tc>
          <w:tcPr>
            <w:tcW w:type="dxa" w:w="1800"/>
            <w:shd w:fill="1F3A5F" w:val="clear"/>
            <w:tcMar>
              <w:top w:type="dxa" w:w="80"/>
              <w:left w:type="dxa" w:w="100"/>
              <w:bottom w:type="dxa" w:w="80"/>
              <w:right w:type="dxa" w:w="100"/>
            </w:tcMar>
          </w:tcPr>
          <w:p>
            <w:pPr>
              <w:jc w:val="center"/>
            </w:pPr>
            <w:r>
              <w:rPr>
                <w:b/>
                <w:bCs/>
                <w:color w:val="FFFFFF"/>
                <w:sz w:val="19"/>
                <w:szCs w:val="19"/>
              </w:rPr>
              <w:t xml:space="preserve">Lectura</w:t>
            </w:r>
          </w:p>
        </w:tc>
      </w:tr>
      <w:tr>
        <w:tc>
          <w:tcPr>
            <w:tcW w:type="dxa" w:w="2600"/>
            <w:tcMar>
              <w:top w:type="dxa" w:w="80"/>
              <w:left w:type="dxa" w:w="100"/>
              <w:bottom w:type="dxa" w:w="80"/>
              <w:right w:type="dxa" w:w="100"/>
            </w:tcMar>
          </w:tcPr>
          <w:p>
            <w:pPr>
              <w:jc w:val="left"/>
            </w:pPr>
            <w:r>
              <w:rPr>
                <w:b w:val="false"/>
                <w:bCs w:val="false"/>
                <w:sz w:val="19"/>
                <w:szCs w:val="19"/>
              </w:rPr>
              <w:t xml:space="preserve">Independencia judicial, WEF/Global Competitiveness</w:t>
            </w:r>
          </w:p>
        </w:tc>
        <w:tc>
          <w:tcPr>
            <w:tcW w:type="dxa" w:w="1500"/>
            <w:tcMar>
              <w:top w:type="dxa" w:w="80"/>
              <w:left w:type="dxa" w:w="100"/>
              <w:bottom w:type="dxa" w:w="80"/>
              <w:right w:type="dxa" w:w="100"/>
            </w:tcMar>
          </w:tcPr>
          <w:p>
            <w:pPr>
              <w:jc w:val="center"/>
            </w:pPr>
            <w:r>
              <w:rPr>
                <w:b w:val="false"/>
                <w:bCs w:val="false"/>
                <w:sz w:val="19"/>
                <w:szCs w:val="19"/>
              </w:rPr>
              <w:t xml:space="preserve">Puesto 32/144 (3° en A. Latina)</w:t>
            </w:r>
          </w:p>
        </w:tc>
        <w:tc>
          <w:tcPr>
            <w:tcW w:type="dxa" w:w="1500"/>
            <w:tcMar>
              <w:top w:type="dxa" w:w="80"/>
              <w:left w:type="dxa" w:w="100"/>
              <w:bottom w:type="dxa" w:w="80"/>
              <w:right w:type="dxa" w:w="100"/>
            </w:tcMar>
          </w:tcPr>
          <w:p>
            <w:pPr>
              <w:jc w:val="center"/>
            </w:pPr>
            <w:r>
              <w:rPr>
                <w:b w:val="false"/>
                <w:bCs w:val="false"/>
                <w:sz w:val="19"/>
                <w:szCs w:val="19"/>
              </w:rPr>
              <w:t xml:space="preserve">s.d.</w:t>
            </w:r>
          </w:p>
        </w:tc>
        <w:tc>
          <w:tcPr>
            <w:tcW w:type="dxa" w:w="2600"/>
            <w:tcMar>
              <w:top w:type="dxa" w:w="80"/>
              <w:left w:type="dxa" w:w="100"/>
              <w:bottom w:type="dxa" w:w="80"/>
              <w:right w:type="dxa" w:w="100"/>
            </w:tcMar>
          </w:tcPr>
          <w:p>
            <w:pPr>
              <w:jc w:val="center"/>
            </w:pPr>
            <w:r>
              <w:rPr>
                <w:b w:val="false"/>
                <w:bCs w:val="false"/>
                <w:sz w:val="19"/>
                <w:szCs w:val="19"/>
              </w:rPr>
              <w:t xml:space="preserve">s.d.</w:t>
            </w:r>
          </w:p>
        </w:tc>
        <w:tc>
          <w:tcPr>
            <w:tcW w:type="dxa" w:w="1800"/>
            <w:tcMar>
              <w:top w:type="dxa" w:w="80"/>
              <w:left w:type="dxa" w:w="100"/>
              <w:bottom w:type="dxa" w:w="80"/>
              <w:right w:type="dxa" w:w="100"/>
            </w:tcMar>
          </w:tcPr>
          <w:p>
            <w:pPr>
              <w:jc w:val="center"/>
            </w:pPr>
            <w:r>
              <w:rPr>
                <w:b w:val="false"/>
                <w:bCs w:val="false"/>
                <w:sz w:val="19"/>
                <w:szCs w:val="19"/>
              </w:rPr>
              <w:t xml:space="preserve">Referencia inicial de la serie (2015)</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World Justice Project, Rule of Law Index</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s.d.</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s.d.</w:t>
            </w:r>
          </w:p>
        </w:tc>
        <w:tc>
          <w:tcPr>
            <w:tcW w:type="dxa" w:w="2600"/>
            <w:shd w:fill="F2F2F2" w:val="clear"/>
            <w:tcMar>
              <w:top w:type="dxa" w:w="80"/>
              <w:left w:type="dxa" w:w="100"/>
              <w:bottom w:type="dxa" w:w="80"/>
              <w:right w:type="dxa" w:w="100"/>
            </w:tcMar>
          </w:tcPr>
          <w:p>
            <w:pPr>
              <w:jc w:val="center"/>
            </w:pPr>
            <w:r>
              <w:rPr>
                <w:b w:val="false"/>
                <w:bCs w:val="false"/>
                <w:sz w:val="19"/>
                <w:szCs w:val="19"/>
              </w:rPr>
              <w:t xml:space="preserve">0,68 — peor nivel desde 2015 (2° en A. Latina, tras Uruguay)</w:t>
            </w:r>
          </w:p>
        </w:tc>
        <w:tc>
          <w:tcPr>
            <w:tcW w:type="dxa" w:w="1800"/>
            <w:shd w:fill="F2F2F2" w:val="clear"/>
            <w:tcMar>
              <w:top w:type="dxa" w:w="80"/>
              <w:left w:type="dxa" w:w="100"/>
              <w:bottom w:type="dxa" w:w="80"/>
              <w:right w:type="dxa" w:w="100"/>
            </w:tcMar>
          </w:tcPr>
          <w:p>
            <w:pPr>
              <w:jc w:val="center"/>
            </w:pPr>
            <w:r>
              <w:rPr>
                <w:b w:val="false"/>
                <w:bCs w:val="false"/>
                <w:sz w:val="19"/>
                <w:szCs w:val="19"/>
              </w:rPr>
              <w:t xml:space="preserve">Mínimo histórico de la serie WJP para el país</w:t>
            </w:r>
          </w:p>
        </w:tc>
      </w:tr>
      <w:tr>
        <w:tc>
          <w:tcPr>
            <w:tcW w:type="dxa" w:w="2600"/>
            <w:tcMar>
              <w:top w:type="dxa" w:w="80"/>
              <w:left w:type="dxa" w:w="100"/>
              <w:bottom w:type="dxa" w:w="80"/>
              <w:right w:type="dxa" w:w="100"/>
            </w:tcMar>
          </w:tcPr>
          <w:p>
            <w:pPr>
              <w:jc w:val="left"/>
            </w:pPr>
            <w:r>
              <w:rPr>
                <w:b w:val="false"/>
                <w:bCs w:val="false"/>
                <w:sz w:val="19"/>
                <w:szCs w:val="19"/>
              </w:rPr>
              <w:t xml:space="preserve">V-Dem, Índice de Democracia Liberal (LDI)</w:t>
            </w:r>
          </w:p>
        </w:tc>
        <w:tc>
          <w:tcPr>
            <w:tcW w:type="dxa" w:w="1500"/>
            <w:tcMar>
              <w:top w:type="dxa" w:w="80"/>
              <w:left w:type="dxa" w:w="100"/>
              <w:bottom w:type="dxa" w:w="80"/>
              <w:right w:type="dxa" w:w="100"/>
            </w:tcMar>
          </w:tcPr>
          <w:p>
            <w:pPr>
              <w:jc w:val="center"/>
            </w:pPr>
            <w:r>
              <w:rPr>
                <w:b w:val="false"/>
                <w:bCs w:val="false"/>
                <w:sz w:val="19"/>
                <w:szCs w:val="19"/>
              </w:rPr>
              <w:t xml:space="preserve">s.d.</w:t>
            </w:r>
          </w:p>
        </w:tc>
        <w:tc>
          <w:tcPr>
            <w:tcW w:type="dxa" w:w="1500"/>
            <w:tcMar>
              <w:top w:type="dxa" w:w="80"/>
              <w:left w:type="dxa" w:w="100"/>
              <w:bottom w:type="dxa" w:w="80"/>
              <w:right w:type="dxa" w:w="100"/>
            </w:tcMar>
          </w:tcPr>
          <w:p>
            <w:pPr>
              <w:jc w:val="center"/>
            </w:pPr>
            <w:r>
              <w:rPr>
                <w:b w:val="false"/>
                <w:bCs w:val="false"/>
                <w:sz w:val="19"/>
                <w:szCs w:val="19"/>
              </w:rPr>
              <w:t xml:space="preserve">s.d.</w:t>
            </w:r>
          </w:p>
        </w:tc>
        <w:tc>
          <w:tcPr>
            <w:tcW w:type="dxa" w:w="2600"/>
            <w:tcMar>
              <w:top w:type="dxa" w:w="80"/>
              <w:left w:type="dxa" w:w="100"/>
              <w:bottom w:type="dxa" w:w="80"/>
              <w:right w:type="dxa" w:w="100"/>
            </w:tcMar>
          </w:tcPr>
          <w:p>
            <w:pPr>
              <w:jc w:val="center"/>
            </w:pPr>
            <w:r>
              <w:rPr>
                <w:b w:val="false"/>
                <w:bCs w:val="false"/>
                <w:sz w:val="19"/>
                <w:szCs w:val="19"/>
              </w:rPr>
              <w:t xml:space="preserve">Caída de 5 puntos en 2023; sin recuperación en 2024 (nivel similar a 1988)</w:t>
            </w:r>
          </w:p>
        </w:tc>
        <w:tc>
          <w:tcPr>
            <w:tcW w:type="dxa" w:w="1800"/>
            <w:tcMar>
              <w:top w:type="dxa" w:w="80"/>
              <w:left w:type="dxa" w:w="100"/>
              <w:bottom w:type="dxa" w:w="80"/>
              <w:right w:type="dxa" w:w="100"/>
            </w:tcMar>
          </w:tcPr>
          <w:p>
            <w:pPr>
              <w:jc w:val="center"/>
            </w:pPr>
            <w:r>
              <w:rPr>
                <w:b w:val="false"/>
                <w:bCs w:val="false"/>
                <w:sz w:val="19"/>
                <w:szCs w:val="19"/>
              </w:rPr>
              <w:t xml:space="preserve">Retroceso de más de tres décadas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V-Dem, ataques del Ejecutivo al Judicial</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0 eventos registrados 1900-2022</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2600"/>
            <w:shd w:fill="F2F2F2" w:val="clear"/>
            <w:tcMar>
              <w:top w:type="dxa" w:w="80"/>
              <w:left w:type="dxa" w:w="100"/>
              <w:bottom w:type="dxa" w:w="80"/>
              <w:right w:type="dxa" w:w="100"/>
            </w:tcMar>
          </w:tcPr>
          <w:p>
            <w:pPr>
              <w:jc w:val="center"/>
            </w:pPr>
            <w:r>
              <w:rPr>
                <w:b w:val="false"/>
                <w:bCs w:val="false"/>
                <w:sz w:val="19"/>
                <w:szCs w:val="19"/>
              </w:rPr>
              <w:t xml:space="preserve">9 eventos (2023); 16 en 2022-2024</w:t>
            </w:r>
          </w:p>
        </w:tc>
        <w:tc>
          <w:tcPr>
            <w:tcW w:type="dxa" w:w="1800"/>
            <w:shd w:fill="F2F2F2" w:val="clear"/>
            <w:tcMar>
              <w:top w:type="dxa" w:w="80"/>
              <w:left w:type="dxa" w:w="100"/>
              <w:bottom w:type="dxa" w:w="80"/>
              <w:right w:type="dxa" w:w="100"/>
            </w:tcMar>
          </w:tcPr>
          <w:p>
            <w:pPr>
              <w:jc w:val="center"/>
            </w:pPr>
            <w:r>
              <w:rPr>
                <w:b w:val="false"/>
                <w:bCs w:val="false"/>
                <w:sz w:val="19"/>
                <w:szCs w:val="19"/>
              </w:rPr>
              <w:t xml:space="preserve">Fenómeno inédito en la serie histórica</w:t>
            </w:r>
          </w:p>
        </w:tc>
      </w:tr>
      <w:tr>
        <w:tc>
          <w:tcPr>
            <w:tcW w:type="dxa" w:w="2600"/>
            <w:tcMar>
              <w:top w:type="dxa" w:w="80"/>
              <w:left w:type="dxa" w:w="100"/>
              <w:bottom w:type="dxa" w:w="80"/>
              <w:right w:type="dxa" w:w="100"/>
            </w:tcMar>
          </w:tcPr>
          <w:p>
            <w:pPr>
              <w:jc w:val="left"/>
            </w:pPr>
            <w:r>
              <w:rPr>
                <w:b w:val="false"/>
                <w:bCs w:val="false"/>
                <w:sz w:val="19"/>
                <w:szCs w:val="19"/>
              </w:rPr>
              <w:t xml:space="preserve">Bertelsmann Transformation Index</w:t>
            </w:r>
          </w:p>
        </w:tc>
        <w:tc>
          <w:tcPr>
            <w:tcW w:type="dxa" w:w="1500"/>
            <w:tcMar>
              <w:top w:type="dxa" w:w="80"/>
              <w:left w:type="dxa" w:w="100"/>
              <w:bottom w:type="dxa" w:w="80"/>
              <w:right w:type="dxa" w:w="100"/>
            </w:tcMar>
          </w:tcPr>
          <w:p>
            <w:pPr>
              <w:jc w:val="center"/>
            </w:pPr>
            <w:r>
              <w:rPr>
                <w:b w:val="false"/>
                <w:bCs w:val="false"/>
                <w:sz w:val="19"/>
                <w:szCs w:val="19"/>
              </w:rPr>
              <w:t xml:space="preserve">3° lugar regional en independencia judicial</w:t>
            </w:r>
          </w:p>
        </w:tc>
        <w:tc>
          <w:tcPr>
            <w:tcW w:type="dxa" w:w="1500"/>
            <w:tcMar>
              <w:top w:type="dxa" w:w="80"/>
              <w:left w:type="dxa" w:w="100"/>
              <w:bottom w:type="dxa" w:w="80"/>
              <w:right w:type="dxa" w:w="100"/>
            </w:tcMar>
          </w:tcPr>
          <w:p>
            <w:pPr>
              <w:jc w:val="center"/>
            </w:pPr>
            <w:r>
              <w:rPr>
                <w:b w:val="false"/>
                <w:bCs w:val="false"/>
                <w:sz w:val="19"/>
                <w:szCs w:val="19"/>
              </w:rPr>
              <w:t xml:space="preserve">s.d.</w:t>
            </w:r>
          </w:p>
        </w:tc>
        <w:tc>
          <w:tcPr>
            <w:tcW w:type="dxa" w:w="2600"/>
            <w:tcMar>
              <w:top w:type="dxa" w:w="80"/>
              <w:left w:type="dxa" w:w="100"/>
              <w:bottom w:type="dxa" w:w="80"/>
              <w:right w:type="dxa" w:w="100"/>
            </w:tcMar>
          </w:tcPr>
          <w:p>
            <w:pPr>
              <w:jc w:val="center"/>
            </w:pPr>
            <w:r>
              <w:rPr>
                <w:b w:val="false"/>
                <w:bCs w:val="false"/>
                <w:sz w:val="19"/>
                <w:szCs w:val="19"/>
              </w:rPr>
              <w:t xml:space="preserve">Calificación más baja desde 2006</w:t>
            </w:r>
          </w:p>
        </w:tc>
        <w:tc>
          <w:tcPr>
            <w:tcW w:type="dxa" w:w="1800"/>
            <w:tcMar>
              <w:top w:type="dxa" w:w="80"/>
              <w:left w:type="dxa" w:w="100"/>
              <w:bottom w:type="dxa" w:w="80"/>
              <w:right w:type="dxa" w:w="100"/>
            </w:tcMar>
          </w:tcPr>
          <w:p>
            <w:pPr>
              <w:jc w:val="center"/>
            </w:pPr>
            <w:r>
              <w:rPr>
                <w:b w:val="false"/>
                <w:bCs w:val="false"/>
                <w:sz w:val="19"/>
                <w:szCs w:val="19"/>
              </w:rPr>
              <w:t xml:space="preserve">Atribuye el retroceso a "tácticas populistas" del Ejecutivo</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Reporteros sin Fronteras (libertad de prensa, proxy institucional)</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s.d.</w:t>
            </w:r>
          </w:p>
        </w:tc>
        <w:tc>
          <w:tcPr>
            <w:tcW w:type="dxa" w:w="1500"/>
            <w:shd w:fill="F2F2F2" w:val="clear"/>
            <w:tcMar>
              <w:top w:type="dxa" w:w="80"/>
              <w:left w:type="dxa" w:w="100"/>
              <w:bottom w:type="dxa" w:w="80"/>
              <w:right w:type="dxa" w:w="100"/>
            </w:tcMar>
          </w:tcPr>
          <w:p>
            <w:pPr>
              <w:jc w:val="center"/>
            </w:pPr>
            <w:r>
              <w:rPr>
                <w:b w:val="false"/>
                <w:bCs w:val="false"/>
                <w:sz w:val="19"/>
                <w:szCs w:val="19"/>
              </w:rPr>
              <w:t xml:space="preserve">s.d.</w:t>
            </w:r>
          </w:p>
        </w:tc>
        <w:tc>
          <w:tcPr>
            <w:tcW w:type="dxa" w:w="2600"/>
            <w:shd w:fill="F2F2F2" w:val="clear"/>
            <w:tcMar>
              <w:top w:type="dxa" w:w="80"/>
              <w:left w:type="dxa" w:w="100"/>
              <w:bottom w:type="dxa" w:w="80"/>
              <w:right w:type="dxa" w:w="100"/>
            </w:tcMar>
          </w:tcPr>
          <w:p>
            <w:pPr>
              <w:jc w:val="center"/>
            </w:pPr>
            <w:r>
              <w:rPr>
                <w:b w:val="false"/>
                <w:bCs w:val="false"/>
                <w:sz w:val="19"/>
                <w:szCs w:val="19"/>
              </w:rPr>
              <w:t xml:space="preserve">Baja de categoría "buena" a "satisfactoria" (2022-2024)</w:t>
            </w:r>
          </w:p>
        </w:tc>
        <w:tc>
          <w:tcPr>
            <w:tcW w:type="dxa" w:w="1800"/>
            <w:shd w:fill="F2F2F2" w:val="clear"/>
            <w:tcMar>
              <w:top w:type="dxa" w:w="80"/>
              <w:left w:type="dxa" w:w="100"/>
              <w:bottom w:type="dxa" w:w="80"/>
              <w:right w:type="dxa" w:w="100"/>
            </w:tcMar>
          </w:tcPr>
          <w:p>
            <w:pPr>
              <w:jc w:val="center"/>
            </w:pPr>
            <w:r>
              <w:rPr>
                <w:b w:val="false"/>
                <w:bCs w:val="false"/>
                <w:sz w:val="19"/>
                <w:szCs w:val="19"/>
              </w:rPr>
              <w:t xml:space="preserve">Deterioro del entorno institucional amplio</w:t>
            </w:r>
          </w:p>
        </w:tc>
      </w:tr>
      <w:tr>
        <w:tc>
          <w:tcPr>
            <w:tcW w:type="dxa" w:w="2600"/>
            <w:tcMar>
              <w:top w:type="dxa" w:w="80"/>
              <w:left w:type="dxa" w:w="100"/>
              <w:bottom w:type="dxa" w:w="80"/>
              <w:right w:type="dxa" w:w="100"/>
            </w:tcMar>
          </w:tcPr>
          <w:p>
            <w:pPr>
              <w:jc w:val="left"/>
            </w:pPr>
            <w:r>
              <w:rPr>
                <w:b w:val="false"/>
                <w:bCs w:val="false"/>
                <w:sz w:val="19"/>
                <w:szCs w:val="19"/>
              </w:rPr>
              <w:t xml:space="preserve">Confianza ciudadana en la Corte Suprema, Barómetro de las Américas / Latinobarómetro</w:t>
            </w:r>
          </w:p>
        </w:tc>
        <w:tc>
          <w:tcPr>
            <w:tcW w:type="dxa" w:w="1500"/>
            <w:tcMar>
              <w:top w:type="dxa" w:w="80"/>
              <w:left w:type="dxa" w:w="100"/>
              <w:bottom w:type="dxa" w:w="80"/>
              <w:right w:type="dxa" w:w="100"/>
            </w:tcMar>
          </w:tcPr>
          <w:p>
            <w:pPr>
              <w:jc w:val="center"/>
            </w:pPr>
            <w:r>
              <w:rPr>
                <w:b w:val="false"/>
                <w:bCs w:val="false"/>
                <w:sz w:val="19"/>
                <w:szCs w:val="19"/>
              </w:rPr>
              <w:t xml:space="preserve">52% (2014)</w:t>
            </w:r>
          </w:p>
        </w:tc>
        <w:tc>
          <w:tcPr>
            <w:tcW w:type="dxa" w:w="1500"/>
            <w:tcMar>
              <w:top w:type="dxa" w:w="80"/>
              <w:left w:type="dxa" w:w="100"/>
              <w:bottom w:type="dxa" w:w="80"/>
              <w:right w:type="dxa" w:w="100"/>
            </w:tcMar>
          </w:tcPr>
          <w:p>
            <w:pPr>
              <w:jc w:val="center"/>
            </w:pPr>
            <w:r>
              <w:rPr>
                <w:b w:val="false"/>
                <w:bCs w:val="false"/>
                <w:sz w:val="19"/>
                <w:szCs w:val="19"/>
              </w:rPr>
              <w:t xml:space="preserve">52,9 / 100 (2018)</w:t>
            </w:r>
          </w:p>
        </w:tc>
        <w:tc>
          <w:tcPr>
            <w:tcW w:type="dxa" w:w="2600"/>
            <w:tcMar>
              <w:top w:type="dxa" w:w="80"/>
              <w:left w:type="dxa" w:w="100"/>
              <w:bottom w:type="dxa" w:w="80"/>
              <w:right w:type="dxa" w:w="100"/>
            </w:tcMar>
          </w:tcPr>
          <w:p>
            <w:pPr>
              <w:jc w:val="center"/>
            </w:pPr>
            <w:r>
              <w:rPr>
                <w:b w:val="false"/>
                <w:bCs w:val="false"/>
                <w:sz w:val="19"/>
                <w:szCs w:val="19"/>
              </w:rPr>
              <w:t xml:space="preserve">46,1% (2023), tras mínimo de 40,4% en 2020</w:t>
            </w:r>
          </w:p>
        </w:tc>
        <w:tc>
          <w:tcPr>
            <w:tcW w:type="dxa" w:w="1800"/>
            <w:tcMar>
              <w:top w:type="dxa" w:w="80"/>
              <w:left w:type="dxa" w:w="100"/>
              <w:bottom w:type="dxa" w:w="80"/>
              <w:right w:type="dxa" w:w="100"/>
            </w:tcMar>
          </w:tcPr>
          <w:p>
            <w:pPr>
              <w:jc w:val="center"/>
            </w:pPr>
            <w:r>
              <w:rPr>
                <w:b w:val="false"/>
                <w:bCs w:val="false"/>
                <w:sz w:val="19"/>
                <w:szCs w:val="19"/>
              </w:rPr>
              <w:t xml:space="preserve">Piso alcanzado en 2020, leve recuperación posterior sin volver a niveles de 2004</w:t>
            </w:r>
          </w:p>
        </w:tc>
      </w:tr>
    </w:tbl>
    <w:p>
      <w:pPr>
        <w:spacing w:after="260"/>
      </w:pPr>
      <w:r>
        <w:rPr>
          <w:i/>
          <w:iCs/>
          <w:color w:val="595959"/>
          <w:sz w:val="18"/>
          <w:szCs w:val="18"/>
        </w:rPr>
        <w:t xml:space="preserve">Fuente: elaboración propia a partir de los cinco Informes Estado de la Justicia (2015, 2017, 2020, 2022, 2025), con base en WEF, World Justice Project, V-Dem, Bertelsmann, Reporteros sin Fronteras, Barómetro de las Américas y Latinobarómetro. "s.d." indica que el dato no fue reportado en la edición correspondiente para ese año.</w:t>
      </w:r>
    </w:p>
    <w:p>
      <w:pPr>
        <w:pStyle w:val="Heading2"/>
        <w:spacing w:after="160" w:before="360"/>
      </w:pPr>
      <w:r>
        <w:t xml:space="preserve">3.4 Una paradoja ciudadana</w:t>
      </w:r>
    </w:p>
    <w:p>
      <w:pPr>
        <w:spacing w:after="200" w:line="300"/>
        <w:jc w:val="both"/>
      </w:pPr>
      <w:r>
        <w:rPr>
          <w:b w:val="false"/>
          <w:bCs w:val="false"/>
          <w:i w:val="false"/>
          <w:iCs w:val="false"/>
        </w:rPr>
        <w:t xml:space="preserve">El Quinto Informe documenta un hallazgo de la encuesta CIEP-UCR 2024 que resulta central para entender por qué la erosión institucional no encuentra un freno claro en la opinión pública: el 64,4% de la ciudadanía respalda la independencia judicial como principio abstracto, pero el 54,0% cree simultáneamente que el Poder Ejecutivo debería tener la potestad de nombrar jueces, y el 51,3% considera que "los jueces son corruptos". El propio informe segmenta a la población en tres grupos de tamaño casi idéntico: críticos pragmáticos (37,5%), institucionalistas (31,5%) y críticos radicales (31,0%) —es decir, más de dos tercios de la ciudadanía sostiene una visión crítica del Poder Judicial que convive, sin resolverse, con el respaldo declarado a su independencia—.</w:t>
      </w:r>
    </w:p>
    <w:p>
      <w:pPr>
        <w:pStyle w:val="Heading1"/>
        <w:spacing w:after="240" w:before="480"/>
      </w:pPr>
      <w:r>
        <w:t xml:space="preserve">4. Gobierno judicial, gestión administrativa y nombramientos</w:t>
      </w:r>
    </w:p>
    <w:p>
      <w:pPr>
        <w:spacing w:after="200" w:line="300"/>
        <w:jc w:val="both"/>
      </w:pPr>
      <w:r>
        <w:rPr>
          <w:b w:val="false"/>
          <w:bCs w:val="false"/>
          <w:i w:val="false"/>
          <w:iCs w:val="false"/>
        </w:rPr>
        <w:t xml:space="preserve">Si la independencia judicial es la dimensión donde el contraste 2015-2025 es más visible, el gobierno judicial es la dimensión donde la serie documenta con mayor insistencia la ausencia de cambio: los mismos dos "dominios reservados" —el sistema de nombramiento de magistrados y jueces, y la concentración de funciones administrativas en la Corte Plena— aparecen intactos en las cinco ediciones, pese a sucesivas crisis, comisiones de reforma y recomendaciones internacionales.</w:t>
      </w:r>
    </w:p>
    <w:p>
      <w:pPr>
        <w:pStyle w:val="Heading2"/>
        <w:spacing w:after="160" w:before="360"/>
      </w:pPr>
      <w:r>
        <w:t xml:space="preserve">4.1 La sobrecarga administrativa de la Corte Plena y el Consejo Superior</w:t>
      </w:r>
    </w:p>
    <w:p>
      <w:pPr>
        <w:spacing w:after="200" w:line="300"/>
        <w:jc w:val="both"/>
      </w:pPr>
      <w:r>
        <w:rPr>
          <w:b w:val="false"/>
          <w:bCs w:val="false"/>
          <w:i w:val="false"/>
          <w:iCs w:val="false"/>
        </w:rPr>
        <w:t xml:space="preserve">La serie permite reconstruir una trayectoria casi ininterrumpida de crecimiento en el volumen de asuntos administrativos que absorbe la cúpula judicial, sin que exista evidencia de una desconcentración efectiva hacia el Consejo Superior —creado precisamente para ese fin en la reforma de 1993—.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rPr>
          <w:tblHeader/>
        </w:trPr>
        <w:tc>
          <w:tcPr>
            <w:tcW w:type="dxa" w:w="1600"/>
            <w:shd w:fill="1F3A5F" w:val="clear"/>
            <w:tcMar>
              <w:top w:type="dxa" w:w="80"/>
              <w:left w:type="dxa" w:w="100"/>
              <w:bottom w:type="dxa" w:w="80"/>
              <w:right w:type="dxa" w:w="100"/>
            </w:tcMar>
          </w:tcPr>
          <w:p>
            <w:pPr>
              <w:jc w:val="center"/>
            </w:pPr>
            <w:r>
              <w:rPr>
                <w:b/>
                <w:bCs/>
                <w:color w:val="FFFFFF"/>
                <w:sz w:val="19"/>
                <w:szCs w:val="19"/>
              </w:rPr>
              <w:t xml:space="preserve">Año</w:t>
            </w:r>
          </w:p>
        </w:tc>
        <w:tc>
          <w:tcPr>
            <w:tcW w:type="dxa" w:w="4200"/>
            <w:shd w:fill="1F3A5F" w:val="clear"/>
            <w:tcMar>
              <w:top w:type="dxa" w:w="80"/>
              <w:left w:type="dxa" w:w="100"/>
              <w:bottom w:type="dxa" w:w="80"/>
              <w:right w:type="dxa" w:w="100"/>
            </w:tcMar>
          </w:tcPr>
          <w:p>
            <w:pPr>
              <w:jc w:val="center"/>
            </w:pPr>
            <w:r>
              <w:rPr>
                <w:b/>
                <w:bCs/>
                <w:color w:val="FFFFFF"/>
                <w:sz w:val="19"/>
                <w:szCs w:val="19"/>
              </w:rPr>
              <w:t xml:space="preserve">Asuntos administrativos resueltos por la Corte Plena</w:t>
            </w:r>
          </w:p>
        </w:tc>
        <w:tc>
          <w:tcPr>
            <w:tcW w:type="dxa" w:w="3200"/>
            <w:shd w:fill="1F3A5F" w:val="clear"/>
            <w:tcMar>
              <w:top w:type="dxa" w:w="80"/>
              <w:left w:type="dxa" w:w="100"/>
              <w:bottom w:type="dxa" w:w="80"/>
              <w:right w:type="dxa" w:w="100"/>
            </w:tcMar>
          </w:tcPr>
          <w:p>
            <w:pPr>
              <w:jc w:val="center"/>
            </w:pPr>
            <w:r>
              <w:rPr>
                <w:b/>
                <w:bCs/>
                <w:color w:val="FFFFFF"/>
                <w:sz w:val="19"/>
                <w:szCs w:val="19"/>
              </w:rPr>
              <w:t xml:space="preserve">Casos atendidos por el Consejo Superior</w:t>
            </w:r>
          </w:p>
        </w:tc>
      </w:tr>
      <w:tr>
        <w:tc>
          <w:tcPr>
            <w:tcW w:type="dxa" w:w="1600"/>
            <w:tcMar>
              <w:top w:type="dxa" w:w="80"/>
              <w:left w:type="dxa" w:w="100"/>
              <w:bottom w:type="dxa" w:w="80"/>
              <w:right w:type="dxa" w:w="100"/>
            </w:tcMar>
          </w:tcPr>
          <w:p>
            <w:pPr>
              <w:jc w:val="left"/>
            </w:pPr>
            <w:r>
              <w:rPr>
                <w:b w:val="false"/>
                <w:bCs w:val="false"/>
                <w:sz w:val="19"/>
                <w:szCs w:val="19"/>
              </w:rPr>
              <w:t xml:space="preserve">2018</w:t>
            </w:r>
          </w:p>
        </w:tc>
        <w:tc>
          <w:tcPr>
            <w:tcW w:type="dxa" w:w="4200"/>
            <w:tcMar>
              <w:top w:type="dxa" w:w="80"/>
              <w:left w:type="dxa" w:w="100"/>
              <w:bottom w:type="dxa" w:w="80"/>
              <w:right w:type="dxa" w:w="100"/>
            </w:tcMar>
          </w:tcPr>
          <w:p>
            <w:pPr>
              <w:jc w:val="center"/>
            </w:pPr>
            <w:r>
              <w:rPr>
                <w:b w:val="false"/>
                <w:bCs w:val="false"/>
                <w:sz w:val="19"/>
                <w:szCs w:val="19"/>
              </w:rPr>
              <w:t xml:space="preserve">~120 (Informe 2022) / 95 asuntos, de los cuales 71 administrativos (Informe 2020)</w:t>
            </w:r>
          </w:p>
        </w:tc>
        <w:tc>
          <w:tcPr>
            <w:tcW w:type="dxa" w:w="3200"/>
            <w:tcMar>
              <w:top w:type="dxa" w:w="80"/>
              <w:left w:type="dxa" w:w="100"/>
              <w:bottom w:type="dxa" w:w="80"/>
              <w:right w:type="dxa" w:w="100"/>
            </w:tcMar>
          </w:tcPr>
          <w:p>
            <w:pPr>
              <w:jc w:val="center"/>
            </w:pPr>
            <w:r>
              <w:rPr>
                <w:b w:val="false"/>
                <w:bCs w:val="false"/>
                <w:sz w:val="19"/>
                <w:szCs w:val="19"/>
              </w:rPr>
              <w:t xml:space="preserve">2.194</w:t>
            </w:r>
          </w:p>
        </w:tc>
      </w:tr>
      <w:tr>
        <w:tc>
          <w:tcPr>
            <w:tcW w:type="dxa" w:w="1600"/>
            <w:shd w:fill="F2F2F2" w:val="clear"/>
            <w:tcMar>
              <w:top w:type="dxa" w:w="80"/>
              <w:left w:type="dxa" w:w="100"/>
              <w:bottom w:type="dxa" w:w="80"/>
              <w:right w:type="dxa" w:w="100"/>
            </w:tcMar>
          </w:tcPr>
          <w:p>
            <w:pPr>
              <w:jc w:val="left"/>
            </w:pPr>
            <w:r>
              <w:rPr>
                <w:b w:val="false"/>
                <w:bCs w:val="false"/>
                <w:sz w:val="19"/>
                <w:szCs w:val="19"/>
              </w:rPr>
              <w:t xml:space="preserve">2020</w:t>
            </w:r>
          </w:p>
        </w:tc>
        <w:tc>
          <w:tcPr>
            <w:tcW w:type="dxa" w:w="4200"/>
            <w:shd w:fill="F2F2F2" w:val="clear"/>
            <w:tcMar>
              <w:top w:type="dxa" w:w="80"/>
              <w:left w:type="dxa" w:w="100"/>
              <w:bottom w:type="dxa" w:w="80"/>
              <w:right w:type="dxa" w:w="100"/>
            </w:tcMar>
          </w:tcPr>
          <w:p>
            <w:pPr>
              <w:jc w:val="center"/>
            </w:pPr>
            <w:r>
              <w:rPr>
                <w:b w:val="false"/>
                <w:bCs w:val="false"/>
                <w:sz w:val="19"/>
                <w:szCs w:val="19"/>
              </w:rPr>
              <w:t xml:space="preserve">665</w:t>
            </w:r>
          </w:p>
        </w:tc>
        <w:tc>
          <w:tcPr>
            <w:tcW w:type="dxa" w:w="3200"/>
            <w:shd w:fill="F2F2F2" w:val="clear"/>
            <w:tcMar>
              <w:top w:type="dxa" w:w="80"/>
              <w:left w:type="dxa" w:w="100"/>
              <w:bottom w:type="dxa" w:w="80"/>
              <w:right w:type="dxa" w:w="100"/>
            </w:tcMar>
          </w:tcPr>
          <w:p>
            <w:pPr>
              <w:jc w:val="center"/>
            </w:pPr>
            <w:r>
              <w:rPr>
                <w:b w:val="false"/>
                <w:bCs w:val="false"/>
                <w:sz w:val="19"/>
                <w:szCs w:val="19"/>
              </w:rPr>
              <w:t xml:space="preserve">4.493</w:t>
            </w:r>
          </w:p>
        </w:tc>
      </w:tr>
      <w:tr>
        <w:tc>
          <w:tcPr>
            <w:tcW w:type="dxa" w:w="1600"/>
            <w:tcMar>
              <w:top w:type="dxa" w:w="80"/>
              <w:left w:type="dxa" w:w="100"/>
              <w:bottom w:type="dxa" w:w="80"/>
              <w:right w:type="dxa" w:w="100"/>
            </w:tcMar>
          </w:tcPr>
          <w:p>
            <w:pPr>
              <w:jc w:val="left"/>
            </w:pPr>
            <w:r>
              <w:rPr>
                <w:b w:val="false"/>
                <w:bCs w:val="false"/>
                <w:sz w:val="19"/>
                <w:szCs w:val="19"/>
              </w:rPr>
              <w:t xml:space="preserve">2023</w:t>
            </w:r>
          </w:p>
        </w:tc>
        <w:tc>
          <w:tcPr>
            <w:tcW w:type="dxa" w:w="4200"/>
            <w:tcMar>
              <w:top w:type="dxa" w:w="80"/>
              <w:left w:type="dxa" w:w="100"/>
              <w:bottom w:type="dxa" w:w="80"/>
              <w:right w:type="dxa" w:w="100"/>
            </w:tcMar>
          </w:tcPr>
          <w:p>
            <w:pPr>
              <w:jc w:val="center"/>
            </w:pPr>
            <w:r>
              <w:rPr>
                <w:b w:val="false"/>
                <w:bCs w:val="false"/>
                <w:sz w:val="19"/>
                <w:szCs w:val="19"/>
              </w:rPr>
              <w:t xml:space="preserve">1.112</w:t>
            </w:r>
          </w:p>
        </w:tc>
        <w:tc>
          <w:tcPr>
            <w:tcW w:type="dxa" w:w="3200"/>
            <w:tcMar>
              <w:top w:type="dxa" w:w="80"/>
              <w:left w:type="dxa" w:w="100"/>
              <w:bottom w:type="dxa" w:w="80"/>
              <w:right w:type="dxa" w:w="100"/>
            </w:tcMar>
          </w:tcPr>
          <w:p>
            <w:pPr>
              <w:jc w:val="center"/>
            </w:pPr>
            <w:r>
              <w:rPr>
                <w:b w:val="false"/>
                <w:bCs w:val="false"/>
                <w:sz w:val="19"/>
                <w:szCs w:val="19"/>
              </w:rPr>
              <w:t xml:space="preserve">6.855</w:t>
            </w:r>
          </w:p>
        </w:tc>
      </w:tr>
    </w:tbl>
    <w:p>
      <w:pPr>
        <w:spacing w:after="260"/>
      </w:pPr>
      <w:r>
        <w:rPr>
          <w:i/>
          <w:iCs/>
          <w:color w:val="595959"/>
          <w:sz w:val="18"/>
          <w:szCs w:val="18"/>
        </w:rPr>
        <w:t xml:space="preserve">Fuente: Informes Estado de la Justicia 2020, 2022 y 2025. El crecimiento del Consejo Superior entre 2020 y 2023 (+50%) confirma que la sobrecarga no se limita a la Corte Plena.</w:t>
      </w:r>
    </w:p>
    <w:p>
      <w:pPr>
        <w:spacing w:after="200" w:line="300"/>
        <w:jc w:val="both"/>
      </w:pPr>
      <w:r>
        <w:rPr>
          <w:b w:val="false"/>
          <w:bCs w:val="false"/>
          <w:i w:val="false"/>
          <w:iCs w:val="false"/>
        </w:rPr>
        <w:t xml:space="preserve">El propio Poder Judicial ha intentado corregir este patrón: tras la crisis de 2016-2018 se conformaron diez "mesas urgentes de trabajo" de las que surgieron treinta productos de reforma; a 2020 solo siete habían sido aprobados por la Corte, y para 2022 catorce. La única de las diez mesas que continúa completamente bloqueada ocho años después —según confirma el Informe 2025— es precisamente la de "gobierno judicial", es decir, la que proponía desconcentrar el poder de la propia Corte Plena mediante un modelo de gobierno corporativo. La Corte ha aprobado, en otras palabras, las reformas que no tocan su propia estructura de poder, y ha bloqueado sistemáticamente la única que sí lo hace.</w:t>
      </w:r>
    </w:p>
    <w:p>
      <w:pPr>
        <w:spacing w:after="200" w:line="300"/>
        <w:jc w:val="both"/>
      </w:pPr>
      <w:r>
        <w:rPr>
          <w:b w:val="false"/>
          <w:bCs w:val="false"/>
          <w:i w:val="false"/>
          <w:iCs w:val="false"/>
        </w:rPr>
        <w:t xml:space="preserve">El número de comisiones institucionales activas —espacios donde magistrados y magistradas participan en la toma de decisiones administrativas fuera de la Corte Plena formal— también creció de forma sostenida: 41 comisiones activas en 2018 (más 43 "inactivas" nunca cerradas formalmente), 91 en 2020, 108 en 2021 y 107 en 2023, con magistrados que llegan a integrar hasta 18 comisiones de forma simultánea.</w:t>
      </w:r>
    </w:p>
    <w:p>
      <w:pPr>
        <w:pStyle w:val="Heading2"/>
        <w:spacing w:after="160" w:before="360"/>
      </w:pPr>
      <w:r>
        <w:t xml:space="preserve">4.2 Nombramiento de magistrados: opacidad persistente y demoras crecientes</w:t>
      </w:r>
    </w:p>
    <w:p>
      <w:pPr>
        <w:spacing w:after="200" w:line="300"/>
        <w:jc w:val="both"/>
      </w:pPr>
      <w:r>
        <w:rPr>
          <w:b w:val="false"/>
          <w:bCs w:val="false"/>
          <w:i w:val="false"/>
          <w:iCs w:val="false"/>
        </w:rPr>
        <w:t xml:space="preserve">El nombramiento de los 22 magistrados de la Corte Suprema —que requiere mayoría calificada de dos tercios de la Asamblea Legislativa (38 votos) desde la reforma de 2003, por períodos de ocho años— es el capítulo de investigación del Primer Informe (2015) y el hilo conductor de todo el seguimiento posterior. Tres hallazgos se repiten con variaciones menores en las cinco ediciones:</w:t>
      </w:r>
    </w:p>
    <w:p>
      <w:pPr>
        <w:pStyle w:val="Heading3"/>
        <w:spacing w:after="120" w:before="240"/>
      </w:pPr>
      <w:r>
        <w:t xml:space="preserve">a) Las votaciones siguen siendo secretas y sin motivación</w:t>
      </w:r>
    </w:p>
    <w:p>
      <w:pPr>
        <w:spacing w:after="200" w:line="300"/>
        <w:jc w:val="both"/>
      </w:pPr>
      <w:r>
        <w:rPr>
          <w:b w:val="false"/>
          <w:bCs w:val="false"/>
          <w:i w:val="false"/>
          <w:iCs w:val="false"/>
        </w:rPr>
        <w:t xml:space="preserve">La Comisión Permanente Especial de Nombramientos (CPEN), creada en 1999-2000, evalúa atestados de los candidatos pero no su desempeño; la entrevista —cuyo peso en la nota final subió de 30% a 55% entre 2020 y 2025— es el componente más discrecional del proceso. Entre 2012 y 2019 se presentaron once proyectos de ley para reformar el sistema de elección; ninguno fue aprobado (Informe 2020).</w:t>
      </w:r>
    </w:p>
    <w:p>
      <w:pPr>
        <w:pStyle w:val="Heading3"/>
        <w:spacing w:after="120" w:before="240"/>
      </w:pPr>
      <w:r>
        <w:t xml:space="preserve">b) Los tiempos de nombramiento se multiplicaron</w:t>
      </w:r>
    </w:p>
    <w:p>
      <w:pPr>
        <w:spacing w:after="200" w:line="300"/>
        <w:jc w:val="both"/>
      </w:pPr>
      <w:r>
        <w:rPr>
          <w:b w:val="false"/>
          <w:bCs w:val="false"/>
          <w:i w:val="false"/>
          <w:iCs w:val="false"/>
        </w:rPr>
        <w:t xml:space="preserve">Antes de la reforma de 2003, el proceso de nombramiento más largo registrado fue de 104 días. Tras la reforma, el Primer Informe documenta casos de 542 y 670 días (2007-2009); el Tercer Informe (2020) reporta que, entre 2014 y 2020, el tiempo promedio de nombramiento se multiplicó más de cinco veces respecto al período 1989-2013. En 2018, diez de los veintidós magistrados de la Corte eran suplentes cubriendo vacantes sin llenar, y la Sala Tercera llegó a quedar con un único propietario. Para el Quinto Informe (2025), catorce de las veintidós magistraturas —casi dos tercios— vencen su nombramiento y deberán ser reelegidas o sustituidas por la Asamblea Legislativa electa en febrero de 2026, lo que convierte al próximo período legislativo en un punto crítico para la composición de la Corte.</w:t>
      </w:r>
    </w:p>
    <w:p>
      <w:pPr>
        <w:pStyle w:val="Heading3"/>
        <w:spacing w:after="120" w:before="240"/>
      </w:pPr>
      <w:r>
        <w:t xml:space="preserve">c) El perfil de quienes son electos ha variado, sin que exista un patrón lineal</w:t>
      </w:r>
    </w:p>
    <w:p>
      <w:pPr>
        <w:spacing w:after="200" w:line="300"/>
        <w:jc w:val="both"/>
      </w:pPr>
      <w:r>
        <w:rPr>
          <w:b w:val="false"/>
          <w:bCs w:val="false"/>
          <w:i w:val="false"/>
          <w:iCs w:val="false"/>
        </w:rPr>
        <w:t xml:space="preserve">El Primer Informe documenta una mejora sostenida del perfil académico entre 2001 y 2013 (de la licenciatura al doctorado) y un aumento en la proporción de mujeres nombradas (de 1 de 11 en los años noventa a 7 de 18 en 2001-2013). El Segundo Informe (2017), sin embargo, registra un retroceso puntual: de los cuatro nombramientos hechos entre 2014 y noviembre de 2016, solo una fue mujer, y la proporción de magistrados provenientes de la carrera judicial bajó de ~86% a 50% —evidencia de que estas tendencias no son unidireccionales y requieren seguimiento edición a edición—.</w:t>
      </w:r>
    </w:p>
    <w:p>
      <w:pPr>
        <w:pStyle w:val="Heading2"/>
        <w:spacing w:after="160" w:before="360"/>
      </w:pPr>
      <w:r>
        <w:t xml:space="preserve">4.3 Presupuesto y personal: expansión sostenida, con una única interrupción fiscal</w:t>
      </w:r>
    </w:p>
    <w:p>
      <w:pPr>
        <w:spacing w:after="200" w:line="300"/>
        <w:jc w:val="both"/>
      </w:pPr>
      <w:r>
        <w:rPr>
          <w:b w:val="false"/>
          <w:bCs w:val="false"/>
          <w:i w:val="false"/>
          <w:iCs w:val="false"/>
        </w:rPr>
        <w:t xml:space="preserve">El presupuesto judicial per cápita, en dólares constantes, creció de forma prácticamente ininterrumpida entre 1990 y 2018 —de USD 15,7 a USD 168,4—, multiplicándose más de diez veces en tres décadas. Ese patrón se quiebra por primera vez en la serie con la Ley de Fortalecimiento de las Finanzas Públicas (2018) y la regla fiscal: el Cuarto Informe (2022) documenta una caída real del presupuesto de 7% entre 2017 y 2021, la primera contracción sostenida registrada. El Quinto Informe (2025) constata una recuperación solo parcial —el gasto per cápita de 2024 es aproximadamente igual al de 2016—, y señala que buena parte del incremento reciente fue absorbido por las 402 plazas nuevas creadas para la Jurisdicción Especializada en Delincuencia Organizada (JEDO), en lugar de fortalecer la capacidad general del sistema.</w:t>
      </w:r>
    </w:p>
    <w:p>
      <w:pPr>
        <w:spacing w:after="200" w:line="300"/>
        <w:jc w:val="both"/>
      </w:pPr>
      <w:r>
        <w:rPr>
          <w:b w:val="false"/>
          <w:bCs w:val="false"/>
          <w:i w:val="false"/>
          <w:iCs w:val="false"/>
        </w:rPr>
        <w:t xml:space="preserve">La contracción presupuestaria coincidió, además, con un fenómeno inverso en el régimen disciplinario: mientras el presupuesto se contraía, las denuncias contra personal judicial cayeron de 3.146 (2020) a 1.260 (2023), y la capacidad sancionatoria efectiva del sistema —medida como proporción de denuncias resueltas "con lugar"— continuó la tendencia declinante ya documentada desde 2017 (13% en 2015, 14% en 2017, 9,4% en 2020, 7% en 2023). El sistema disciplinario judicial, en síntesis, sanciona en 2023 a una proporción menor de las faltas denunciadas que en cualquier momento anterior de la serie, pese a recibir menos denuncias.</w:t>
      </w:r>
    </w:p>
    <w:p>
      <w:pPr>
        <w:pStyle w:val="Heading1"/>
        <w:spacing w:after="240" w:before="480"/>
      </w:pPr>
      <w:r>
        <w:t xml:space="preserve">5. Desempeño jurisdiccional: mora, duración y productividad</w:t>
      </w:r>
    </w:p>
    <w:p>
      <w:pPr>
        <w:spacing w:after="200" w:line="300"/>
        <w:jc w:val="both"/>
      </w:pPr>
      <w:r>
        <w:rPr>
          <w:b w:val="false"/>
          <w:bCs w:val="false"/>
          <w:i w:val="false"/>
          <w:iCs w:val="false"/>
        </w:rPr>
        <w:t xml:space="preserve">Esta es, junto con la corrupción judicial, la dimensión donde la serie es más categórica: pese a una inversión creciente durante casi toda la década, los indicadores agregados de productividad y mora judicial no solo no mejoran, sino que se deterioran de forma sostenida entre 1990 y 2020, con una recuperación parcial y de corto plazo entre 2021 y 2024 que ninguna edición interpreta como una reversión estructural.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200"/>
        <w:gridCol w:w="1600"/>
      </w:tblGrid>
      <w:tr>
        <w:trPr>
          <w:tblHeader/>
        </w:trPr>
        <w:tc>
          <w:tcPr>
            <w:tcW w:type="dxa" w:w="2600"/>
            <w:shd w:fill="1F3A5F" w:val="clear"/>
            <w:tcMar>
              <w:top w:type="dxa" w:w="80"/>
              <w:left w:type="dxa" w:w="100"/>
              <w:bottom w:type="dxa" w:w="80"/>
              <w:right w:type="dxa" w:w="100"/>
            </w:tcMar>
          </w:tcPr>
          <w:p>
            <w:pPr>
              <w:jc w:val="center"/>
            </w:pPr>
            <w:r>
              <w:rPr>
                <w:b/>
                <w:bCs/>
                <w:color w:val="FFFFFF"/>
                <w:sz w:val="19"/>
                <w:szCs w:val="19"/>
              </w:rPr>
              <w:t xml:space="preserve">Indicador</w:t>
            </w:r>
          </w:p>
        </w:tc>
        <w:tc>
          <w:tcPr>
            <w:tcW w:type="dxa" w:w="1200"/>
            <w:shd w:fill="1F3A5F" w:val="clear"/>
            <w:tcMar>
              <w:top w:type="dxa" w:w="80"/>
              <w:left w:type="dxa" w:w="100"/>
              <w:bottom w:type="dxa" w:w="80"/>
              <w:right w:type="dxa" w:w="100"/>
            </w:tcMar>
          </w:tcPr>
          <w:p>
            <w:pPr>
              <w:jc w:val="center"/>
            </w:pPr>
            <w:r>
              <w:rPr>
                <w:b/>
                <w:bCs/>
                <w:color w:val="FFFFFF"/>
                <w:sz w:val="19"/>
                <w:szCs w:val="19"/>
              </w:rPr>
              <w:t xml:space="preserve">1990</w:t>
            </w:r>
          </w:p>
        </w:tc>
        <w:tc>
          <w:tcPr>
            <w:tcW w:type="dxa" w:w="1200"/>
            <w:shd w:fill="1F3A5F" w:val="clear"/>
            <w:tcMar>
              <w:top w:type="dxa" w:w="80"/>
              <w:left w:type="dxa" w:w="100"/>
              <w:bottom w:type="dxa" w:w="80"/>
              <w:right w:type="dxa" w:w="100"/>
            </w:tcMar>
          </w:tcPr>
          <w:p>
            <w:pPr>
              <w:jc w:val="center"/>
            </w:pPr>
            <w:r>
              <w:rPr>
                <w:b/>
                <w:bCs/>
                <w:color w:val="FFFFFF"/>
                <w:sz w:val="19"/>
                <w:szCs w:val="19"/>
              </w:rPr>
              <w:t xml:space="preserve">2000</w:t>
            </w:r>
          </w:p>
        </w:tc>
        <w:tc>
          <w:tcPr>
            <w:tcW w:type="dxa" w:w="1200"/>
            <w:shd w:fill="1F3A5F" w:val="clear"/>
            <w:tcMar>
              <w:top w:type="dxa" w:w="80"/>
              <w:left w:type="dxa" w:w="100"/>
              <w:bottom w:type="dxa" w:w="80"/>
              <w:right w:type="dxa" w:w="100"/>
            </w:tcMar>
          </w:tcPr>
          <w:p>
            <w:pPr>
              <w:jc w:val="center"/>
            </w:pPr>
            <w:r>
              <w:rPr>
                <w:b/>
                <w:bCs/>
                <w:color w:val="FFFFFF"/>
                <w:sz w:val="19"/>
                <w:szCs w:val="19"/>
              </w:rPr>
              <w:t xml:space="preserve">2013</w:t>
            </w:r>
          </w:p>
        </w:tc>
        <w:tc>
          <w:tcPr>
            <w:tcW w:type="dxa" w:w="1200"/>
            <w:shd w:fill="1F3A5F" w:val="clear"/>
            <w:tcMar>
              <w:top w:type="dxa" w:w="80"/>
              <w:left w:type="dxa" w:w="100"/>
              <w:bottom w:type="dxa" w:w="80"/>
              <w:right w:type="dxa" w:w="100"/>
            </w:tcMar>
          </w:tcPr>
          <w:p>
            <w:pPr>
              <w:jc w:val="center"/>
            </w:pPr>
            <w:r>
              <w:rPr>
                <w:b/>
                <w:bCs/>
                <w:color w:val="FFFFFF"/>
                <w:sz w:val="19"/>
                <w:szCs w:val="19"/>
              </w:rPr>
              <w:t xml:space="preserve">2018</w:t>
            </w:r>
          </w:p>
        </w:tc>
        <w:tc>
          <w:tcPr>
            <w:tcW w:type="dxa" w:w="1200"/>
            <w:shd w:fill="1F3A5F" w:val="clear"/>
            <w:tcMar>
              <w:top w:type="dxa" w:w="80"/>
              <w:left w:type="dxa" w:w="100"/>
              <w:bottom w:type="dxa" w:w="80"/>
              <w:right w:type="dxa" w:w="100"/>
            </w:tcMar>
          </w:tcPr>
          <w:p>
            <w:pPr>
              <w:jc w:val="center"/>
            </w:pPr>
            <w:r>
              <w:rPr>
                <w:b/>
                <w:bCs/>
                <w:color w:val="FFFFFF"/>
                <w:sz w:val="19"/>
                <w:szCs w:val="19"/>
              </w:rPr>
              <w:t xml:space="preserve">2020</w:t>
            </w:r>
          </w:p>
        </w:tc>
        <w:tc>
          <w:tcPr>
            <w:tcW w:type="dxa" w:w="1600"/>
            <w:shd w:fill="1F3A5F" w:val="clear"/>
            <w:tcMar>
              <w:top w:type="dxa" w:w="80"/>
              <w:left w:type="dxa" w:w="100"/>
              <w:bottom w:type="dxa" w:w="80"/>
              <w:right w:type="dxa" w:w="100"/>
            </w:tcMar>
          </w:tcPr>
          <w:p>
            <w:pPr>
              <w:jc w:val="center"/>
            </w:pPr>
            <w:r>
              <w:rPr>
                <w:b/>
                <w:bCs/>
                <w:color w:val="FFFFFF"/>
                <w:sz w:val="19"/>
                <w:szCs w:val="19"/>
              </w:rPr>
              <w:t xml:space="preserve">2023-2024</w:t>
            </w:r>
          </w:p>
        </w:tc>
      </w:tr>
      <w:tr>
        <w:tc>
          <w:tcPr>
            <w:tcW w:type="dxa" w:w="2600"/>
            <w:tcMar>
              <w:top w:type="dxa" w:w="80"/>
              <w:left w:type="dxa" w:w="100"/>
              <w:bottom w:type="dxa" w:w="80"/>
              <w:right w:type="dxa" w:w="100"/>
            </w:tcMar>
          </w:tcPr>
          <w:p>
            <w:pPr>
              <w:jc w:val="left"/>
            </w:pPr>
            <w:r>
              <w:rPr>
                <w:b w:val="false"/>
                <w:bCs w:val="false"/>
                <w:sz w:val="19"/>
                <w:szCs w:val="19"/>
              </w:rPr>
              <w:t xml:space="preserve">Presupuesto judicial per cápita (USD)</w:t>
            </w:r>
          </w:p>
        </w:tc>
        <w:tc>
          <w:tcPr>
            <w:tcW w:type="dxa" w:w="1200"/>
            <w:tcMar>
              <w:top w:type="dxa" w:w="80"/>
              <w:left w:type="dxa" w:w="100"/>
              <w:bottom w:type="dxa" w:w="80"/>
              <w:right w:type="dxa" w:w="100"/>
            </w:tcMar>
          </w:tcPr>
          <w:p>
            <w:pPr>
              <w:jc w:val="center"/>
            </w:pPr>
            <w:r>
              <w:rPr>
                <w:b w:val="false"/>
                <w:bCs w:val="false"/>
                <w:sz w:val="19"/>
                <w:szCs w:val="19"/>
              </w:rPr>
              <w:t xml:space="preserve">15,7</w:t>
            </w:r>
          </w:p>
        </w:tc>
        <w:tc>
          <w:tcPr>
            <w:tcW w:type="dxa" w:w="1200"/>
            <w:tcMar>
              <w:top w:type="dxa" w:w="80"/>
              <w:left w:type="dxa" w:w="100"/>
              <w:bottom w:type="dxa" w:w="80"/>
              <w:right w:type="dxa" w:w="100"/>
            </w:tcMar>
          </w:tcPr>
          <w:p>
            <w:pPr>
              <w:jc w:val="center"/>
            </w:pPr>
            <w:r>
              <w:rPr>
                <w:b w:val="false"/>
                <w:bCs w:val="false"/>
                <w:sz w:val="19"/>
                <w:szCs w:val="19"/>
              </w:rPr>
              <w:t xml:space="preserve">32,2</w:t>
            </w:r>
          </w:p>
        </w:tc>
        <w:tc>
          <w:tcPr>
            <w:tcW w:type="dxa" w:w="1200"/>
            <w:tcMar>
              <w:top w:type="dxa" w:w="80"/>
              <w:left w:type="dxa" w:w="100"/>
              <w:bottom w:type="dxa" w:w="80"/>
              <w:right w:type="dxa" w:w="100"/>
            </w:tcMar>
          </w:tcPr>
          <w:p>
            <w:pPr>
              <w:jc w:val="center"/>
            </w:pPr>
            <w:r>
              <w:rPr>
                <w:b w:val="false"/>
                <w:bCs w:val="false"/>
                <w:sz w:val="19"/>
                <w:szCs w:val="19"/>
              </w:rPr>
              <w:t xml:space="preserve">132,9</w:t>
            </w:r>
          </w:p>
        </w:tc>
        <w:tc>
          <w:tcPr>
            <w:tcW w:type="dxa" w:w="1200"/>
            <w:tcMar>
              <w:top w:type="dxa" w:w="80"/>
              <w:left w:type="dxa" w:w="100"/>
              <w:bottom w:type="dxa" w:w="80"/>
              <w:right w:type="dxa" w:w="100"/>
            </w:tcMar>
          </w:tcPr>
          <w:p>
            <w:pPr>
              <w:jc w:val="center"/>
            </w:pPr>
            <w:r>
              <w:rPr>
                <w:b w:val="false"/>
                <w:bCs w:val="false"/>
                <w:sz w:val="19"/>
                <w:szCs w:val="19"/>
              </w:rPr>
              <w:t xml:space="preserve">168,4</w:t>
            </w:r>
          </w:p>
        </w:tc>
        <w:tc>
          <w:tcPr>
            <w:tcW w:type="dxa" w:w="1200"/>
            <w:tcMar>
              <w:top w:type="dxa" w:w="80"/>
              <w:left w:type="dxa" w:w="100"/>
              <w:bottom w:type="dxa" w:w="80"/>
              <w:right w:type="dxa" w:w="100"/>
            </w:tcMar>
          </w:tcPr>
          <w:p>
            <w:pPr>
              <w:jc w:val="center"/>
            </w:pPr>
            <w:r>
              <w:rPr>
                <w:b w:val="false"/>
                <w:bCs w:val="false"/>
                <w:sz w:val="19"/>
                <w:szCs w:val="19"/>
              </w:rPr>
              <w:t xml:space="preserve">(caída real 2019-21)</w:t>
            </w:r>
          </w:p>
        </w:tc>
        <w:tc>
          <w:tcPr>
            <w:tcW w:type="dxa" w:w="1600"/>
            <w:tcMar>
              <w:top w:type="dxa" w:w="80"/>
              <w:left w:type="dxa" w:w="100"/>
              <w:bottom w:type="dxa" w:w="80"/>
              <w:right w:type="dxa" w:w="100"/>
            </w:tcMar>
          </w:tcPr>
          <w:p>
            <w:pPr>
              <w:jc w:val="center"/>
            </w:pPr>
            <w:r>
              <w:rPr>
                <w:b w:val="false"/>
                <w:bCs w:val="false"/>
                <w:sz w:val="19"/>
                <w:szCs w:val="19"/>
              </w:rPr>
              <w:t xml:space="preserve">≈ nivel de 2016</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Jueces por 100.000 hab.</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10</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15</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26</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28,7</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600"/>
            <w:shd w:fill="F2F2F2" w:val="clear"/>
            <w:tcMar>
              <w:top w:type="dxa" w:w="80"/>
              <w:left w:type="dxa" w:w="100"/>
              <w:bottom w:type="dxa" w:w="80"/>
              <w:right w:type="dxa" w:w="100"/>
            </w:tcMar>
          </w:tcPr>
          <w:p>
            <w:pPr>
              <w:jc w:val="center"/>
            </w:pPr>
            <w:r>
              <w:rPr>
                <w:b w:val="false"/>
                <w:bCs w:val="false"/>
                <w:sz w:val="19"/>
                <w:szCs w:val="19"/>
              </w:rPr>
              <w:t xml:space="preserve">27,2 (2023)</w:t>
            </w:r>
          </w:p>
        </w:tc>
      </w:tr>
      <w:tr>
        <w:tc>
          <w:tcPr>
            <w:tcW w:type="dxa" w:w="2600"/>
            <w:tcMar>
              <w:top w:type="dxa" w:w="80"/>
              <w:left w:type="dxa" w:w="100"/>
              <w:bottom w:type="dxa" w:w="80"/>
              <w:right w:type="dxa" w:w="100"/>
            </w:tcMar>
          </w:tcPr>
          <w:p>
            <w:pPr>
              <w:jc w:val="left"/>
            </w:pPr>
            <w:r>
              <w:rPr>
                <w:b w:val="false"/>
                <w:bCs w:val="false"/>
                <w:sz w:val="19"/>
                <w:szCs w:val="19"/>
              </w:rPr>
              <w:t xml:space="preserve">Casos terminados netos por juez</w:t>
            </w:r>
          </w:p>
        </w:tc>
        <w:tc>
          <w:tcPr>
            <w:tcW w:type="dxa" w:w="1200"/>
            <w:tcMar>
              <w:top w:type="dxa" w:w="80"/>
              <w:left w:type="dxa" w:w="100"/>
              <w:bottom w:type="dxa" w:w="80"/>
              <w:right w:type="dxa" w:w="100"/>
            </w:tcMar>
          </w:tcPr>
          <w:p>
            <w:pPr>
              <w:jc w:val="center"/>
            </w:pPr>
            <w:r>
              <w:rPr>
                <w:b w:val="false"/>
                <w:bCs w:val="false"/>
                <w:sz w:val="19"/>
                <w:szCs w:val="19"/>
              </w:rPr>
              <w:t xml:space="preserve">—</w:t>
            </w:r>
          </w:p>
        </w:tc>
        <w:tc>
          <w:tcPr>
            <w:tcW w:type="dxa" w:w="1200"/>
            <w:tcMar>
              <w:top w:type="dxa" w:w="80"/>
              <w:left w:type="dxa" w:w="100"/>
              <w:bottom w:type="dxa" w:w="80"/>
              <w:right w:type="dxa" w:w="100"/>
            </w:tcMar>
          </w:tcPr>
          <w:p>
            <w:pPr>
              <w:jc w:val="center"/>
            </w:pPr>
            <w:r>
              <w:rPr>
                <w:b w:val="false"/>
                <w:bCs w:val="false"/>
                <w:sz w:val="19"/>
                <w:szCs w:val="19"/>
              </w:rPr>
              <w:t xml:space="preserve">841</w:t>
            </w:r>
          </w:p>
        </w:tc>
        <w:tc>
          <w:tcPr>
            <w:tcW w:type="dxa" w:w="1200"/>
            <w:tcMar>
              <w:top w:type="dxa" w:w="80"/>
              <w:left w:type="dxa" w:w="100"/>
              <w:bottom w:type="dxa" w:w="80"/>
              <w:right w:type="dxa" w:w="100"/>
            </w:tcMar>
          </w:tcPr>
          <w:p>
            <w:pPr>
              <w:jc w:val="center"/>
            </w:pPr>
            <w:r>
              <w:rPr>
                <w:b w:val="false"/>
                <w:bCs w:val="false"/>
                <w:sz w:val="19"/>
                <w:szCs w:val="19"/>
              </w:rPr>
              <w:t xml:space="preserve">486</w:t>
            </w:r>
          </w:p>
        </w:tc>
        <w:tc>
          <w:tcPr>
            <w:tcW w:type="dxa" w:w="1200"/>
            <w:tcMar>
              <w:top w:type="dxa" w:w="80"/>
              <w:left w:type="dxa" w:w="100"/>
              <w:bottom w:type="dxa" w:w="80"/>
              <w:right w:type="dxa" w:w="100"/>
            </w:tcMar>
          </w:tcPr>
          <w:p>
            <w:pPr>
              <w:jc w:val="center"/>
            </w:pPr>
            <w:r>
              <w:rPr>
                <w:b w:val="false"/>
                <w:bCs w:val="false"/>
                <w:sz w:val="19"/>
                <w:szCs w:val="19"/>
              </w:rPr>
              <w:t xml:space="preserve">412</w:t>
            </w:r>
          </w:p>
        </w:tc>
        <w:tc>
          <w:tcPr>
            <w:tcW w:type="dxa" w:w="1200"/>
            <w:tcMar>
              <w:top w:type="dxa" w:w="80"/>
              <w:left w:type="dxa" w:w="100"/>
              <w:bottom w:type="dxa" w:w="80"/>
              <w:right w:type="dxa" w:w="100"/>
            </w:tcMar>
          </w:tcPr>
          <w:p>
            <w:pPr>
              <w:jc w:val="center"/>
            </w:pPr>
            <w:r>
              <w:rPr>
                <w:b w:val="false"/>
                <w:bCs w:val="false"/>
                <w:sz w:val="19"/>
                <w:szCs w:val="19"/>
              </w:rPr>
              <w:t xml:space="preserve">433 (mínimo histórico)</w:t>
            </w:r>
          </w:p>
        </w:tc>
        <w:tc>
          <w:tcPr>
            <w:tcW w:type="dxa" w:w="1600"/>
            <w:tcMar>
              <w:top w:type="dxa" w:w="80"/>
              <w:left w:type="dxa" w:w="100"/>
              <w:bottom w:type="dxa" w:w="80"/>
              <w:right w:type="dxa" w:w="100"/>
            </w:tcMar>
          </w:tcPr>
          <w:p>
            <w:pPr>
              <w:jc w:val="center"/>
            </w:pPr>
            <w:r>
              <w:rPr>
                <w:b w:val="false"/>
                <w:bCs w:val="false"/>
                <w:sz w:val="19"/>
                <w:szCs w:val="19"/>
              </w:rPr>
              <w:t xml:space="preserve">recuperación parcial 2021-24</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Sentencias por juez</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958</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298</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156</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600"/>
            <w:shd w:fill="F2F2F2" w:val="clear"/>
            <w:tcMar>
              <w:top w:type="dxa" w:w="80"/>
              <w:left w:type="dxa" w:w="100"/>
              <w:bottom w:type="dxa" w:w="80"/>
              <w:right w:type="dxa" w:w="100"/>
            </w:tcMar>
          </w:tcPr>
          <w:p>
            <w:pPr>
              <w:jc w:val="center"/>
            </w:pPr>
            <w:r>
              <w:rPr>
                <w:b w:val="false"/>
                <w:bCs w:val="false"/>
                <w:sz w:val="19"/>
                <w:szCs w:val="19"/>
              </w:rPr>
              <w:t xml:space="preserve">—</w:t>
            </w:r>
          </w:p>
        </w:tc>
      </w:tr>
      <w:tr>
        <w:tc>
          <w:tcPr>
            <w:tcW w:type="dxa" w:w="2600"/>
            <w:tcMar>
              <w:top w:type="dxa" w:w="80"/>
              <w:left w:type="dxa" w:w="100"/>
              <w:bottom w:type="dxa" w:w="80"/>
              <w:right w:type="dxa" w:w="100"/>
            </w:tcMar>
          </w:tcPr>
          <w:p>
            <w:pPr>
              <w:jc w:val="left"/>
            </w:pPr>
            <w:r>
              <w:rPr>
                <w:b w:val="false"/>
                <w:bCs w:val="false"/>
                <w:sz w:val="19"/>
                <w:szCs w:val="19"/>
              </w:rPr>
              <w:t xml:space="preserve">Litigiosidad (casos nuevos por 1.000 hab.)</w:t>
            </w:r>
          </w:p>
        </w:tc>
        <w:tc>
          <w:tcPr>
            <w:tcW w:type="dxa" w:w="1200"/>
            <w:tcMar>
              <w:top w:type="dxa" w:w="80"/>
              <w:left w:type="dxa" w:w="100"/>
              <w:bottom w:type="dxa" w:w="80"/>
              <w:right w:type="dxa" w:w="100"/>
            </w:tcMar>
          </w:tcPr>
          <w:p>
            <w:pPr>
              <w:jc w:val="center"/>
            </w:pPr>
            <w:r>
              <w:rPr>
                <w:b w:val="false"/>
                <w:bCs w:val="false"/>
                <w:sz w:val="19"/>
                <w:szCs w:val="19"/>
              </w:rPr>
              <w:t xml:space="preserve">67</w:t>
            </w:r>
          </w:p>
        </w:tc>
        <w:tc>
          <w:tcPr>
            <w:tcW w:type="dxa" w:w="1200"/>
            <w:tcMar>
              <w:top w:type="dxa" w:w="80"/>
              <w:left w:type="dxa" w:w="100"/>
              <w:bottom w:type="dxa" w:w="80"/>
              <w:right w:type="dxa" w:w="100"/>
            </w:tcMar>
          </w:tcPr>
          <w:p>
            <w:pPr>
              <w:jc w:val="center"/>
            </w:pPr>
            <w:r>
              <w:rPr>
                <w:b w:val="false"/>
                <w:bCs w:val="false"/>
                <w:sz w:val="19"/>
                <w:szCs w:val="19"/>
              </w:rPr>
              <w:t xml:space="preserve">105</w:t>
            </w:r>
          </w:p>
        </w:tc>
        <w:tc>
          <w:tcPr>
            <w:tcW w:type="dxa" w:w="1200"/>
            <w:tcMar>
              <w:top w:type="dxa" w:w="80"/>
              <w:left w:type="dxa" w:w="100"/>
              <w:bottom w:type="dxa" w:w="80"/>
              <w:right w:type="dxa" w:w="100"/>
            </w:tcMar>
          </w:tcPr>
          <w:p>
            <w:pPr>
              <w:jc w:val="center"/>
            </w:pPr>
            <w:r>
              <w:rPr>
                <w:b w:val="false"/>
                <w:bCs w:val="false"/>
                <w:sz w:val="19"/>
                <w:szCs w:val="19"/>
              </w:rPr>
              <w:t xml:space="preserve">126</w:t>
            </w:r>
          </w:p>
        </w:tc>
        <w:tc>
          <w:tcPr>
            <w:tcW w:type="dxa" w:w="1200"/>
            <w:tcMar>
              <w:top w:type="dxa" w:w="80"/>
              <w:left w:type="dxa" w:w="100"/>
              <w:bottom w:type="dxa" w:w="80"/>
              <w:right w:type="dxa" w:w="100"/>
            </w:tcMar>
          </w:tcPr>
          <w:p>
            <w:pPr>
              <w:jc w:val="center"/>
            </w:pPr>
            <w:r>
              <w:rPr>
                <w:b w:val="false"/>
                <w:bCs w:val="false"/>
                <w:sz w:val="19"/>
                <w:szCs w:val="19"/>
              </w:rPr>
              <w:t xml:space="preserve">143-151</w:t>
            </w:r>
          </w:p>
        </w:tc>
        <w:tc>
          <w:tcPr>
            <w:tcW w:type="dxa" w:w="1200"/>
            <w:tcMar>
              <w:top w:type="dxa" w:w="80"/>
              <w:left w:type="dxa" w:w="100"/>
              <w:bottom w:type="dxa" w:w="80"/>
              <w:right w:type="dxa" w:w="100"/>
            </w:tcMar>
          </w:tcPr>
          <w:p>
            <w:pPr>
              <w:jc w:val="center"/>
            </w:pPr>
            <w:r>
              <w:rPr>
                <w:b w:val="false"/>
                <w:bCs w:val="false"/>
                <w:sz w:val="19"/>
                <w:szCs w:val="19"/>
              </w:rPr>
              <w:t xml:space="preserve">115 (2019)</w:t>
            </w:r>
          </w:p>
        </w:tc>
        <w:tc>
          <w:tcPr>
            <w:tcW w:type="dxa" w:w="1600"/>
            <w:tcMar>
              <w:top w:type="dxa" w:w="80"/>
              <w:left w:type="dxa" w:w="100"/>
              <w:bottom w:type="dxa" w:w="80"/>
              <w:right w:type="dxa" w:w="100"/>
            </w:tcMar>
          </w:tcPr>
          <w:p>
            <w:pPr>
              <w:jc w:val="center"/>
            </w:pPr>
            <w:r>
              <w:rPr>
                <w:b w:val="false"/>
                <w:bCs w:val="false"/>
                <w:sz w:val="19"/>
                <w:szCs w:val="19"/>
              </w:rPr>
              <w:t xml:space="preserve">117 (2022) / 1 cada 7,1 hab. (2023)</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Circulante (casos activos, miles)</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1.252</w:t>
            </w:r>
          </w:p>
        </w:tc>
        <w:tc>
          <w:tcPr>
            <w:tcW w:type="dxa" w:w="1200"/>
            <w:shd w:fill="F2F2F2" w:val="clear"/>
            <w:tcMar>
              <w:top w:type="dxa" w:w="80"/>
              <w:left w:type="dxa" w:w="100"/>
              <w:bottom w:type="dxa" w:w="80"/>
              <w:right w:type="dxa" w:w="100"/>
            </w:tcMar>
          </w:tcPr>
          <w:p>
            <w:pPr>
              <w:jc w:val="center"/>
            </w:pPr>
            <w:r>
              <w:rPr>
                <w:b w:val="false"/>
                <w:bCs w:val="false"/>
                <w:sz w:val="19"/>
                <w:szCs w:val="19"/>
              </w:rPr>
              <w:t xml:space="preserve">985 (2016) a 1.252 (2018)</w:t>
            </w:r>
          </w:p>
        </w:tc>
        <w:tc>
          <w:tcPr>
            <w:tcW w:type="dxa" w:w="1600"/>
            <w:shd w:fill="F2F2F2" w:val="clear"/>
            <w:tcMar>
              <w:top w:type="dxa" w:w="80"/>
              <w:left w:type="dxa" w:w="100"/>
              <w:bottom w:type="dxa" w:w="80"/>
              <w:right w:type="dxa" w:w="100"/>
            </w:tcMar>
          </w:tcPr>
          <w:p>
            <w:pPr>
              <w:jc w:val="center"/>
            </w:pPr>
            <w:r>
              <w:rPr>
                <w:b w:val="false"/>
                <w:bCs w:val="false"/>
                <w:sz w:val="19"/>
                <w:szCs w:val="19"/>
              </w:rPr>
              <w:t xml:space="preserve">826 (pico 2021) / 718 (2023)</w:t>
            </w:r>
          </w:p>
        </w:tc>
      </w:tr>
    </w:tbl>
    <w:p>
      <w:pPr>
        <w:spacing w:after="260"/>
      </w:pPr>
      <w:r>
        <w:rPr>
          <w:i/>
          <w:iCs/>
          <w:color w:val="595959"/>
          <w:sz w:val="18"/>
          <w:szCs w:val="18"/>
        </w:rPr>
        <w:t xml:space="preserve">Fuente: elaboración propia a partir de los cinco Informes Estado de la Justicia. Las series 1990-2018 usan el Anuario Judicial como fuente; desde el Cuarto Informe (2022) las cifras posteriores a 2019 provienen del Observatorio Judicial (plataforma nueva desde 2021), lo que los propios informes advierten que rompe la comparabilidad estricta con la serie histórica larga.</w:t>
      </w:r>
    </w:p>
    <w:p>
      <w:pPr>
        <w:spacing w:after="80" w:before="12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81300"/>
                    </a:xfrm>
                    <a:prstGeom prst="rect">
                      <a:avLst/>
                    </a:prstGeom>
                  </pic:spPr>
                </pic:pic>
              </a:graphicData>
            </a:graphic>
          </wp:inline>
        </w:drawing>
      </w:r>
    </w:p>
    <w:p>
      <w:pPr>
        <w:spacing w:after="260"/>
      </w:pPr>
      <w:r>
        <w:rPr>
          <w:i/>
          <w:iCs/>
          <w:color w:val="595959"/>
          <w:sz w:val="18"/>
          <w:szCs w:val="18"/>
        </w:rPr>
        <w:t xml:space="preserve">Figura 2. Casos terminados por juez de primera instancia, 2000-2020: la "paradoja de productividad" documentada en las cinco ediciones.</w:t>
      </w:r>
    </w:p>
    <w:p>
      <w:pPr>
        <w:spacing w:after="200" w:line="300"/>
        <w:jc w:val="both"/>
      </w:pPr>
      <w:r>
        <w:rPr>
          <w:b w:val="false"/>
          <w:bCs w:val="false"/>
          <w:i w:val="false"/>
          <w:iCs w:val="false"/>
        </w:rPr>
        <w:t xml:space="preserve">La caída de "casos terminados netos por juez" —de 841 en el año 2000 a un mínimo histórico de 412-433 hacia 2018-2020— ocurre en paralelo a un crecimiento sostenido del personal judicial (de 120 a más de 240 funcionarios por 100.000 habitantes en el mismo período), lo que la propia serie describe como una "paradoja de productividad": más recursos, más personal y más presupuesto no se han traducido en un sistema que resuelva más casos por juez ni en menor mora. El Segundo Informe (2017) lo resume de forma directa: "la sostenida y creciente inversión no se ha traducido en un mejor desempeño" —un diagnóstico que el Tercer (2020), Cuarto (2022) y Quinto Informe (2025) confirman sucesivamente sin variación sustantiva—.</w:t>
      </w:r>
    </w:p>
    <w:p>
      <w:pPr>
        <w:spacing w:after="200" w:line="300"/>
        <w:jc w:val="both"/>
      </w:pPr>
      <w:r>
        <w:rPr>
          <w:b w:val="false"/>
          <w:bCs w:val="false"/>
          <w:i w:val="false"/>
          <w:iCs w:val="false"/>
        </w:rPr>
        <w:t xml:space="preserve">La pandemia de covid-19 introduce el único quiebre de magnitud en la serie de indicadores jurisdiccionales, documentado en detalle por el Cuarto Informe (2022): en 2020, catorce de los quince circuitos judiciales del país redujeron el número de casos entrados —la excepción fue el Primer Circuito de Alajuela—, el circulante creció 14% frente a 2019 mientras los casos terminados cayeron 27%, y la duración de los procesos penales en el Primer Circuito de San José se incrementó en 308 días respecto al promedio de 2019. El hallazgo más citado de esa edición, sin embargo, es positivo en términos relativos: ninguna jurisdicción cerró por completo durante la emergencia sanitaria, gracias a una inversión previa en tecnología (cerca de USD 260 millones entre 2007 y 2012, en la llamada "segunda ola" de reformas) que permitió una virtualización rápida de trámites, notificaciones y audiencias.</w:t>
      </w:r>
    </w:p>
    <w:p>
      <w:pPr>
        <w:spacing w:after="200" w:line="300"/>
        <w:jc w:val="both"/>
      </w:pPr>
      <w:r>
        <w:rPr>
          <w:b w:val="false"/>
          <w:bCs w:val="false"/>
          <w:i w:val="false"/>
          <w:iCs w:val="false"/>
        </w:rPr>
        <w:t xml:space="preserve">El Quinto Informe (2025) constata que, entre 2021 y 2024, tanto el circulante como los casos terminados se recuperaron respecto al piso de la pandemia, pero advierte explícitamente que se trata de una recuperación de corto plazo sin mejora de mediano plazo: usando 2016 como año base (índice 100), el circulante de 2023 se ubica 20% por encima y los casos terminados apenas 10% por encima, mientras el gasto per cápita permanece prácticamente estancado. Ocho de las catorce materias jurisdiccionales registraron, además, un aumento de su duración promedio entre 2019 y 2023.</w:t>
      </w:r>
    </w:p>
    <w:p>
      <w:pPr>
        <w:pStyle w:val="Heading1"/>
        <w:spacing w:after="240" w:before="480"/>
      </w:pPr>
      <w:r>
        <w:t xml:space="preserve">6. La Sala Constitucional: de la expansión al control a la autocontención</w:t>
      </w:r>
    </w:p>
    <w:p>
      <w:pPr>
        <w:spacing w:after="200" w:line="300"/>
        <w:jc w:val="both"/>
      </w:pPr>
      <w:r>
        <w:rPr>
          <w:b w:val="false"/>
          <w:bCs w:val="false"/>
          <w:i w:val="false"/>
          <w:iCs w:val="false"/>
        </w:rPr>
        <w:t xml:space="preserve">El control de constitucionalidad es, junto con la independencia judicial, el eje temático con mayor continuidad metodológica en la serie: el Segundo Informe (2017) introduce el primer análisis sistemático de patrones de votación de la Sala; el Cuarto Informe (2022) da un salto metodológico mayor al aplicar inteligencia artificial y minería de texto sobre la totalidad del acervo jurisprudencial disponible desde 1989 (433.053 sentencias); y el Quinto Informe (2025) documenta cómo la propia Sala se ha convertido en objeto directo de la conflictividad política que describe la sección 3.</w:t>
      </w:r>
    </w:p>
    <w:p>
      <w:pPr>
        <w:pStyle w:val="Heading2"/>
        <w:spacing w:after="160" w:before="360"/>
      </w:pPr>
      <w:r>
        <w:t xml:space="preserve">6.1 Volumen y autocontención</w:t>
      </w:r>
    </w:p>
    <w:p>
      <w:pPr>
        <w:spacing w:after="200" w:line="300"/>
        <w:jc w:val="both"/>
      </w:pPr>
      <w:r>
        <w:rPr>
          <w:b w:val="false"/>
          <w:bCs w:val="false"/>
          <w:i w:val="false"/>
          <w:iCs w:val="false"/>
        </w:rPr>
        <w:t xml:space="preserve">Los recursos de amparo pasaron de 389 en 1990 a más de 7.000 en 2013 (Informe 2015) y siguieron creciendo hasta representar el 87,2% de los 378.064 actos resueltos por la Sala entre 1989 y 2018 (Informe 2020). Pese a ese crecimiento del volumen, la Sala muestra una tendencia sostenida hacia la autocontención: la proporción de acciones de inconstitucionalidad rechazadas de plano o por el fondo se mantiene consistentemente por encima del 55-58% en las mediciones de 2017, 2020 y 2022, y la probabilidad de que una acción de inconstitucionalidad sea declarada con lugar en menos de un año es de apenas 22% según el Tercer Informe. El Quinto Informe documenta que la tasa histórica de aceptación de acciones de inconstitucionalidad (~8,2% sobre más de 6.250 acciones registradas) cayó a 4,3% en 2023, su nivel más bajo.</w:t>
      </w:r>
    </w:p>
    <w:p>
      <w:pPr>
        <w:pStyle w:val="Heading3"/>
        <w:spacing w:after="120" w:before="240"/>
      </w:pPr>
      <w:r>
        <w:t xml:space="preserve">El hallazgo más contraintuitivo de la serie: sentencias sin seguimiento</w:t>
      </w:r>
    </w:p>
    <w:p>
      <w:pPr>
        <w:spacing w:after="200" w:line="300"/>
        <w:jc w:val="both"/>
      </w:pPr>
      <w:r>
        <w:rPr>
          <w:b w:val="false"/>
          <w:bCs w:val="false"/>
          <w:i w:val="false"/>
          <w:iCs w:val="false"/>
        </w:rPr>
        <w:t xml:space="preserve">El análisis de inteligencia artificial del Cuarto Informe (2022) sobre 433.053 sentencias arroja un resultado que ninguna edición anterior había podido cuantificar: solo 10.849 sentencias (2,4% del total) contienen una orden específica con plazo definido, y de estas, apenas 95 —el 0,002% del total histórico— alcanzan el estatus de "sentencias referentes" (citadas en más de diez resoluciones posteriores, algunas más de doscientas veces). Más grave aún: el 98% de los casos con órdenes específicas no establece ningún mecanismo o condición de seguimiento sobre su cumplimiento. La Sala Constitucional, en otras palabras, produce un volumen creciente de resoluciones pero carece de un sistema institucional para verificar si sus propias órdenes se ejecutan.</w:t>
      </w:r>
    </w:p>
    <w:p>
      <w:pPr>
        <w:pStyle w:val="Heading2"/>
        <w:spacing w:after="160" w:before="360"/>
      </w:pPr>
      <w:r>
        <w:t xml:space="preserve">6.2 Control constitucional a priori: menos consultas, más demoras, más división</w:t>
      </w:r>
    </w:p>
    <w:p>
      <w:pPr>
        <w:spacing w:after="200" w:line="300"/>
        <w:jc w:val="both"/>
      </w:pPr>
      <w:r>
        <w:rPr>
          <w:b w:val="false"/>
          <w:bCs w:val="false"/>
          <w:i w:val="false"/>
          <w:iCs w:val="false"/>
        </w:rPr>
        <w:t xml:space="preserve">Las consultas previas de constitucionalidad —el mecanismo por el que la Asamblea Legislativa somete proyectos de ley al escrutinio de la Sala antes de su aprobación— muestran una tendencia decreciente a lo largo de la década: de representar cerca de un tercio de las leyes aprobadas en el período 1989-2013 (712 consultas), su uso cae hasta un mínimo histórico de apenas cinco consultas en la legislatura 2023-2024, según documenta el Quinto Informe. Al mismo tiempo, los plazos de resolución se alargan: el tiempo de tramitación pasó de 23,6 días en promedio (1989-2013) a 31,4 días (2014-2018), y en el período 2022-2024 el 77,8% de las consultas facultativas y el 26,3% de las preceptivas superaron el plazo legal —frente a 49,3% y 16% respectivamente en toda la serie histórica—. La votación dividida en acciones de inconstitucionalidad resueltas por el fondo alcanzó en 2022 su nivel más alto de toda la serie (25,1%), bajando a 15,3% en 2023.</w:t>
      </w:r>
    </w:p>
    <w:p>
      <w:pPr>
        <w:spacing w:after="200" w:line="300"/>
        <w:jc w:val="both"/>
      </w:pPr>
      <w:r>
        <w:rPr>
          <w:b w:val="false"/>
          <w:bCs w:val="false"/>
          <w:i w:val="false"/>
          <w:iCs w:val="false"/>
        </w:rPr>
        <w:t xml:space="preserve">La lectura conjunta de estos tres movimientos —menos consultas, más demoras, más votos divididos— es consistente con el diagnóstico general de la sección 3: una Sala Constitucional cada vez más expuesta a la conflictividad política que describe el Quinto Informe, y cuya capacidad de operar como árbitro técnico despolitizado se ve crecientemente cuestionada desde fuera y desde dentro del propio tribunal.</w:t>
      </w:r>
    </w:p>
    <w:p>
      <w:pPr>
        <w:pStyle w:val="Heading1"/>
        <w:spacing w:after="240" w:before="480"/>
      </w:pPr>
      <w:r>
        <w:t xml:space="preserve">7. Corrupción judicial y capacidad de control interno</w:t>
      </w:r>
    </w:p>
    <w:p>
      <w:pPr>
        <w:spacing w:after="200" w:line="300"/>
        <w:jc w:val="both"/>
      </w:pPr>
      <w:r>
        <w:rPr>
          <w:b w:val="false"/>
          <w:bCs w:val="false"/>
          <w:i w:val="false"/>
          <w:iCs w:val="false"/>
        </w:rPr>
        <w:t xml:space="preserve">La corrupción dentro del propio Poder Judicial es, junto con el desempeño jurisdiccional, el ámbito donde la serie documenta con mayor contundencia una brecha entre el discurso institucional y la capacidad real de sanción. El Primer Informe (2015) señala explícitamente esta ausencia como un vacío de investigación —no existía entonces un capítulo dedicado al tema—; el Tercer Informe (2020), redactado en el contexto inmediato posterior al "cementazo", lo convierte en su investigación central.</w:t>
      </w:r>
    </w:p>
    <w:p>
      <w:pPr>
        <w:pStyle w:val="Heading2"/>
        <w:spacing w:after="160" w:before="360"/>
      </w:pPr>
      <w:r>
        <w:t xml:space="preserve">7.1 La vía disciplinaria interna</w:t>
      </w:r>
    </w:p>
    <w:p>
      <w:pPr>
        <w:spacing w:after="200" w:line="300"/>
        <w:jc w:val="both"/>
      </w:pPr>
      <w:r>
        <w:rPr>
          <w:b w:val="false"/>
          <w:bCs w:val="false"/>
          <w:i w:val="false"/>
          <w:iCs w:val="false"/>
        </w:rPr>
        <w:t xml:space="preserve">El Tribunal de Inspección Judicial (TIJ) —el órgano disciplinario interno— muestra un patrón consistente de baja capacidad sancionatoria a lo largo de toda la serie. El Segundo Informe (2017) documenta que solo el 13% de las denuncias tramitadas ante el TIJ terminó en sanción efectiva en 2015, y que el 86% de los procesos se originó por queja de parte interesada, frente a apenas 10% de oficio —evidencia de una capacidad de detección proactiva muy limitada—. El Tercer Informe (2020) cuantifica el resultado en el caso más grave de la serie: de 76 causas atendidas por Corte Plena entre 2014 y 2018 relacionadas con faltas al deber de probidad, solo 10 funcionarios fueron sancionados en cinco años, y en toda la historia del régimen disciplinario solo se registran dos revocatorias de nombramiento de magistrados. La Auditoría Judicial interna, por su parte, detectó apenas seis "relaciones de hecho" (indicios de conflicto de interés no declarado) en siete años.</w:t>
      </w:r>
    </w:p>
    <w:p>
      <w:pPr>
        <w:pStyle w:val="Heading2"/>
        <w:spacing w:after="160" w:before="360"/>
      </w:pPr>
      <w:r>
        <w:t xml:space="preserve">7.2 La vía penal: prescripción y baja tasa de condena</w:t>
      </w:r>
    </w:p>
    <w:p>
      <w:pPr>
        <w:spacing w:after="200" w:line="300"/>
        <w:jc w:val="both"/>
      </w:pPr>
      <w:r>
        <w:rPr>
          <w:b w:val="false"/>
          <w:bCs w:val="false"/>
          <w:i w:val="false"/>
          <w:iCs w:val="false"/>
        </w:rPr>
        <w:t xml:space="preserve">El estudio de expedientes del Tercer Informe (2020) —un censo de 370 casos de corrupción cerrados en 2017— constituye el diagnóstico más preciso de la serie sobre la capacidad del propio sistema penal para sancionar la corrupción, judicial o no: nueve de cada diez casos se resuelven en etapa preliminar o intermedia, sin llegar a juicio; solo 7% alcanza sentencia, y de estas, aproximadamente la mitad son condenatorias —lo que arroja una tasa de condena efectiva de apenas 3% a 3,5% sobre el total de casos iniciados—. El 9% de los casos prescribió antes de resolverse, y el 24% presentó problemas de fundamentación jurídica (en el 60% de las resoluciones no se citan artículos legales concretos que sustenten la decisión). Los delitos más frecuentes fueron peculado (31,9%), incumplimiento de deberes (23,3%) y prevaricato (9,2%).</w:t>
      </w:r>
    </w:p>
    <w:p>
      <w:pPr>
        <w:spacing w:after="200" w:line="300"/>
        <w:jc w:val="both"/>
      </w:pPr>
      <w:r>
        <w:rPr>
          <w:b w:val="false"/>
          <w:bCs w:val="false"/>
          <w:i w:val="false"/>
          <w:iCs w:val="false"/>
        </w:rPr>
        <w:t xml:space="preserve">Ese patrón de baja judicialización efectiva no es exclusivo de los casos de corrupción: el Quinto Informe (2025), al estudiar delitos de violencia contra las mujeres, encuentra una tasa de apertura a juicio de apenas 13-13,6%; el Primer Informe (2015), en materia penal general, documenta que solo 15,2% de una muestra de 1.550 expedientes llegó a sentencia. La comparación entre las tres materias —penal general (15% llega a sentencia, 2015), corrupción (7%, 2020) y violencia contra las mujeres (16%, 2025)— sugiere que la baja probabilidad de que una denuncia penal termine en una sentencia de fondo es un rasgo estructural del sistema, no una particularidad de la persecución de la corrupción.</w:t>
      </w:r>
    </w:p>
    <w:p>
      <w:pPr>
        <w:pStyle w:val="Heading2"/>
        <w:spacing w:after="160" w:before="360"/>
      </w:pPr>
      <w:r>
        <w:t xml:space="preserve">7.3 El "cementazo" como parteaguas</w:t>
      </w:r>
    </w:p>
    <w:p>
      <w:pPr>
        <w:spacing w:after="200" w:line="300"/>
        <w:jc w:val="both"/>
      </w:pPr>
      <w:r>
        <w:rPr>
          <w:b w:val="false"/>
          <w:bCs w:val="false"/>
          <w:i w:val="false"/>
          <w:iCs w:val="false"/>
        </w:rPr>
        <w:t xml:space="preserve">El escándalo conocido como "el cementazo" (2016-2018) —que involucró a un magistrado de la Sala Tercera, al entonces Fiscal General y a funcionarios de los tres poderes del Estado en una red de tráfico de influencias— es el evento que la serie identifica como bisagra entre dos períodos: antes de 2016, la corrupción judicial es un vacío de investigación (2015); después, se convierte en el eje articulador de la edición 2020 y en la referencia constante de las ediciones 2022 y 2025, que documentan que, a mayo de 2022, ningún funcionario judicial había sido formalmente acusado por ese caso, y que las sanciones internas aplicadas fueron leves (suspensiones de dos meses, mayoritariamente eludidas mediante jubilación anticipada).</w:t>
      </w:r>
    </w:p>
    <w:p>
      <w:pPr>
        <w:pStyle w:val="Heading1"/>
        <w:spacing w:after="240" w:before="480"/>
      </w:pPr>
      <w:r>
        <w:t xml:space="preserve">8. Confianza ciudadana: una caída de dos décadas con piso en la pandemia</w:t>
      </w:r>
    </w:p>
    <w:p>
      <w:pPr>
        <w:spacing w:after="200" w:line="300"/>
        <w:jc w:val="both"/>
      </w:pPr>
      <w:r>
        <w:rPr>
          <w:b w:val="false"/>
          <w:bCs w:val="false"/>
          <w:i w:val="false"/>
          <w:iCs w:val="false"/>
        </w:rPr>
        <w:t xml:space="preserve">La serie Barómetro de las Américas / Latinobarómetro permite reconstruir, a partir de los cinco informes, una trayectoria de confianza en la Corte Suprema de Justicia con una duración mayor a la de la propia serie Estado de la Justicia —desde 2004— y con un patrón claro: caída sostenida entre 2004 y 2020, piso histórico en 2020, y recuperación parcial sin retorno a los niveles iniciales.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400"/>
      </w:tblGrid>
      <w:tr>
        <w:trPr>
          <w:tblHeader/>
        </w:trPr>
        <w:tc>
          <w:tcPr>
            <w:tcW w:type="dxa" w:w="1400"/>
            <w:shd w:fill="1F3A5F" w:val="clear"/>
            <w:tcMar>
              <w:top w:type="dxa" w:w="80"/>
              <w:left w:type="dxa" w:w="100"/>
              <w:bottom w:type="dxa" w:w="80"/>
              <w:right w:type="dxa" w:w="100"/>
            </w:tcMar>
          </w:tcPr>
          <w:p>
            <w:pPr>
              <w:jc w:val="center"/>
            </w:pPr>
            <w:r>
              <w:rPr>
                <w:b/>
                <w:bCs/>
                <w:color w:val="FFFFFF"/>
                <w:sz w:val="19"/>
                <w:szCs w:val="19"/>
              </w:rPr>
              <w:t xml:space="preserve">Año</w:t>
            </w:r>
          </w:p>
        </w:tc>
        <w:tc>
          <w:tcPr>
            <w:tcW w:type="dxa" w:w="4400"/>
            <w:shd w:fill="1F3A5F" w:val="clear"/>
            <w:tcMar>
              <w:top w:type="dxa" w:w="80"/>
              <w:left w:type="dxa" w:w="100"/>
              <w:bottom w:type="dxa" w:w="80"/>
              <w:right w:type="dxa" w:w="100"/>
            </w:tcMar>
          </w:tcPr>
          <w:p>
            <w:pPr>
              <w:jc w:val="center"/>
            </w:pPr>
            <w:r>
              <w:rPr>
                <w:b/>
                <w:bCs/>
                <w:color w:val="FFFFFF"/>
                <w:sz w:val="19"/>
                <w:szCs w:val="19"/>
              </w:rPr>
              <w:t xml:space="preserve">Confianza en la Corte Suprema / Poder Judicial</w:t>
            </w:r>
          </w:p>
        </w:tc>
        <w:tc>
          <w:tcPr>
            <w:tcW w:type="dxa" w:w="3400"/>
            <w:shd w:fill="1F3A5F" w:val="clear"/>
            <w:tcMar>
              <w:top w:type="dxa" w:w="80"/>
              <w:left w:type="dxa" w:w="100"/>
              <w:bottom w:type="dxa" w:w="80"/>
              <w:right w:type="dxa" w:w="100"/>
            </w:tcMar>
          </w:tcPr>
          <w:p>
            <w:pPr>
              <w:jc w:val="center"/>
            </w:pPr>
            <w:r>
              <w:rPr>
                <w:b/>
                <w:bCs/>
                <w:color w:val="FFFFFF"/>
                <w:sz w:val="19"/>
                <w:szCs w:val="19"/>
              </w:rPr>
              <w:t xml:space="preserve">Fuente citada</w:t>
            </w:r>
          </w:p>
        </w:tc>
      </w:tr>
      <w:tr>
        <w:tc>
          <w:tcPr>
            <w:tcW w:type="dxa" w:w="1400"/>
            <w:tcMar>
              <w:top w:type="dxa" w:w="80"/>
              <w:left w:type="dxa" w:w="100"/>
              <w:bottom w:type="dxa" w:w="80"/>
              <w:right w:type="dxa" w:w="100"/>
            </w:tcMar>
          </w:tcPr>
          <w:p>
            <w:pPr>
              <w:jc w:val="left"/>
            </w:pPr>
            <w:r>
              <w:rPr>
                <w:b w:val="false"/>
                <w:bCs w:val="false"/>
                <w:sz w:val="19"/>
                <w:szCs w:val="19"/>
              </w:rPr>
              <w:t xml:space="preserve">2004</w:t>
            </w:r>
          </w:p>
        </w:tc>
        <w:tc>
          <w:tcPr>
            <w:tcW w:type="dxa" w:w="4400"/>
            <w:tcMar>
              <w:top w:type="dxa" w:w="80"/>
              <w:left w:type="dxa" w:w="100"/>
              <w:bottom w:type="dxa" w:w="80"/>
              <w:right w:type="dxa" w:w="100"/>
            </w:tcMar>
          </w:tcPr>
          <w:p>
            <w:pPr>
              <w:jc w:val="center"/>
            </w:pPr>
            <w:r>
              <w:rPr>
                <w:b w:val="false"/>
                <w:bCs w:val="false"/>
                <w:sz w:val="19"/>
                <w:szCs w:val="19"/>
              </w:rPr>
              <w:t xml:space="preserve">61,9-62%</w:t>
            </w:r>
          </w:p>
        </w:tc>
        <w:tc>
          <w:tcPr>
            <w:tcW w:type="dxa" w:w="3400"/>
            <w:tcMar>
              <w:top w:type="dxa" w:w="80"/>
              <w:left w:type="dxa" w:w="100"/>
              <w:bottom w:type="dxa" w:w="80"/>
              <w:right w:type="dxa" w:w="100"/>
            </w:tcMar>
          </w:tcPr>
          <w:p>
            <w:pPr>
              <w:jc w:val="center"/>
            </w:pPr>
            <w:r>
              <w:rPr>
                <w:b w:val="false"/>
                <w:bCs w:val="false"/>
                <w:sz w:val="19"/>
                <w:szCs w:val="19"/>
              </w:rPr>
              <w:t xml:space="preserve">Barómetro de las Américas</w:t>
            </w:r>
          </w:p>
        </w:tc>
      </w:tr>
      <w:tr>
        <w:tc>
          <w:tcPr>
            <w:tcW w:type="dxa" w:w="1400"/>
            <w:shd w:fill="F2F2F2" w:val="clear"/>
            <w:tcMar>
              <w:top w:type="dxa" w:w="80"/>
              <w:left w:type="dxa" w:w="100"/>
              <w:bottom w:type="dxa" w:w="80"/>
              <w:right w:type="dxa" w:w="100"/>
            </w:tcMar>
          </w:tcPr>
          <w:p>
            <w:pPr>
              <w:jc w:val="left"/>
            </w:pPr>
            <w:r>
              <w:rPr>
                <w:b w:val="false"/>
                <w:bCs w:val="false"/>
                <w:sz w:val="19"/>
                <w:szCs w:val="19"/>
              </w:rPr>
              <w:t xml:space="preserve">2012</w:t>
            </w:r>
          </w:p>
        </w:tc>
        <w:tc>
          <w:tcPr>
            <w:tcW w:type="dxa" w:w="4400"/>
            <w:shd w:fill="F2F2F2" w:val="clear"/>
            <w:tcMar>
              <w:top w:type="dxa" w:w="80"/>
              <w:left w:type="dxa" w:w="100"/>
              <w:bottom w:type="dxa" w:w="80"/>
              <w:right w:type="dxa" w:w="100"/>
            </w:tcMar>
          </w:tcPr>
          <w:p>
            <w:pPr>
              <w:jc w:val="center"/>
            </w:pPr>
            <w:r>
              <w:rPr>
                <w:b w:val="false"/>
                <w:bCs w:val="false"/>
                <w:sz w:val="19"/>
                <w:szCs w:val="19"/>
              </w:rPr>
              <w:t xml:space="preserve">47%</w:t>
            </w:r>
          </w:p>
        </w:tc>
        <w:tc>
          <w:tcPr>
            <w:tcW w:type="dxa" w:w="3400"/>
            <w:shd w:fill="F2F2F2" w:val="clear"/>
            <w:tcMar>
              <w:top w:type="dxa" w:w="80"/>
              <w:left w:type="dxa" w:w="100"/>
              <w:bottom w:type="dxa" w:w="80"/>
              <w:right w:type="dxa" w:w="100"/>
            </w:tcMar>
          </w:tcPr>
          <w:p>
            <w:pPr>
              <w:jc w:val="center"/>
            </w:pPr>
            <w:r>
              <w:rPr>
                <w:b w:val="false"/>
                <w:bCs w:val="false"/>
                <w:sz w:val="19"/>
                <w:szCs w:val="19"/>
              </w:rPr>
              <w:t xml:space="preserve">Barómetro de las Américas</w:t>
            </w:r>
          </w:p>
        </w:tc>
      </w:tr>
      <w:tr>
        <w:tc>
          <w:tcPr>
            <w:tcW w:type="dxa" w:w="1400"/>
            <w:tcMar>
              <w:top w:type="dxa" w:w="80"/>
              <w:left w:type="dxa" w:w="100"/>
              <w:bottom w:type="dxa" w:w="80"/>
              <w:right w:type="dxa" w:w="100"/>
            </w:tcMar>
          </w:tcPr>
          <w:p>
            <w:pPr>
              <w:jc w:val="left"/>
            </w:pPr>
            <w:r>
              <w:rPr>
                <w:b w:val="false"/>
                <w:bCs w:val="false"/>
                <w:sz w:val="19"/>
                <w:szCs w:val="19"/>
              </w:rPr>
              <w:t xml:space="preserve">2014</w:t>
            </w:r>
          </w:p>
        </w:tc>
        <w:tc>
          <w:tcPr>
            <w:tcW w:type="dxa" w:w="4400"/>
            <w:tcMar>
              <w:top w:type="dxa" w:w="80"/>
              <w:left w:type="dxa" w:w="100"/>
              <w:bottom w:type="dxa" w:w="80"/>
              <w:right w:type="dxa" w:w="100"/>
            </w:tcMar>
          </w:tcPr>
          <w:p>
            <w:pPr>
              <w:jc w:val="center"/>
            </w:pPr>
            <w:r>
              <w:rPr>
                <w:b w:val="false"/>
                <w:bCs w:val="false"/>
                <w:sz w:val="19"/>
                <w:szCs w:val="19"/>
              </w:rPr>
              <w:t xml:space="preserve">52%</w:t>
            </w:r>
          </w:p>
        </w:tc>
        <w:tc>
          <w:tcPr>
            <w:tcW w:type="dxa" w:w="3400"/>
            <w:tcMar>
              <w:top w:type="dxa" w:w="80"/>
              <w:left w:type="dxa" w:w="100"/>
              <w:bottom w:type="dxa" w:w="80"/>
              <w:right w:type="dxa" w:w="100"/>
            </w:tcMar>
          </w:tcPr>
          <w:p>
            <w:pPr>
              <w:jc w:val="center"/>
            </w:pPr>
            <w:r>
              <w:rPr>
                <w:b w:val="false"/>
                <w:bCs w:val="false"/>
                <w:sz w:val="19"/>
                <w:szCs w:val="19"/>
              </w:rPr>
              <w:t xml:space="preserve">Barómetro de las Américas</w:t>
            </w:r>
          </w:p>
        </w:tc>
      </w:tr>
      <w:tr>
        <w:tc>
          <w:tcPr>
            <w:tcW w:type="dxa" w:w="1400"/>
            <w:shd w:fill="F2F2F2" w:val="clear"/>
            <w:tcMar>
              <w:top w:type="dxa" w:w="80"/>
              <w:left w:type="dxa" w:w="100"/>
              <w:bottom w:type="dxa" w:w="80"/>
              <w:right w:type="dxa" w:w="100"/>
            </w:tcMar>
          </w:tcPr>
          <w:p>
            <w:pPr>
              <w:jc w:val="left"/>
            </w:pPr>
            <w:r>
              <w:rPr>
                <w:b w:val="false"/>
                <w:bCs w:val="false"/>
                <w:sz w:val="19"/>
                <w:szCs w:val="19"/>
              </w:rPr>
              <w:t xml:space="preserve">2018</w:t>
            </w:r>
          </w:p>
        </w:tc>
        <w:tc>
          <w:tcPr>
            <w:tcW w:type="dxa" w:w="4400"/>
            <w:shd w:fill="F2F2F2" w:val="clear"/>
            <w:tcMar>
              <w:top w:type="dxa" w:w="80"/>
              <w:left w:type="dxa" w:w="100"/>
              <w:bottom w:type="dxa" w:w="80"/>
              <w:right w:type="dxa" w:w="100"/>
            </w:tcMar>
          </w:tcPr>
          <w:p>
            <w:pPr>
              <w:jc w:val="center"/>
            </w:pPr>
            <w:r>
              <w:rPr>
                <w:b w:val="false"/>
                <w:bCs w:val="false"/>
                <w:sz w:val="19"/>
                <w:szCs w:val="19"/>
              </w:rPr>
              <w:t xml:space="preserve">52,9 / 100 (49% con confianza)</w:t>
            </w:r>
          </w:p>
        </w:tc>
        <w:tc>
          <w:tcPr>
            <w:tcW w:type="dxa" w:w="3400"/>
            <w:shd w:fill="F2F2F2" w:val="clear"/>
            <w:tcMar>
              <w:top w:type="dxa" w:w="80"/>
              <w:left w:type="dxa" w:w="100"/>
              <w:bottom w:type="dxa" w:w="80"/>
              <w:right w:type="dxa" w:w="100"/>
            </w:tcMar>
          </w:tcPr>
          <w:p>
            <w:pPr>
              <w:jc w:val="center"/>
            </w:pPr>
            <w:r>
              <w:rPr>
                <w:b w:val="false"/>
                <w:bCs w:val="false"/>
                <w:sz w:val="19"/>
                <w:szCs w:val="19"/>
              </w:rPr>
              <w:t xml:space="preserve">Barómetro de las Américas / Latinobarómetro</w:t>
            </w:r>
          </w:p>
        </w:tc>
      </w:tr>
      <w:tr>
        <w:tc>
          <w:tcPr>
            <w:tcW w:type="dxa" w:w="1400"/>
            <w:tcMar>
              <w:top w:type="dxa" w:w="80"/>
              <w:left w:type="dxa" w:w="100"/>
              <w:bottom w:type="dxa" w:w="80"/>
              <w:right w:type="dxa" w:w="100"/>
            </w:tcMar>
          </w:tcPr>
          <w:p>
            <w:pPr>
              <w:jc w:val="left"/>
            </w:pPr>
            <w:r>
              <w:rPr>
                <w:b w:val="false"/>
                <w:bCs w:val="false"/>
                <w:sz w:val="19"/>
                <w:szCs w:val="19"/>
              </w:rPr>
              <w:t xml:space="preserve">2020</w:t>
            </w:r>
          </w:p>
        </w:tc>
        <w:tc>
          <w:tcPr>
            <w:tcW w:type="dxa" w:w="4400"/>
            <w:tcMar>
              <w:top w:type="dxa" w:w="80"/>
              <w:left w:type="dxa" w:w="100"/>
              <w:bottom w:type="dxa" w:w="80"/>
              <w:right w:type="dxa" w:w="100"/>
            </w:tcMar>
          </w:tcPr>
          <w:p>
            <w:pPr>
              <w:jc w:val="center"/>
            </w:pPr>
            <w:r>
              <w:rPr>
                <w:b w:val="false"/>
                <w:bCs w:val="false"/>
                <w:sz w:val="19"/>
                <w:szCs w:val="19"/>
              </w:rPr>
              <w:t xml:space="preserve">40,4% — mínimo de la serie</w:t>
            </w:r>
          </w:p>
        </w:tc>
        <w:tc>
          <w:tcPr>
            <w:tcW w:type="dxa" w:w="3400"/>
            <w:tcMar>
              <w:top w:type="dxa" w:w="80"/>
              <w:left w:type="dxa" w:w="100"/>
              <w:bottom w:type="dxa" w:w="80"/>
              <w:right w:type="dxa" w:w="100"/>
            </w:tcMar>
          </w:tcPr>
          <w:p>
            <w:pPr>
              <w:jc w:val="center"/>
            </w:pPr>
            <w:r>
              <w:rPr>
                <w:b w:val="false"/>
                <w:bCs w:val="false"/>
                <w:sz w:val="19"/>
                <w:szCs w:val="19"/>
              </w:rPr>
              <w:t xml:space="preserve">Latinobarómetro</w:t>
            </w:r>
          </w:p>
        </w:tc>
      </w:tr>
      <w:tr>
        <w:tc>
          <w:tcPr>
            <w:tcW w:type="dxa" w:w="1400"/>
            <w:shd w:fill="F2F2F2" w:val="clear"/>
            <w:tcMar>
              <w:top w:type="dxa" w:w="80"/>
              <w:left w:type="dxa" w:w="100"/>
              <w:bottom w:type="dxa" w:w="80"/>
              <w:right w:type="dxa" w:w="100"/>
            </w:tcMar>
          </w:tcPr>
          <w:p>
            <w:pPr>
              <w:jc w:val="left"/>
            </w:pPr>
            <w:r>
              <w:rPr>
                <w:b w:val="false"/>
                <w:bCs w:val="false"/>
                <w:sz w:val="19"/>
                <w:szCs w:val="19"/>
              </w:rPr>
              <w:t xml:space="preserve">2023</w:t>
            </w:r>
          </w:p>
        </w:tc>
        <w:tc>
          <w:tcPr>
            <w:tcW w:type="dxa" w:w="4400"/>
            <w:shd w:fill="F2F2F2" w:val="clear"/>
            <w:tcMar>
              <w:top w:type="dxa" w:w="80"/>
              <w:left w:type="dxa" w:w="100"/>
              <w:bottom w:type="dxa" w:w="80"/>
              <w:right w:type="dxa" w:w="100"/>
            </w:tcMar>
          </w:tcPr>
          <w:p>
            <w:pPr>
              <w:jc w:val="center"/>
            </w:pPr>
            <w:r>
              <w:rPr>
                <w:b w:val="false"/>
                <w:bCs w:val="false"/>
                <w:sz w:val="19"/>
                <w:szCs w:val="19"/>
              </w:rPr>
              <w:t xml:space="preserve">46,1% — 3° país de mayor confianza en A. Latina (tras El Salvador y Uruguay)</w:t>
            </w:r>
          </w:p>
        </w:tc>
        <w:tc>
          <w:tcPr>
            <w:tcW w:type="dxa" w:w="3400"/>
            <w:shd w:fill="F2F2F2" w:val="clear"/>
            <w:tcMar>
              <w:top w:type="dxa" w:w="80"/>
              <w:left w:type="dxa" w:w="100"/>
              <w:bottom w:type="dxa" w:w="80"/>
              <w:right w:type="dxa" w:w="100"/>
            </w:tcMar>
          </w:tcPr>
          <w:p>
            <w:pPr>
              <w:jc w:val="center"/>
            </w:pPr>
            <w:r>
              <w:rPr>
                <w:b w:val="false"/>
                <w:bCs w:val="false"/>
                <w:sz w:val="19"/>
                <w:szCs w:val="19"/>
              </w:rPr>
              <w:t xml:space="preserve">Latinobarómetro</w:t>
            </w:r>
          </w:p>
        </w:tc>
      </w:tr>
    </w:tbl>
    <w:p>
      <w:pPr>
        <w:spacing w:after="260"/>
      </w:pPr>
      <w:r>
        <w:rPr>
          <w:i/>
          <w:iCs/>
          <w:color w:val="595959"/>
          <w:sz w:val="18"/>
          <w:szCs w:val="18"/>
        </w:rPr>
        <w:t xml:space="preserve">Fuente: elaboración propia a partir de los cinco Informes Estado de la Justicia, serie Barómetro de las Américas (Universidad de Vanderbilt) y Latinobarómetro.</w:t>
      </w:r>
    </w:p>
    <w:p>
      <w:pPr>
        <w:spacing w:after="80" w:before="12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81300"/>
                    </a:xfrm>
                    <a:prstGeom prst="rect">
                      <a:avLst/>
                    </a:prstGeom>
                  </pic:spPr>
                </pic:pic>
              </a:graphicData>
            </a:graphic>
          </wp:inline>
        </w:drawing>
      </w:r>
    </w:p>
    <w:p>
      <w:pPr>
        <w:spacing w:after="260"/>
      </w:pPr>
      <w:r>
        <w:rPr>
          <w:i/>
          <w:iCs/>
          <w:color w:val="595959"/>
          <w:sz w:val="18"/>
          <w:szCs w:val="18"/>
        </w:rPr>
        <w:t xml:space="preserve">Figura 3. Confianza ciudadana en el Poder Judicial, 2004-2023. El punto en rojo marca el piso histórico de la serie (2020).</w:t>
      </w:r>
    </w:p>
    <w:p>
      <w:pPr>
        <w:spacing w:after="200" w:line="300"/>
        <w:jc w:val="both"/>
      </w:pPr>
      <w:r>
        <w:rPr>
          <w:b w:val="false"/>
          <w:bCs w:val="false"/>
          <w:i w:val="false"/>
          <w:iCs w:val="false"/>
        </w:rPr>
        <w:t xml:space="preserve">Dos lecturas adicionales matizan esta trayectoria. Primero, la confianza costarricense en su Poder Judicial, pese a la caída, se ha mantenido sistemáticamente por encima del promedio latinoamericano —30,1% en 2023, frente al 46,1% costarricense— y la Corte continúa siendo, dentro del propio sistema institucional del país, una de las entidades mejor evaluadas, superada únicamente por la policía según el Tercer Informe (2020). Segundo, la desagregación por órgano que introduce el CIEP-UCR desde el Tercer Informe muestra comportamientos divergentes dentro del propio conglomerado judicial: el OIJ es sistemáticamente mejor evaluado (7,3 a 7,5 sobre 10 entre 2013 y 2018) que la Sala Constitucional, cuya calificación cae de 6,6 (2012) a 5,7 (2018) —su mínimo histórico hasta entonces— y a apenas 38,2% de confianza declarada en la encuesta CIEP-UCR 2024 citada por el Quinto Informe.</w:t>
      </w:r>
    </w:p>
    <w:p>
      <w:pPr>
        <w:spacing w:after="200" w:line="300"/>
        <w:jc w:val="both"/>
      </w:pPr>
      <w:r>
        <w:rPr>
          <w:b w:val="false"/>
          <w:bCs w:val="false"/>
          <w:i w:val="false"/>
          <w:iCs w:val="false"/>
        </w:rPr>
        <w:t xml:space="preserve">La correlación entre exposición mediática y confianza es otro hallazgo transversal: el Primer Informe (2015) ya documenta que las noticias de enfoque negativo, aunque nunca superan el 25% del total anual, son 43,7% más extensas que las neutrales y aparecen desproporcionadamente en portada; el Tercer Informe (2020) registra que las notas periodísticas sobre el Poder Judicial crecieron 48,3% entre 2014 y 2018; y el Quinto Informe (2025) eleva esa cifra a 29.232 noticias entre 2014 y 2023, con un 81,8% concentrado en la sección de sucesos —de tono más sensacionalista— y un 82,8% referido a temas penales.</w:t>
      </w:r>
    </w:p>
    <w:p>
      <w:pPr>
        <w:pStyle w:val="Heading1"/>
        <w:spacing w:after="240" w:before="480"/>
      </w:pPr>
      <w:r>
        <w:t xml:space="preserve">9. Acceso a la justicia y tutela efectiva de derechos: los temas de cada edición</w:t>
      </w:r>
    </w:p>
    <w:p>
      <w:pPr>
        <w:spacing w:after="200" w:line="300"/>
        <w:jc w:val="both"/>
      </w:pPr>
      <w:r>
        <w:rPr>
          <w:b w:val="false"/>
          <w:bCs w:val="false"/>
          <w:i w:val="false"/>
          <w:iCs w:val="false"/>
        </w:rPr>
        <w:t xml:space="preserve">Cada edición de la serie dedica sus capítulos de "investigación en profundidad" a una población o materia distinta, lo que impide construir series estrictamente comparables en este ámbito, pero permite trazar un mapa acumulativo de los grupos y derechos que el propio Poder Judicial ha identificado como prioritarios de estudio a lo largo de la década: salud (2015), privación de libertad y OIJ (2017), reformas procesales de tres materias (2020), contencioso-administrativo y expropiaciones (2022), y violencia contra las mujeres junto con población migrante y refugiada (2025).</w:t>
      </w:r>
    </w:p>
    <w:p>
      <w:pPr>
        <w:pStyle w:val="Heading3"/>
        <w:spacing w:after="120" w:before="240"/>
      </w:pPr>
      <w:r>
        <w:t xml:space="preserve">Salud (2015)</w:t>
      </w:r>
    </w:p>
    <w:p>
      <w:pPr>
        <w:spacing w:after="200" w:line="300"/>
        <w:jc w:val="both"/>
      </w:pPr>
      <w:r>
        <w:rPr>
          <w:b w:val="false"/>
          <w:bCs w:val="false"/>
          <w:i w:val="false"/>
          <w:iCs w:val="false"/>
        </w:rPr>
        <w:t xml:space="preserve">Entre enero de 2009 y octubre de 2013 se recibieron 67.915 recursos de amparo, de los cuales 9.788 (14,4%) se dirigieron contra la Caja Costarricense de Seguro Social. La tasa de éxito global de los amparos por medicamentos fue de 58,1%, y llegó a 79,4% en el caso de medicamentos oncológicos —muy por encima del 25% de éxito promedio del resto de amparos—, con un impacto fiscal proporcionalmente bajo: los medicamentos entregados por esta vía representaron apenas 1,5% del presupuesto total de medicamentos de la CCSS.</w:t>
      </w:r>
    </w:p>
    <w:p>
      <w:pPr>
        <w:pStyle w:val="Heading3"/>
        <w:spacing w:after="120" w:before="240"/>
      </w:pPr>
      <w:r>
        <w:t xml:space="preserve">Privación de libertad (2017)</w:t>
      </w:r>
    </w:p>
    <w:p>
      <w:pPr>
        <w:spacing w:after="200" w:line="300"/>
        <w:jc w:val="both"/>
      </w:pPr>
      <w:r>
        <w:rPr>
          <w:b w:val="false"/>
          <w:bCs w:val="false"/>
          <w:i w:val="false"/>
          <w:iCs w:val="false"/>
        </w:rPr>
        <w:t xml:space="preserve">La población carcelaria por cada 100.000 habitantes aumentó 60% en la década previa a 2016; el perfil de la población privada de libertad mostraba una tasa de analfabetismo (4,7%) casi el doble del promedio nacional (2,4%). El informe identifica tres causas convergentes del aumento: más sentencias condenatorias, la entrada en operación de los tribunales de flagrancia desde 2008, y un mayor uso y duración de la prisión preventiva.</w:t>
      </w:r>
    </w:p>
    <w:p>
      <w:pPr>
        <w:pStyle w:val="Heading3"/>
        <w:spacing w:after="120" w:before="240"/>
      </w:pPr>
      <w:r>
        <w:t xml:space="preserve">Reformas procesales de tres décadas (2020)</w:t>
      </w:r>
    </w:p>
    <w:p>
      <w:pPr>
        <w:spacing w:after="200" w:line="300"/>
        <w:jc w:val="both"/>
      </w:pPr>
      <w:r>
        <w:rPr>
          <w:b w:val="false"/>
          <w:bCs w:val="false"/>
          <w:i w:val="false"/>
          <w:iCs w:val="false"/>
        </w:rPr>
        <w:t xml:space="preserve">El análisis comparado de las reformas penal (1998), contencioso-administrativa (2008) y laboral (2017) encuentra un patrón común: mejoras iniciales en los indicadores de duración tras la entrada en vigencia de cada reforma, seguidas de un retorno gradual a tendencias de deterioro en el mediano plazo, sin que ninguna de las tres reformas haya sostenido una mejora estructural más allá de sus primeros cinco años de implementación.</w:t>
      </w:r>
    </w:p>
    <w:p>
      <w:pPr>
        <w:pStyle w:val="Heading3"/>
        <w:spacing w:after="120" w:before="240"/>
      </w:pPr>
      <w:r>
        <w:t xml:space="preserve">Contencioso-administrativo, expropiaciones y pandemia (2022)</w:t>
      </w:r>
    </w:p>
    <w:p>
      <w:pPr>
        <w:spacing w:after="200" w:line="300"/>
        <w:jc w:val="both"/>
      </w:pPr>
      <w:r>
        <w:rPr>
          <w:b w:val="false"/>
          <w:bCs w:val="false"/>
          <w:i w:val="false"/>
          <w:iCs w:val="false"/>
        </w:rPr>
        <w:t xml:space="preserve">Doce a catorce años después de la reforma de 2008, persisten riesgos de acceso limitado por concentración geográfica en San José (94 de cada 100 expedientes muestreados) y duraciones que alcanzan hasta 2.916 días en el extremo superior. El aporte especial sobre expropiaciones documenta que el fortalecimiento del juzgado especializado llegó después del pico de casos, y una concentración muy alta de peritos judiciales en un grupo reducido de profesionales.</w:t>
      </w:r>
    </w:p>
    <w:p>
      <w:pPr>
        <w:pStyle w:val="Heading3"/>
        <w:spacing w:after="120" w:before="240"/>
      </w:pPr>
      <w:r>
        <w:t xml:space="preserve">Violencia contra las mujeres y población migrante (2025)</w:t>
      </w:r>
    </w:p>
    <w:p>
      <w:pPr>
        <w:spacing w:after="200" w:line="300"/>
        <w:jc w:val="both"/>
      </w:pPr>
      <w:r>
        <w:rPr>
          <w:b w:val="false"/>
          <w:bCs w:val="false"/>
          <w:i w:val="false"/>
          <w:iCs w:val="false"/>
        </w:rPr>
        <w:t xml:space="preserve">Con más de 34.000 denuncias anuales por delitos sexuales y contra mujeres, y más de 80.000 al sumar violencia doméstica, solo entre el 13% y el 13,6% de las denuncias llega a apertura a juicio; de cada cien denuncias por violación, femicidio o maltrato, apenas dieciséis alcanzan una sentencia de tribunal, y los delitos sexuales registran duraciones promedio superiores a los 4.000 días. En paralelo, la población con necesidad de protección internacional —233.934 personas a septiembre de 2024, la mayoría de origen nicaragüense desde 2018— enfrenta una tasa de resolución favorable en la Sala Constitucional de apenas 11% en el último quinquenio, con esperas de más de cinco años por una resolución de refugio.</w:t>
      </w:r>
    </w:p>
    <w:p>
      <w:pPr>
        <w:pStyle w:val="Heading1"/>
        <w:spacing w:after="240" w:before="480"/>
      </w:pPr>
      <w:r>
        <w:t xml:space="preserve">10. Síntesis: una década de continuidades, un quiebre reciente</w:t>
      </w:r>
    </w:p>
    <w:p>
      <w:pPr>
        <w:spacing w:after="200" w:line="300"/>
        <w:jc w:val="both"/>
      </w:pPr>
      <w:r>
        <w:rPr>
          <w:b w:val="false"/>
          <w:bCs w:val="false"/>
          <w:i w:val="false"/>
          <w:iCs w:val="false"/>
        </w:rPr>
        <w:t xml:space="preserve">El ejercicio de seguimiento que la propia serie institucionaliza desde 2017 —cada informe evalúa explícitamente si los desafíos señalados en la edición anterior mejoraron, empeoraron o permanecieron sin cambios— permite construir una síntesis de cierre organizada en tres categorías.</w:t>
      </w:r>
    </w:p>
    <w:p>
      <w:pPr>
        <w:pStyle w:val="Heading2"/>
        <w:spacing w:after="160" w:before="360"/>
      </w:pPr>
      <w:r>
        <w:t xml:space="preserve">10.1 Lo que mejoró de forma sostenida</w:t>
      </w:r>
    </w:p>
    <w:p>
      <w:pPr>
        <w:pStyle w:val="ListParagraph"/>
        <w:numPr>
          <w:ilvl w:val="0"/>
          <w:numId w:val="1"/>
        </w:numPr>
        <w:spacing w:after="120" w:line="280"/>
        <w:jc w:val="both"/>
      </w:pPr>
      <w:r>
        <w:t xml:space="preserve">Hacinamiento carcelario: es, según el propio Cuarto Informe (2022), "el único desafío con mejora clara y sostenida" de todo el sistema de seguimiento —la tasa bajó de más de 30 por mil habitantes (hasta 2019) a cerca de 5 por mil en febrero de 2022, gracias a la apertura de nuevos centros penitenciarios.</w:t>
      </w:r>
    </w:p>
    <w:p>
      <w:pPr>
        <w:pStyle w:val="ListParagraph"/>
        <w:numPr>
          <w:ilvl w:val="0"/>
          <w:numId w:val="1"/>
        </w:numPr>
        <w:spacing w:after="120" w:line="280"/>
        <w:jc w:val="both"/>
      </w:pPr>
      <w:r>
        <w:t xml:space="preserve">Cumplimiento de sentencias de la Sala Constitucional contra la CCSS: el acatamiento dentro de plazo mejoró de 20% (2009-2013) a 53% (2013-2016), según el Segundo Informe.</w:t>
      </w:r>
    </w:p>
    <w:p>
      <w:pPr>
        <w:pStyle w:val="ListParagraph"/>
        <w:numPr>
          <w:ilvl w:val="0"/>
          <w:numId w:val="1"/>
        </w:numPr>
        <w:spacing w:after="120" w:line="280"/>
        <w:jc w:val="both"/>
      </w:pPr>
      <w:r>
        <w:t xml:space="preserve">Continuidad de servicios durante la pandemia: ninguna jurisdicción cerró por completo en 2020-2021, gracias a inversión tecnológica previa —el propio Cuarto Informe lo señala como el logro central del período analizado.</w:t>
      </w:r>
    </w:p>
    <w:p>
      <w:pPr>
        <w:pStyle w:val="ListParagraph"/>
        <w:numPr>
          <w:ilvl w:val="0"/>
          <w:numId w:val="1"/>
        </w:numPr>
        <w:spacing w:after="120" w:line="280"/>
        <w:jc w:val="both"/>
      </w:pPr>
      <w:r>
        <w:t xml:space="preserve">Justicia electrónica y virtualización: crecimiento sostenido y sin reversión de trámites, notificaciones y consultas digitales entre 2018 y 2024.</w:t>
      </w:r>
    </w:p>
    <w:p>
      <w:pPr>
        <w:pStyle w:val="Heading2"/>
        <w:spacing w:after="160" w:before="360"/>
      </w:pPr>
      <w:r>
        <w:t xml:space="preserve">10.2 Lo que se mantuvo sin resolverse</w:t>
      </w:r>
    </w:p>
    <w:p>
      <w:pPr>
        <w:pStyle w:val="ListParagraph"/>
        <w:numPr>
          <w:ilvl w:val="0"/>
          <w:numId w:val="1"/>
        </w:numPr>
        <w:spacing w:after="120" w:line="280"/>
        <w:jc w:val="both"/>
      </w:pPr>
      <w:r>
        <w:t xml:space="preserve">Concentración de poder en la Corte Plena y ausencia de desconcentración real hacia el Consejo Superior: documentado en las cinco ediciones sin excepción, y confirmado explícitamente como bloqueado en 2025 ("la única de diez mesas de reforma urgente que sigue sin votarse").</w:t>
      </w:r>
    </w:p>
    <w:p>
      <w:pPr>
        <w:pStyle w:val="ListParagraph"/>
        <w:numPr>
          <w:ilvl w:val="0"/>
          <w:numId w:val="1"/>
        </w:numPr>
        <w:spacing w:after="120" w:line="280"/>
        <w:jc w:val="both"/>
      </w:pPr>
      <w:r>
        <w:t xml:space="preserve">Opacidad del sistema de nombramiento de magistrados y jueces: votación secreta, entrevista discrecional, ausencia de evaluación de desempeño de los candidatos —constante desde 2015 hasta 2025, pese a recomendaciones reiteradas de la ONU.</w:t>
      </w:r>
    </w:p>
    <w:p>
      <w:pPr>
        <w:pStyle w:val="ListParagraph"/>
        <w:numPr>
          <w:ilvl w:val="0"/>
          <w:numId w:val="1"/>
        </w:numPr>
        <w:spacing w:after="120" w:line="280"/>
        <w:jc w:val="both"/>
      </w:pPr>
      <w:r>
        <w:t xml:space="preserve">Productividad judicial y mora: los "casos terminados por juez" nunca recuperaron, ni siquiera en 2023-2024, los niveles del año 2000, pese a que el presupuesto y el personal por habitante casi se cuadruplicaron en el mismo período.</w:t>
      </w:r>
    </w:p>
    <w:p>
      <w:pPr>
        <w:pStyle w:val="ListParagraph"/>
        <w:numPr>
          <w:ilvl w:val="0"/>
          <w:numId w:val="1"/>
        </w:numPr>
        <w:spacing w:after="120" w:line="280"/>
        <w:jc w:val="both"/>
      </w:pPr>
      <w:r>
        <w:t xml:space="preserve">Capacidad sancionatoria del régimen disciplinario y de la vía penal contra la corrupción judicial: tasas de sanción y de condena consistentemente bajas (7-18% en la vía disciplinaria; 3-7% en la vía penal) en todas las mediciones disponibles.</w:t>
      </w:r>
    </w:p>
    <w:p>
      <w:pPr>
        <w:pStyle w:val="ListParagraph"/>
        <w:numPr>
          <w:ilvl w:val="0"/>
          <w:numId w:val="1"/>
        </w:numPr>
        <w:spacing w:after="120" w:line="280"/>
        <w:jc w:val="both"/>
      </w:pPr>
      <w:r>
        <w:t xml:space="preserve">Brecha de información y comparabilidad estadística: los propios informes reportan de forma recurrente la imposibilidad de actualizar series completas por deficiencias en los sistemas de información del Poder Judicial —un problema señalado ya en 2015 y todavía vigente, agravado por el cambio de plataforma estadística (Anuario Judicial → Observatorio Judicial) ocurrido en 2021.</w:t>
      </w:r>
    </w:p>
    <w:p>
      <w:pPr>
        <w:pStyle w:val="Heading2"/>
        <w:spacing w:after="160" w:before="360"/>
      </w:pPr>
      <w:r>
        <w:t xml:space="preserve">10.3 Lo que emergió o se agravó abruptamente</w:t>
      </w:r>
    </w:p>
    <w:p>
      <w:pPr>
        <w:pStyle w:val="ListParagraph"/>
        <w:numPr>
          <w:ilvl w:val="0"/>
          <w:numId w:val="1"/>
        </w:numPr>
        <w:spacing w:after="120" w:line="280"/>
        <w:jc w:val="both"/>
      </w:pPr>
      <w:r>
        <w:t xml:space="preserve">Ataques políticos al Poder Judicial desde el Ejecutivo: fenómeno prácticamente inexistente hasta 2022 y central en el diagnóstico de 2025, con correlato directo en la caída de los índices internacionales de estado de derecho y democracia liberal.</w:t>
      </w:r>
    </w:p>
    <w:p>
      <w:pPr>
        <w:pStyle w:val="ListParagraph"/>
        <w:numPr>
          <w:ilvl w:val="0"/>
          <w:numId w:val="1"/>
        </w:numPr>
        <w:spacing w:after="120" w:line="280"/>
        <w:jc w:val="both"/>
      </w:pPr>
      <w:r>
        <w:t xml:space="preserve">Violencia criminal directa contra personal e instalaciones judiciales: ausente de las ediciones 2015-2022, documentada por primera vez en 2025.</w:t>
      </w:r>
    </w:p>
    <w:p>
      <w:pPr>
        <w:pStyle w:val="ListParagraph"/>
        <w:numPr>
          <w:ilvl w:val="0"/>
          <w:numId w:val="1"/>
        </w:numPr>
        <w:spacing w:after="120" w:line="280"/>
        <w:jc w:val="both"/>
      </w:pPr>
      <w:r>
        <w:t xml:space="preserve">Contracción presupuestaria real: interrumpe por primera vez en la serie, entre 2019 y 2021, una tendencia de crecimiento sostenido de tres décadas.</w:t>
      </w:r>
    </w:p>
    <w:p>
      <w:pPr>
        <w:pStyle w:val="ListParagraph"/>
        <w:numPr>
          <w:ilvl w:val="0"/>
          <w:numId w:val="1"/>
        </w:numPr>
        <w:spacing w:after="120" w:line="280"/>
        <w:jc w:val="both"/>
      </w:pPr>
      <w:r>
        <w:t xml:space="preserve">Impacto de la pandemia de covid-19 sobre el circulante y las duraciones (2020-2021): quiebre coyuntural, con recuperación parcial posterior que ninguna edición interpreta como resuelta de forma estructural.</w:t>
      </w:r>
    </w:p>
    <w:p>
      <w:pPr>
        <w:pStyle w:val="Heading1"/>
        <w:spacing w:after="240" w:before="480"/>
      </w:pPr>
      <w:r>
        <w:t xml:space="preserve">11. Conclusiones y agenda pendiente</w:t>
      </w:r>
    </w:p>
    <w:p>
      <w:pPr>
        <w:spacing w:after="200" w:line="300"/>
        <w:jc w:val="both"/>
      </w:pPr>
      <w:r>
        <w:rPr>
          <w:b w:val="false"/>
          <w:bCs w:val="false"/>
          <w:i w:val="false"/>
          <w:iCs w:val="false"/>
        </w:rPr>
        <w:t xml:space="preserve">Leída como serie continua, la trayectoria del sistema judicial costarricense entre 2015 y 2025 no admite una narrativa única de "mejora" o "deterioro": conviven, en el mismo período, una erosión marcada y bien documentada de la independencia judicial frente al poder político —el hallazgo más nuevo y más grave de la serie— con una notable estabilidad institucional en la resolución de problemas de gestión interna, donde los mismos diagnósticos se repiten edición tras edición sin que la Corte Suprema logre, o decida, modificar su propio diseño de gobierno.</w:t>
      </w:r>
    </w:p>
    <w:p>
      <w:pPr>
        <w:spacing w:after="200" w:line="300"/>
        <w:jc w:val="both"/>
      </w:pPr>
      <w:r>
        <w:rPr>
          <w:b w:val="false"/>
          <w:bCs w:val="false"/>
          <w:i w:val="false"/>
          <w:iCs w:val="false"/>
        </w:rPr>
        <w:t xml:space="preserve">Esa combinación —erosión externa aguda, estancamiento interno crónico— es, posiblemente, la conclusión más importante que ofrece la lectura longitudinal de los cinco informes: un Poder Judicial que llega a 2025 bajo un ataque político sin precedentes desde una posición de debilidad institucional previa y ya diagnosticada, no adquirida durante la crisis reciente. La opacidad en el nombramiento de magistrados, la concentración de funciones en la Corte Plena y la baja capacidad de sanción interna frente a la corrupción no son daños colaterales de la conflictividad 2022-2025: son condiciones estructurales documentadas desde el Primer Informe (2015), que la propia serie describe como "dominios reservados" que ninguna crisis —ni la de 2016-2018, ni la fiscal de 2018, ni la pandemia de 2020, ni el ataque político de 2022-2025— ha logrado desbloquear.</w:t>
      </w:r>
    </w:p>
    <w:p>
      <w:pPr>
        <w:spacing w:after="200" w:line="300"/>
        <w:jc w:val="both"/>
      </w:pPr>
      <w:r>
        <w:rPr>
          <w:b w:val="false"/>
          <w:bCs w:val="false"/>
          <w:i w:val="false"/>
          <w:iCs w:val="false"/>
        </w:rPr>
        <w:t xml:space="preserve">La renovación de catorce de las veintidós magistraturas ante la Asamblea Legislativa electa en febrero de 2026 constituye, en ese sentido, el punto de inflexión más inmediato hacia adelante: será la primera oportunidad, tras el diagnóstico del Quinto Informe, para observar si el sistema de nombramiento que la serie ha señalado como opaco desde 2015 se modifica bajo el actual nivel de escrutinio político y ciudadano, o si —como ha ocurrido en cada ciclo anterior documentado por la serie— se mantiene sin cambios pese al consenso diagnóstico acumulado durante una década de informes.</w:t>
      </w:r>
    </w:p>
    <w:p>
      <w:pPr>
        <w:pStyle w:val="Heading1"/>
        <w:spacing w:after="240" w:before="480"/>
      </w:pPr>
      <w:r>
        <w:t xml:space="preserve">12. Glosario de acrónimos y siglas</w:t>
      </w:r>
    </w:p>
    <w:p>
      <w:pPr>
        <w:spacing w:after="200" w:line="300"/>
        <w:jc w:val="both"/>
      </w:pPr>
      <w:r>
        <w:rPr>
          <w:b w:val="false"/>
          <w:bCs w:val="false"/>
          <w:i w:val="false"/>
          <w:iCs w:val="false"/>
        </w:rPr>
        <w:t xml:space="preserve">Los términos institucionales de uso corriente en Costa Rica —Poder Judicial, Corte Suprema de Justicia, Corte Plena, Sala Constitucional, Consejo Superior— se emplean en el cuerpo del informe sin abreviar. El siguiente glosario cubre únicamente las siglas y acrónimos utilizados a lo largo del texto.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tcMar>
              <w:top w:type="dxa" w:w="80"/>
              <w:left w:type="dxa" w:w="100"/>
              <w:bottom w:type="dxa" w:w="80"/>
              <w:right w:type="dxa" w:w="100"/>
            </w:tcMar>
          </w:tcPr>
          <w:p>
            <w:pPr>
              <w:jc w:val="left"/>
            </w:pPr>
            <w:r>
              <w:rPr>
                <w:b/>
                <w:bCs/>
                <w:sz w:val="19"/>
                <w:szCs w:val="19"/>
              </w:rPr>
              <w:t xml:space="preserve">CCSS</w:t>
            </w:r>
          </w:p>
        </w:tc>
        <w:tc>
          <w:tcPr>
            <w:tcW w:type="dxa" w:w="8000"/>
            <w:tcMar>
              <w:top w:type="dxa" w:w="80"/>
              <w:left w:type="dxa" w:w="100"/>
              <w:bottom w:type="dxa" w:w="80"/>
              <w:right w:type="dxa" w:w="100"/>
            </w:tcMar>
          </w:tcPr>
          <w:p>
            <w:pPr>
              <w:jc w:val="left"/>
            </w:pPr>
            <w:r>
              <w:rPr>
                <w:b w:val="false"/>
                <w:bCs w:val="false"/>
                <w:sz w:val="19"/>
                <w:szCs w:val="19"/>
              </w:rPr>
              <w:t xml:space="preserve">Caja Costarricense de Seguro Social — institución pública encargada de la seguridad social y la salud pública en Costa Rica, receptora frecuente de amparos y consultas judiciales.</w:t>
            </w:r>
          </w:p>
        </w:tc>
      </w:tr>
      <w:tr>
        <w:tc>
          <w:tcPr>
            <w:tcW w:type="dxa" w:w="1600"/>
            <w:shd w:fill="F2F2F2" w:val="clear"/>
            <w:tcMar>
              <w:top w:type="dxa" w:w="80"/>
              <w:left w:type="dxa" w:w="100"/>
              <w:bottom w:type="dxa" w:w="80"/>
              <w:right w:type="dxa" w:w="100"/>
            </w:tcMar>
          </w:tcPr>
          <w:p>
            <w:pPr>
              <w:jc w:val="left"/>
            </w:pPr>
            <w:r>
              <w:rPr>
                <w:b/>
                <w:bCs/>
                <w:sz w:val="19"/>
                <w:szCs w:val="19"/>
              </w:rPr>
              <w:t xml:space="preserve">CEJA</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Centro de Estudios de Justicia de las Américas — organismo interamericano que produce indicadores comparados de acceso a la información judicial en la región.</w:t>
            </w:r>
          </w:p>
        </w:tc>
      </w:tr>
      <w:tr>
        <w:tc>
          <w:tcPr>
            <w:tcW w:type="dxa" w:w="1600"/>
            <w:tcMar>
              <w:top w:type="dxa" w:w="80"/>
              <w:left w:type="dxa" w:w="100"/>
              <w:bottom w:type="dxa" w:w="80"/>
              <w:right w:type="dxa" w:w="100"/>
            </w:tcMar>
          </w:tcPr>
          <w:p>
            <w:pPr>
              <w:jc w:val="left"/>
            </w:pPr>
            <w:r>
              <w:rPr>
                <w:b/>
                <w:bCs/>
                <w:sz w:val="19"/>
                <w:szCs w:val="19"/>
              </w:rPr>
              <w:t xml:space="preserve">CIEP-UCR</w:t>
            </w:r>
          </w:p>
        </w:tc>
        <w:tc>
          <w:tcPr>
            <w:tcW w:type="dxa" w:w="8000"/>
            <w:tcMar>
              <w:top w:type="dxa" w:w="80"/>
              <w:left w:type="dxa" w:w="100"/>
              <w:bottom w:type="dxa" w:w="80"/>
              <w:right w:type="dxa" w:w="100"/>
            </w:tcMar>
          </w:tcPr>
          <w:p>
            <w:pPr>
              <w:jc w:val="left"/>
            </w:pPr>
            <w:r>
              <w:rPr>
                <w:b w:val="false"/>
                <w:bCs w:val="false"/>
                <w:sz w:val="19"/>
                <w:szCs w:val="19"/>
              </w:rPr>
              <w:t xml:space="preserve">Centro de Investigación y Estudios Políticos de la Universidad de Costa Rica — fuente de las encuestas de percepción ciudadana sobre el Poder Judicial citadas en el informe.</w:t>
            </w:r>
          </w:p>
        </w:tc>
      </w:tr>
      <w:tr>
        <w:tc>
          <w:tcPr>
            <w:tcW w:type="dxa" w:w="1600"/>
            <w:shd w:fill="F2F2F2" w:val="clear"/>
            <w:tcMar>
              <w:top w:type="dxa" w:w="80"/>
              <w:left w:type="dxa" w:w="100"/>
              <w:bottom w:type="dxa" w:w="80"/>
              <w:right w:type="dxa" w:w="100"/>
            </w:tcMar>
          </w:tcPr>
          <w:p>
            <w:pPr>
              <w:jc w:val="left"/>
            </w:pPr>
            <w:r>
              <w:rPr>
                <w:b/>
                <w:bCs/>
                <w:sz w:val="19"/>
                <w:szCs w:val="19"/>
              </w:rPr>
              <w:t xml:space="preserve">CONARE</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Consejo Nacional de Rectores — órgano de coordinación de las universidades públicas costarricenses; entidad editora, junto con el PEN, del Informe Estado de la Justicia.</w:t>
            </w:r>
          </w:p>
        </w:tc>
      </w:tr>
      <w:tr>
        <w:tc>
          <w:tcPr>
            <w:tcW w:type="dxa" w:w="1600"/>
            <w:tcMar>
              <w:top w:type="dxa" w:w="80"/>
              <w:left w:type="dxa" w:w="100"/>
              <w:bottom w:type="dxa" w:w="80"/>
              <w:right w:type="dxa" w:w="100"/>
            </w:tcMar>
          </w:tcPr>
          <w:p>
            <w:pPr>
              <w:jc w:val="left"/>
            </w:pPr>
            <w:r>
              <w:rPr>
                <w:b/>
                <w:bCs/>
                <w:sz w:val="19"/>
                <w:szCs w:val="19"/>
              </w:rPr>
              <w:t xml:space="preserve">CPEN</w:t>
            </w:r>
          </w:p>
        </w:tc>
        <w:tc>
          <w:tcPr>
            <w:tcW w:type="dxa" w:w="8000"/>
            <w:tcMar>
              <w:top w:type="dxa" w:w="80"/>
              <w:left w:type="dxa" w:w="100"/>
              <w:bottom w:type="dxa" w:w="80"/>
              <w:right w:type="dxa" w:w="100"/>
            </w:tcMar>
          </w:tcPr>
          <w:p>
            <w:pPr>
              <w:jc w:val="left"/>
            </w:pPr>
            <w:r>
              <w:rPr>
                <w:b w:val="false"/>
                <w:bCs w:val="false"/>
                <w:sz w:val="19"/>
                <w:szCs w:val="19"/>
              </w:rPr>
              <w:t xml:space="preserve">Comisión Permanente Especial de Nombramientos — comisión de la Asamblea Legislativa que evalúa a las personas candidatas a magistraturas antes de su votación en el plenario.</w:t>
            </w:r>
          </w:p>
        </w:tc>
      </w:tr>
      <w:tr>
        <w:tc>
          <w:tcPr>
            <w:tcW w:type="dxa" w:w="1600"/>
            <w:shd w:fill="F2F2F2" w:val="clear"/>
            <w:tcMar>
              <w:top w:type="dxa" w:w="80"/>
              <w:left w:type="dxa" w:w="100"/>
              <w:bottom w:type="dxa" w:w="80"/>
              <w:right w:type="dxa" w:w="100"/>
            </w:tcMar>
          </w:tcPr>
          <w:p>
            <w:pPr>
              <w:jc w:val="left"/>
            </w:pPr>
            <w:r>
              <w:rPr>
                <w:b/>
                <w:bCs/>
                <w:sz w:val="19"/>
                <w:szCs w:val="19"/>
              </w:rPr>
              <w:t xml:space="preserve">DPLF</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Fundación para el Debido Proceso (Due Process of Law Foundation) — organización que elabora mediciones comparadas de independencia judicial en América Latina.</w:t>
            </w:r>
          </w:p>
        </w:tc>
      </w:tr>
      <w:tr>
        <w:tc>
          <w:tcPr>
            <w:tcW w:type="dxa" w:w="1600"/>
            <w:tcMar>
              <w:top w:type="dxa" w:w="80"/>
              <w:left w:type="dxa" w:w="100"/>
              <w:bottom w:type="dxa" w:w="80"/>
              <w:right w:type="dxa" w:w="100"/>
            </w:tcMar>
          </w:tcPr>
          <w:p>
            <w:pPr>
              <w:jc w:val="left"/>
            </w:pPr>
            <w:r>
              <w:rPr>
                <w:b/>
                <w:bCs/>
                <w:sz w:val="19"/>
                <w:szCs w:val="19"/>
              </w:rPr>
              <w:t xml:space="preserve">JEDO</w:t>
            </w:r>
          </w:p>
        </w:tc>
        <w:tc>
          <w:tcPr>
            <w:tcW w:type="dxa" w:w="8000"/>
            <w:tcMar>
              <w:top w:type="dxa" w:w="80"/>
              <w:left w:type="dxa" w:w="100"/>
              <w:bottom w:type="dxa" w:w="80"/>
              <w:right w:type="dxa" w:w="100"/>
            </w:tcMar>
          </w:tcPr>
          <w:p>
            <w:pPr>
              <w:jc w:val="left"/>
            </w:pPr>
            <w:r>
              <w:rPr>
                <w:b w:val="false"/>
                <w:bCs w:val="false"/>
                <w:sz w:val="19"/>
                <w:szCs w:val="19"/>
              </w:rPr>
              <w:t xml:space="preserve">Jurisdicción Especializada en Delincuencia Organizada — jurisdicción penal creada para atender casos de crimen organizado, consolidada mediante leyes sucesivas entre 2009 y 2023.</w:t>
            </w:r>
          </w:p>
        </w:tc>
      </w:tr>
      <w:tr>
        <w:tc>
          <w:tcPr>
            <w:tcW w:type="dxa" w:w="1600"/>
            <w:shd w:fill="F2F2F2" w:val="clear"/>
            <w:tcMar>
              <w:top w:type="dxa" w:w="80"/>
              <w:left w:type="dxa" w:w="100"/>
              <w:bottom w:type="dxa" w:w="80"/>
              <w:right w:type="dxa" w:w="100"/>
            </w:tcMar>
          </w:tcPr>
          <w:p>
            <w:pPr>
              <w:jc w:val="left"/>
            </w:pPr>
            <w:r>
              <w:rPr>
                <w:b/>
                <w:bCs/>
                <w:sz w:val="19"/>
                <w:szCs w:val="19"/>
              </w:rPr>
              <w:t xml:space="preserve">LDI</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Índice de Democracia Liberal (Liberal Democracy Index) — indicador del proyecto V-Dem que combina componentes de democracia electoral y liberal.</w:t>
            </w:r>
          </w:p>
        </w:tc>
      </w:tr>
      <w:tr>
        <w:tc>
          <w:tcPr>
            <w:tcW w:type="dxa" w:w="1600"/>
            <w:tcMar>
              <w:top w:type="dxa" w:w="80"/>
              <w:left w:type="dxa" w:w="100"/>
              <w:bottom w:type="dxa" w:w="80"/>
              <w:right w:type="dxa" w:w="100"/>
            </w:tcMar>
          </w:tcPr>
          <w:p>
            <w:pPr>
              <w:jc w:val="left"/>
            </w:pPr>
            <w:r>
              <w:rPr>
                <w:b/>
                <w:bCs/>
                <w:sz w:val="19"/>
                <w:szCs w:val="19"/>
              </w:rPr>
              <w:t xml:space="preserve">OIJ</w:t>
            </w:r>
          </w:p>
        </w:tc>
        <w:tc>
          <w:tcPr>
            <w:tcW w:type="dxa" w:w="8000"/>
            <w:tcMar>
              <w:top w:type="dxa" w:w="80"/>
              <w:left w:type="dxa" w:w="100"/>
              <w:bottom w:type="dxa" w:w="80"/>
              <w:right w:type="dxa" w:w="100"/>
            </w:tcMar>
          </w:tcPr>
          <w:p>
            <w:pPr>
              <w:jc w:val="left"/>
            </w:pPr>
            <w:r>
              <w:rPr>
                <w:b w:val="false"/>
                <w:bCs w:val="false"/>
                <w:sz w:val="19"/>
                <w:szCs w:val="19"/>
              </w:rPr>
              <w:t xml:space="preserve">Organismo de Investigación Judicial — la policía judicial de Costa Rica, encargada de la investigación criminal bajo la dirección funcional del Ministerio Público.</w:t>
            </w:r>
          </w:p>
        </w:tc>
      </w:tr>
      <w:tr>
        <w:tc>
          <w:tcPr>
            <w:tcW w:type="dxa" w:w="1600"/>
            <w:shd w:fill="F2F2F2" w:val="clear"/>
            <w:tcMar>
              <w:top w:type="dxa" w:w="80"/>
              <w:left w:type="dxa" w:w="100"/>
              <w:bottom w:type="dxa" w:w="80"/>
              <w:right w:type="dxa" w:w="100"/>
            </w:tcMar>
          </w:tcPr>
          <w:p>
            <w:pPr>
              <w:jc w:val="left"/>
            </w:pPr>
            <w:r>
              <w:rPr>
                <w:b/>
                <w:bCs/>
                <w:sz w:val="19"/>
                <w:szCs w:val="19"/>
              </w:rPr>
              <w:t xml:space="preserve">ONU</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Organización de las Naciones Unidas.</w:t>
            </w:r>
          </w:p>
        </w:tc>
      </w:tr>
      <w:tr>
        <w:tc>
          <w:tcPr>
            <w:tcW w:type="dxa" w:w="1600"/>
            <w:tcMar>
              <w:top w:type="dxa" w:w="80"/>
              <w:left w:type="dxa" w:w="100"/>
              <w:bottom w:type="dxa" w:w="80"/>
              <w:right w:type="dxa" w:w="100"/>
            </w:tcMar>
          </w:tcPr>
          <w:p>
            <w:pPr>
              <w:jc w:val="left"/>
            </w:pPr>
            <w:r>
              <w:rPr>
                <w:b/>
                <w:bCs/>
                <w:sz w:val="19"/>
                <w:szCs w:val="19"/>
              </w:rPr>
              <w:t xml:space="preserve">PEN</w:t>
            </w:r>
          </w:p>
        </w:tc>
        <w:tc>
          <w:tcPr>
            <w:tcW w:type="dxa" w:w="8000"/>
            <w:tcMar>
              <w:top w:type="dxa" w:w="80"/>
              <w:left w:type="dxa" w:w="100"/>
              <w:bottom w:type="dxa" w:w="80"/>
              <w:right w:type="dxa" w:w="100"/>
            </w:tcMar>
          </w:tcPr>
          <w:p>
            <w:pPr>
              <w:jc w:val="left"/>
            </w:pPr>
            <w:r>
              <w:rPr>
                <w:b w:val="false"/>
                <w:bCs w:val="false"/>
                <w:sz w:val="19"/>
                <w:szCs w:val="19"/>
              </w:rPr>
              <w:t xml:space="preserve">Programa Estado de la Nación — programa de investigación de CONARE que produce, entre otros, los informes Estado de la Nación, Estado de la Educación y Estado de la Justicia.</w:t>
            </w:r>
          </w:p>
        </w:tc>
      </w:tr>
      <w:tr>
        <w:tc>
          <w:tcPr>
            <w:tcW w:type="dxa" w:w="1600"/>
            <w:shd w:fill="F2F2F2" w:val="clear"/>
            <w:tcMar>
              <w:top w:type="dxa" w:w="80"/>
              <w:left w:type="dxa" w:w="100"/>
              <w:bottom w:type="dxa" w:w="80"/>
              <w:right w:type="dxa" w:w="100"/>
            </w:tcMar>
          </w:tcPr>
          <w:p>
            <w:pPr>
              <w:jc w:val="left"/>
            </w:pPr>
            <w:r>
              <w:rPr>
                <w:b/>
                <w:bCs/>
                <w:sz w:val="19"/>
                <w:szCs w:val="19"/>
              </w:rPr>
              <w:t xml:space="preserve">TIJ</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Tribunal de Inspección Judicial — órgano disciplinario interno del Poder Judicial, encargado de investigar y sancionar faltas del personal judicial.</w:t>
            </w:r>
          </w:p>
        </w:tc>
      </w:tr>
      <w:tr>
        <w:tc>
          <w:tcPr>
            <w:tcW w:type="dxa" w:w="1600"/>
            <w:tcMar>
              <w:top w:type="dxa" w:w="80"/>
              <w:left w:type="dxa" w:w="100"/>
              <w:bottom w:type="dxa" w:w="80"/>
              <w:right w:type="dxa" w:w="100"/>
            </w:tcMar>
          </w:tcPr>
          <w:p>
            <w:pPr>
              <w:jc w:val="left"/>
            </w:pPr>
            <w:r>
              <w:rPr>
                <w:b/>
                <w:bCs/>
                <w:sz w:val="19"/>
                <w:szCs w:val="19"/>
              </w:rPr>
              <w:t xml:space="preserve">TLC</w:t>
            </w:r>
          </w:p>
        </w:tc>
        <w:tc>
          <w:tcPr>
            <w:tcW w:type="dxa" w:w="8000"/>
            <w:tcMar>
              <w:top w:type="dxa" w:w="80"/>
              <w:left w:type="dxa" w:w="100"/>
              <w:bottom w:type="dxa" w:w="80"/>
              <w:right w:type="dxa" w:w="100"/>
            </w:tcMar>
          </w:tcPr>
          <w:p>
            <w:pPr>
              <w:jc w:val="left"/>
            </w:pPr>
            <w:r>
              <w:rPr>
                <w:b w:val="false"/>
                <w:bCs w:val="false"/>
                <w:sz w:val="19"/>
                <w:szCs w:val="19"/>
              </w:rPr>
              <w:t xml:space="preserve">Tratado de Libre Comercio — en el informe, referido específicamente al Tratado de Libre Comercio entre Centroamérica, República Dominicana y Estados Unidos (CAFTA-DR).</w:t>
            </w:r>
          </w:p>
        </w:tc>
      </w:tr>
      <w:tr>
        <w:tc>
          <w:tcPr>
            <w:tcW w:type="dxa" w:w="1600"/>
            <w:shd w:fill="F2F2F2" w:val="clear"/>
            <w:tcMar>
              <w:top w:type="dxa" w:w="80"/>
              <w:left w:type="dxa" w:w="100"/>
              <w:bottom w:type="dxa" w:w="80"/>
              <w:right w:type="dxa" w:w="100"/>
            </w:tcMar>
          </w:tcPr>
          <w:p>
            <w:pPr>
              <w:jc w:val="left"/>
            </w:pPr>
            <w:r>
              <w:rPr>
                <w:b/>
                <w:bCs/>
                <w:sz w:val="19"/>
                <w:szCs w:val="19"/>
              </w:rPr>
              <w:t xml:space="preserve">UPAD</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Unidad Presidencial de Análisis de Datos — unidad de la Presidencia de la República costarricense en el centro del escándalo de 2020 que derivó en un allanamiento judicial a Casa Presidencial.</w:t>
            </w:r>
          </w:p>
        </w:tc>
      </w:tr>
      <w:tr>
        <w:tc>
          <w:tcPr>
            <w:tcW w:type="dxa" w:w="1600"/>
            <w:tcMar>
              <w:top w:type="dxa" w:w="80"/>
              <w:left w:type="dxa" w:w="100"/>
              <w:bottom w:type="dxa" w:w="80"/>
              <w:right w:type="dxa" w:w="100"/>
            </w:tcMar>
          </w:tcPr>
          <w:p>
            <w:pPr>
              <w:jc w:val="left"/>
            </w:pPr>
            <w:r>
              <w:rPr>
                <w:b/>
                <w:bCs/>
                <w:sz w:val="19"/>
                <w:szCs w:val="19"/>
              </w:rPr>
              <w:t xml:space="preserve">USD</w:t>
            </w:r>
          </w:p>
        </w:tc>
        <w:tc>
          <w:tcPr>
            <w:tcW w:type="dxa" w:w="8000"/>
            <w:tcMar>
              <w:top w:type="dxa" w:w="80"/>
              <w:left w:type="dxa" w:w="100"/>
              <w:bottom w:type="dxa" w:w="80"/>
              <w:right w:type="dxa" w:w="100"/>
            </w:tcMar>
          </w:tcPr>
          <w:p>
            <w:pPr>
              <w:jc w:val="left"/>
            </w:pPr>
            <w:r>
              <w:rPr>
                <w:b w:val="false"/>
                <w:bCs w:val="false"/>
                <w:sz w:val="19"/>
                <w:szCs w:val="19"/>
              </w:rPr>
              <w:t xml:space="preserve">Dólares de los Estados Unidos.</w:t>
            </w:r>
          </w:p>
        </w:tc>
      </w:tr>
      <w:tr>
        <w:tc>
          <w:tcPr>
            <w:tcW w:type="dxa" w:w="1600"/>
            <w:shd w:fill="F2F2F2" w:val="clear"/>
            <w:tcMar>
              <w:top w:type="dxa" w:w="80"/>
              <w:left w:type="dxa" w:w="100"/>
              <w:bottom w:type="dxa" w:w="80"/>
              <w:right w:type="dxa" w:w="100"/>
            </w:tcMar>
          </w:tcPr>
          <w:p>
            <w:pPr>
              <w:jc w:val="left"/>
            </w:pPr>
            <w:r>
              <w:rPr>
                <w:b/>
                <w:bCs/>
                <w:sz w:val="19"/>
                <w:szCs w:val="19"/>
              </w:rPr>
              <w:t xml:space="preserve">V-Dem</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Varieties of Democracy — proyecto de medición comparada de la calidad democrática, con sede en la Universidad de Gotemburgo, cuyos índices se usan para documentar los ataques políticos al Poder Judicial.</w:t>
            </w:r>
          </w:p>
        </w:tc>
      </w:tr>
      <w:tr>
        <w:tc>
          <w:tcPr>
            <w:tcW w:type="dxa" w:w="1600"/>
            <w:tcMar>
              <w:top w:type="dxa" w:w="80"/>
              <w:left w:type="dxa" w:w="100"/>
              <w:bottom w:type="dxa" w:w="80"/>
              <w:right w:type="dxa" w:w="100"/>
            </w:tcMar>
          </w:tcPr>
          <w:p>
            <w:pPr>
              <w:jc w:val="left"/>
            </w:pPr>
            <w:r>
              <w:rPr>
                <w:b/>
                <w:bCs/>
                <w:sz w:val="19"/>
                <w:szCs w:val="19"/>
              </w:rPr>
              <w:t xml:space="preserve">WEF</w:t>
            </w:r>
          </w:p>
        </w:tc>
        <w:tc>
          <w:tcPr>
            <w:tcW w:type="dxa" w:w="8000"/>
            <w:tcMar>
              <w:top w:type="dxa" w:w="80"/>
              <w:left w:type="dxa" w:w="100"/>
              <w:bottom w:type="dxa" w:w="80"/>
              <w:right w:type="dxa" w:w="100"/>
            </w:tcMar>
          </w:tcPr>
          <w:p>
            <w:pPr>
              <w:jc w:val="left"/>
            </w:pPr>
            <w:r>
              <w:rPr>
                <w:b w:val="false"/>
                <w:bCs w:val="false"/>
                <w:sz w:val="19"/>
                <w:szCs w:val="19"/>
              </w:rPr>
              <w:t xml:space="preserve">Foro Económico Mundial (World Economic Forum) — organización que publica el Global Competitiveness Report, fuente del indicador de independencia judicial citado en la sección 3.</w:t>
            </w:r>
          </w:p>
        </w:tc>
      </w:tr>
      <w:tr>
        <w:tc>
          <w:tcPr>
            <w:tcW w:type="dxa" w:w="1600"/>
            <w:shd w:fill="F2F2F2" w:val="clear"/>
            <w:tcMar>
              <w:top w:type="dxa" w:w="80"/>
              <w:left w:type="dxa" w:w="100"/>
              <w:bottom w:type="dxa" w:w="80"/>
              <w:right w:type="dxa" w:w="100"/>
            </w:tcMar>
          </w:tcPr>
          <w:p>
            <w:pPr>
              <w:jc w:val="left"/>
            </w:pPr>
            <w:r>
              <w:rPr>
                <w:b/>
                <w:bCs/>
                <w:sz w:val="19"/>
                <w:szCs w:val="19"/>
              </w:rPr>
              <w:t xml:space="preserve">WJP</w:t>
            </w:r>
          </w:p>
        </w:tc>
        <w:tc>
          <w:tcPr>
            <w:tcW w:type="dxa" w:w="8000"/>
            <w:shd w:fill="F2F2F2" w:val="clear"/>
            <w:tcMar>
              <w:top w:type="dxa" w:w="80"/>
              <w:left w:type="dxa" w:w="100"/>
              <w:bottom w:type="dxa" w:w="80"/>
              <w:right w:type="dxa" w:w="100"/>
            </w:tcMar>
          </w:tcPr>
          <w:p>
            <w:pPr>
              <w:jc w:val="left"/>
            </w:pPr>
            <w:r>
              <w:rPr>
                <w:b w:val="false"/>
                <w:bCs w:val="false"/>
                <w:sz w:val="19"/>
                <w:szCs w:val="19"/>
              </w:rPr>
              <w:t xml:space="preserve">World Justice Project — organización que publica el Rule of Law Index, índice comparado del estado de derecho citado en la sección 3.</w:t>
            </w:r>
          </w:p>
        </w:tc>
      </w:tr>
    </w:tbl>
    <w:p>
      <w:pPr>
        <w:pStyle w:val="Heading1"/>
        <w:spacing w:after="240" w:before="480"/>
      </w:pPr>
      <w:r>
        <w:t xml:space="preserve">13. Fuentes</w:t>
      </w:r>
    </w:p>
    <w:p>
      <w:pPr>
        <w:spacing w:after="200" w:line="300"/>
        <w:jc w:val="both"/>
      </w:pPr>
      <w:r>
        <w:rPr>
          <w:b w:val="false"/>
          <w:bCs w:val="false"/>
          <w:i w:val="false"/>
          <w:iCs w:val="false"/>
        </w:rPr>
        <w:t xml:space="preserve">Programa Estado de la Nación (CONARE). Primer Informe Estado de la Justicia. San José, 2015.</w:t>
      </w:r>
    </w:p>
    <w:p>
      <w:pPr>
        <w:spacing w:after="200" w:line="300"/>
        <w:jc w:val="both"/>
      </w:pPr>
      <w:r>
        <w:rPr>
          <w:b w:val="false"/>
          <w:bCs w:val="false"/>
          <w:i w:val="false"/>
          <w:iCs w:val="false"/>
        </w:rPr>
        <w:t xml:space="preserve">Programa Estado de la Nación (CONARE). Segundo Informe Estado de la Justicia. San José, 2017.</w:t>
      </w:r>
    </w:p>
    <w:p>
      <w:pPr>
        <w:spacing w:after="200" w:line="300"/>
        <w:jc w:val="both"/>
      </w:pPr>
      <w:r>
        <w:rPr>
          <w:b w:val="false"/>
          <w:bCs w:val="false"/>
          <w:i w:val="false"/>
          <w:iCs w:val="false"/>
        </w:rPr>
        <w:t xml:space="preserve">Programa Estado de la Nación (CONARE). Tercer Informe Estado de la Justicia. San José, 2020.</w:t>
      </w:r>
    </w:p>
    <w:p>
      <w:pPr>
        <w:spacing w:after="200" w:line="300"/>
        <w:jc w:val="both"/>
      </w:pPr>
      <w:r>
        <w:rPr>
          <w:b w:val="false"/>
          <w:bCs w:val="false"/>
          <w:i w:val="false"/>
          <w:iCs w:val="false"/>
        </w:rPr>
        <w:t xml:space="preserve">Programa Estado de la Nación (CONARE). Cuarto Informe Estado de la Justicia. San José, 2022.</w:t>
      </w:r>
    </w:p>
    <w:p>
      <w:pPr>
        <w:spacing w:after="200" w:line="300"/>
        <w:jc w:val="both"/>
      </w:pPr>
      <w:r>
        <w:rPr>
          <w:b w:val="false"/>
          <w:bCs w:val="false"/>
          <w:i w:val="false"/>
          <w:iCs w:val="false"/>
        </w:rPr>
        <w:t xml:space="preserve">Consejo Nacional de Rectores / Programa Estado de la Nación (CONARE). Quinto Informe Estado de la Justicia 2025. San José, 2025.</w:t>
      </w:r>
    </w:p>
    <w:p>
      <w:pPr>
        <w:spacing w:after="200" w:line="300"/>
        <w:jc w:val="left"/>
      </w:pPr>
      <w:r>
        <w:rPr>
          <w:b w:val="false"/>
          <w:bCs w:val="false"/>
          <w:i w:val="false"/>
          <w:iCs w:val="false"/>
        </w:rPr>
        <w:t xml:space="preserve">Fuentes secundarias citadas dentro de los informes: Barómetro de las Américas (Universidad de Vanderbilt); Latinobarómetro; V-Dem Institute; World Justice Project (Rule of Law Index); Bertelsmann Transformation Index; Reporteros sin Fronteras; Foro Económico Mundial (Global Competitiveness Report); Banco Mundial (Rule of Law); Fund for Peace (Fragile States Index); Fundación para el Debido Proceso (DPLF); Centro de Estudios de Justicia de las Américas (CEJA); Centro de Investigación y Estudios Políticos (CIEP-UCR); Contraloría General de la República; Anuario Judicial y Observatorio Judicial del Poder Judicial de Costa Rica.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El Sistema Judicial de Costa Rica, 2015-2025 — Informe de Seguimiento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1D2E" w:sz="6" w:space="4"/>
      </w:pBdr>
      <w:spacing w:after="240" w:before="480"/>
    </w:pPr>
    <w:rPr>
      <w:rFonts w:ascii="Calibri" w:cs="Calibri" w:eastAsia="Calibri" w:hAnsi="Calibri"/>
      <w:b/>
      <w:bCs/>
      <w:color w:val="1F3A5F"/>
      <w:sz w:val="32"/>
      <w:szCs w:val="32"/>
    </w:rPr>
  </w:style>
  <w:style w:type="paragraph" w:styleId="Heading2">
    <w:name w:val="Heading 2"/>
    <w:basedOn w:val="Normal"/>
    <w:next w:val="Normal"/>
    <w:qFormat/>
    <w:pPr>
      <w:spacing w:after="160" w:before="360"/>
    </w:pPr>
    <w:rPr>
      <w:rFonts w:ascii="Calibri" w:cs="Calibri" w:eastAsia="Calibri" w:hAnsi="Calibri"/>
      <w:b/>
      <w:bCs/>
      <w:color w:val="1F3A5F"/>
      <w:sz w:val="26"/>
      <w:szCs w:val="26"/>
    </w:rPr>
  </w:style>
  <w:style w:type="paragraph" w:styleId="Heading3">
    <w:name w:val="Heading 3"/>
    <w:basedOn w:val="Normal"/>
    <w:next w:val="Normal"/>
    <w:qFormat/>
    <w:pPr>
      <w:spacing w:after="120" w:before="240"/>
    </w:pPr>
    <w:rPr>
      <w:rFonts w:ascii="Calibri" w:cs="Calibri" w:eastAsia="Calibri" w:hAnsi="Calibri"/>
      <w:b/>
      <w:bCs/>
      <w:i/>
      <w:iCs/>
      <w:color w:val="8C1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9772032b990f16863cba0b2beda4832d594df.png"/><Relationship Id="rId10" Type="http://schemas.openxmlformats.org/officeDocument/2006/relationships/image" Target="media/9dcd8d80d973bb5a7d05c14e096643fe36118bfa.png"/><Relationship Id="rId11" Type="http://schemas.openxmlformats.org/officeDocument/2006/relationships/image" Target="media/18fdd6d6c620f13976b323e751167017a44043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Sistema Judicial de Costa Rica, 2015-2025: Informe de Seguimiento</dc:title>
  <dc:creator>Observatorio del Desarrollo</dc:creator>
  <cp:lastModifiedBy>Un-named</cp:lastModifiedBy>
  <cp:revision>1</cp:revision>
  <dcterms:created xsi:type="dcterms:W3CDTF">2026-08-21T17:29:02.000Z</dcterms:created>
  <dcterms:modified xsi:type="dcterms:W3CDTF">2026-08-21T17:29:02.001Z</dcterms:modified>
</cp:coreProperties>
</file>

<file path=docProps/custom.xml><?xml version="1.0" encoding="utf-8"?>
<Properties xmlns="http://schemas.openxmlformats.org/officeDocument/2006/custom-properties" xmlns:vt="http://schemas.openxmlformats.org/officeDocument/2006/docPropsVTypes"/>
</file>