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UNIVERSIDAD DE COSTA RICA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CIOdD – DiproviT | Proyecto ED-3698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3087"/>
          <w:sz w:val="48"/>
          <w:szCs w:val="48"/>
        </w:rPr>
        <w:t xml:space="preserve">BRIEFING ANTIGRAVITY — VERSIÓN 2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6A642"/>
          <w:sz w:val="30"/>
          <w:szCs w:val="30"/>
        </w:rPr>
        <w:t xml:space="preserve">Brechas Detectadas Post-Implementación del Briefing v1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Caja de Herramientas de Inteligencia Artificial para la MiPYME</w:t>
      </w:r>
    </w:p>
    <w:p>
      <w:pPr>
        <w:pBdr>
          <w:bottom w:val="single" w:color="C6A642" w:sz="4" w:space="1"/>
        </w:pBdr>
        <w:spacing w:after="160" w:before="160"/>
      </w:pPr>
    </w:p>
    <w:p>
      <w:pPr>
        <w:spacing w:after="120" w:before="200"/>
        <w:jc w:val="center"/>
      </w:pPr>
      <w:r>
        <w:rPr>
          <w:rFonts w:ascii="Arial" w:cs="Arial" w:eastAsia="Arial" w:hAnsi="Arial"/>
          <w:i/>
          <w:iCs/>
          <w:color w:val="0070C0"/>
          <w:sz w:val="22"/>
          <w:szCs w:val="22"/>
        </w:rPr>
        <w:t xml:space="preserve">https://agmelendez.github.io/cajadeherramientasparaemprendedores/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4A4A4A"/>
          <w:sz w:val="22"/>
          <w:szCs w:val="22"/>
        </w:rPr>
        <w:t xml:space="preserve">Junio 2026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Resumen: estado del sitio tras el Briefing v1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Se verificó el sitio en su estado actual (junio 2026). Los 11 cambios del Briefing v1 están implementados correctamente. Este documento cubre exclusivamente las 7 brechas que permanecen pendientes tras esa implementación.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2560"/>
        <w:gridCol w:w="1200"/>
        <w:gridCol w:w="7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brecha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B-01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Recuadro RHEC en metodología sin contenido expandido — solo tiene una oración genérica; CIFRCE e HITL sí están desarrollados, RHEC no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metodología — recuadro RHEC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1 ENTENDER: las alucinaciones se mencionan de pasada ('puede inventar hechos') sin ninguna orientación práctica para el microempresario sobre cómo detectarlas o mitigarlas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1 (#m1-s1) — sección Conceptos Clave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3 ENTENDER: explica margen bruto/neto y punto de equilibrio pero no explica por qué el FODA socrático es distinto al FODA estático, que es el concepto central de esa semana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3 (#m1-s3) — sección Conceptos Clave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4 ENTENDER: la Matriz IVU se menciona en el HACER como herramienta central pero los Conceptos Clave no la explican — solo hay una oración sobre 'estrategia es decidir qué NO hacer'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4 (#m1-s4) — sección Conceptos Clave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11 ENTENDER: prefactibilidad definida en una sola oración sin explicar las tres dimensiones de análisis (técnica, comercial, económica) que el participante debe ejecutar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Semana 11 (#m3-s11) — sección Conceptos Clave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Credenciales: fecha 'Próximamente disponible — Agosto 2025' está desactualizada (ya es junio 2026); necesita corrección y posible ajuste del mensaje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Sección #credenciales — tarjeta Toolkit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B-07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Footer: copyright dice '© 2025' cuando el año activo del programa es 2026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Footer del sitio — línea de copyright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7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Texto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Brechas de Prioridad ALTA</w:t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B-01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Expandir recuadro RHEC en la sección de metodología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metodología (#metodologia) — recuadro/tarjeta con título 'Ciclo RHEC'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Reemplazar el contenido del recuadro RHEC existente.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Actualmente tiene solo: título + esta oración: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'Invertimos el aprendizaje tradicional. Primero el Reto y el Hacer,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después Entender la teoría y finalmente Compartir.'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TODO el contenido interno del recuadro con el texto que sigue.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Mantener el estilo visual del recuadro (color, borde, ícono) sin cambios.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TÍTULO (sin cambio): Ciclo RHEC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 (agregar): Secuencia instruccional que invierte el aprendizaje tradicional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 DEL CUERPO: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En lugar de explicar primero y practicar después, el Ciclo RHEC invierte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orden: primero se hace, después se entiende por qué funcionó.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Cada semana tiene exactamente cuatro fases en esta secuencia: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RETO (5% del tiempo): un desafío concreto vinculado a su negocio real.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Define el entregable de la semana y activa lo que ya sabe.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Duración: no más de 15 minutos.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HACER (65% del tiempo): el núcleo del aprendizaje.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Instrucciones paso a paso para producir el entregable.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La práctica siempre precede a la teoría.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ENTENDER (25% del tiempo): la ciencia detrás de lo que acaba de hacer.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Los conceptos tienen sentido porque ya los vivió primero.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4. COMPARTIR (5% del tiempo): reflexión con otros emprendedores.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Ver cómo otros resolvieron el mismo reto amplía el repertorio propio.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Esta secuencia no es arbitraria: está sustentada en investigación sobre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aprendizaje de adultos que muestra que el intento práctico previo a la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instrucción genera comprensión más profunda y duradera.</w:t>
      </w:r>
    </w:p>
    <w:p>
      <w:pPr>
        <w:spacing w:after="0" w:before="140"/>
      </w:pPr>
      <w:r>
        <w:t xml:space="preserve"/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B-02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Conceptos Clave de la Semana 1 — alucinaciones y cómo manejarlas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Semana 1 (#m1-s1) — sección ENTENDER / Conceptos Clave, después del párrafo existente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Agregar texto DESPUÉS del bloque 'Seguridad Digital' que termina con: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'...ni cuentas bancarias reales en las versiones gratuitas de las IAs.'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eliminar nada. Solo añadir el nuevo bloque al final de esa sección.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Usar el mismo estilo de texto de los conceptos clave existentes.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hay separadores visuales entre conceptos, agregar uno antes del nuevo bloque.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 A AGREGAR: Alucinaciones: qué son y cómo detectarlas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Una 'alucinación' ocurre cuando la IA genera información que suena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convincente pero es falsa. No es un error técnico ni una mentira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intencional: es el resultado de cómo funciona el modelo estadísticamente.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Para el microempresario, esto tiene consecuencias prácticas concretas: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Señales de alerta: la IA inventa fechas, estadísticas, precios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herramientas, leyes vigentes o nombres de proveedores. Cualquier dato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específico que no pueda verificar en otra fuente debe tratarse con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cautela.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Tres reglas para mitigar alucinaciones en contexto empresarial: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Nunca use una cifra financiera de la IA sin verificarla.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Precios, tasas, impuestos y costos cambian constantemente.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La IA no tiene acceso a datos en tiempo real.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Pida fuentes. Si la IA cita una estadística, preguntele: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'¿De dónde viene ese dato? ¿Podés darme la fuente exacta?'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Si la fuente no existe o no es verificable, descarte el dato.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Use la IA para estructurar, no para informar.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Es extraordinaria para organizar sus propios datos en formatos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útiles. Es poco confiable para proveer datos que usted no conoce.</w:t>
      </w:r>
    </w:p>
    <w:p>
      <w:pPr>
        <w:spacing w:after="0" w:before="140"/>
      </w:pPr>
      <w:r>
        <w:t xml:space="preserve"/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B-03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Conceptos Clave de la Semana 3 — FODA dinámico vs FODA estático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Semana 3 (#m1-s3) — sección ENTENDER / Conceptos Clave, antes de los tres números financieros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Agregar un bloque de texto ANTES del bloque de los 3 números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financieros (Margen Bruto, Margen Neto, Punto de Equilibrio).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El bloque existente de finanzas se mantiene íntegro.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Solo se inserta el nuevo bloque explicativo del FODA socrático antes.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Si hay separadores visuales entre conceptos, agregar uno después del nuevo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bloque y antes del bloque financiero.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 A INSERTAR (antes de los números financieros):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FODA socrático vs el FODA estático: por qué son distintos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FODA tradicional produce listas genéricas porque el participante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responde a categorías abstractas ('Fortalezas', 'Debilidades') sin presión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de evidencia. El resultado suele ser: Fortaleza = 'buen servicio al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cliente'; Debilidad = 'falta de publicidad'. Esos diagnósticos existen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en todos los planes de negocio y no sirven para tomar decisiones.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El FODA socrático funciona diferente: la IA hace preguntas difíciles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antes de permitirle completar la matriz. Esas preguntas obligan 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confrontar datos reales: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'¿Cuántos clientes perdiste el último trimestre y por qué razón?'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'¿En qué tarea operativa gastás más tiempo del que debería tomar?'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'¿Qué hace tu competidor más cercano que vos no podés hacer todavía?'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La diferencia no es estilística: es estructural. El FODA socrático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produce hallazgos que el emprendedor no había verbalizado antes,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mientras que el FODA estático confirma lo que ya creía saber.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Por eso el reto de esta semana pide que la IA formule 3 preguntas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difíciles antes de armar la matriz.</w:t>
      </w:r>
    </w:p>
    <w:p>
      <w:pPr>
        <w:spacing w:after="0" w:before="140"/>
      </w:pPr>
      <w:r>
        <w:t xml:space="preserve"/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B-04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Conceptos Clave de la Semana 4 — cómo funciona la Matriz IVU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[ALTA]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Semana 4 (#m1-s4) — sección ENTENDER / Conceptos Clave, reemplazando el párrafo actual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el bloque de Conceptos Clave de la Semana 4 que dice: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'Estrategia no es hacer una lista gigante de cosas. Estrategia es decidir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qué NO hacer. La matriz IVU filtra las acciones de alto esfuerzo y bajo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retorno. El plan debe centrarse en 3 acciones de alto impacto y alta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viabilidad.'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ese párrafo completo con el texto que sigue.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tocar ningún otro elemento de la sección ENTENDER de esa semana.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SUBTÍTULO: Estrategia es decidir qué NO hacer: la Matriz IVU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Al final del Módulo I tiene un diagnóstico completo y posiblemente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una lista de 10 o 15 cosas que 'habría que mejorar'. El problema es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que un negocio pequeño no puede ejecutar 15 iniciativas en paralelo.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La estrategia real es seleccionar las 3 que producen el mayor impacto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 los recursos disponibles.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La Matriz IVU es la herramienta para hacer esa selección. Evalúa cada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iniciativa en tres dimensiones: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 — Impacto: si esta iniciativa funciona bien, ¿qué tan grande es el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beneficio para el negocio? (escala 1 a 5)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V — Viabilidad: ¿con los recursos y capacidades que ya tiene, qué tan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factible es ejecutar esto en los próximos 90 días? (escala 1 a 5)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 — Urgencia: si no lo hace ahora, ¿qué tan grave es el costo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esperar? (escala 1 a 5)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Sume los tres puntajes para cada iniciativa. Las que tengan mayor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puntaje total son las que van al Plan de Acción. Las que tengan alto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impacto pero baja viabilidad se agendan para más adelante.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Las que tengan bajo impacto en cualquier dimensión se descartan.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La IA puede ayudar a calificar cada iniciativa si le da suficiente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contexto: 'Tengo este recurso disponible, este tiempo y este presupuesto.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Calificá estas 8 iniciativas en la Matriz IVU y explicá el razonamiento.'</w:t>
      </w:r>
    </w:p>
    <w:p>
      <w:pPr>
        <w:spacing w:after="0" w:before="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03087"/>
          <w:sz w:val="36"/>
          <w:szCs w:val="36"/>
        </w:rPr>
        <w:t xml:space="preserve">Brechas de Prioridad MEDIA</w:t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B-05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Ampliar Conceptos Clave de la Semana 11 — tres dimensiones de la prefactibilidad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Semana 11 (#m3-s11) — sección ENTENDER / Conceptos Clave, reemplazando la definición actual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el bloque de Conceptos Clave de la Semana 11 que dice: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'Prefactibilidad: Es el filtro crítico previo a quemar capital. Analizar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la viabilidad técnica, comercial y económica le ayuda a cometer errores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rápidos sobre el papel, en lugar de sufrir pérdidas financieras de difícil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recuperación en su operación.'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ese párrafo con el texto que sigue.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SUBTÍTULO: Prefactibilidad: el filtro que salva capital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Un estudio de prefactibilidad responde una sola pregunta antes de invertir: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¿tiene sentido seguir adelante con esta idea? Para responderla, se analizan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tres dimensiones independientes: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1. Viabilidad técnica: ¿puede producir este producto o servicio con la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infraestructura, herramientas y conocimiento que ya tiene o puede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adquirir razonablemente? Si necesita equipos que cuestan el doble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su capital disponible, la idea no es técnicamente viable hoy.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2. Viabilidad comercial: ¿existe demanda real y suficiente para este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producto al precio que necesita cobrar para que sea rentable? No basta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con que la idea sea buena; necesita clientes dispuestos a pagar el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precio correcto en el mercado que puede atender.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3. Viabilidad económica: ¿los ingresos proyectados superan los costos en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un plazo razonable? Esto es lo que el flujo de caja a 6 meses permite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ver. Si el punto de equilibrio se alcanza en el mes 18, la idea puede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ser buena pero requiere una estrategia de financiamiento que aún no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 existe.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La IA puede acelerar el análisis de las tres dimensiones si usted le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provee los datos de su negocio. El juicio final —ir o no ir— siempre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es suyo: ese es el principio Human-in-the-Loop aplicado a las finanzas.</w:t>
      </w:r>
    </w:p>
    <w:p>
      <w:pPr>
        <w:spacing w:after="0" w:before="140"/>
      </w:pPr>
      <w:r>
        <w:t xml:space="preserve"/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B-06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Actualizar fecha en la tarjeta de credencial del Toolkit 1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Sección #credenciales — tarjeta 'Toolkit 1 — Gratuito'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el texto que dice: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'⏳ Próximamente disponible — Agosto 2025'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ese texto con el que se especifica abajo.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Mantener el ícono ⏳ o el estilo visual de la nota de estado sin cambios.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TEXTO A USAR (reemplaza '⏳ Próximamente disponible — Agosto 2025'):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Opción A — si la credencial ya está disponible o próxima: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⏳ Disponible a partir del segundo semestre 2026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Opción B — si aún está en desarrollo sin fecha confirmada: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  ⏳ En desarrollo — fecha de lanzamiento por confirmar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NOTA PARA AGUSTÍN: elegir cuál de las dos opciones aplica según el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estado real de la credencial antes de que Antigravity implemente.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Si hay una fecha confirmada, reemplazar la opción elegida con esa fecha.</w:t>
      </w:r>
    </w:p>
    <w:p>
      <w:pPr>
        <w:spacing w:after="0" w:before="140"/>
      </w:pPr>
      <w:r>
        <w:t xml:space="preserve"/>
      </w:r>
    </w:p>
    <w:p>
      <w:pPr>
        <w:shd w:fill="003087" w:val="clear"/>
        <w:spacing w:after="0" w:before="320"/>
        <w:ind w:left="240" w:right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B-07  </w:t>
      </w: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Actualizar año en el copyright del footer</w:t>
      </w:r>
      <w:r>
        <w:rPr>
          <w:rFonts w:ascii="Arial" w:cs="Arial" w:eastAsia="Arial" w:hAnsi="Arial"/>
          <w:b/>
          <w:bCs/>
          <w:color w:val="C6A642"/>
          <w:sz w:val="22"/>
          <w:szCs w:val="22"/>
        </w:rPr>
        <w:t xml:space="preserve">   [MEDIA]</w:t>
      </w:r>
    </w:p>
    <w:p>
      <w:pPr>
        <w:shd w:fill="D6E4F7" w:val="clear"/>
        <w:spacing w:after="120" w:before="0"/>
        <w:ind w:left="24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Ubicación: Footer del sitio — línea que dice '© 2025 Universidad de Costa Rica | CIOdD – DIPROVID...'</w:t>
      </w:r>
    </w:p>
    <w:p>
      <w:pPr>
        <w:shd w:fill="1B5E2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INSTRUCCIÓN TÉCNICA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ACCIÓN: Localizar en el footer la línea: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'© 2025 Universidad de Costa Rica | CIOdD – DIPROVID | Colaboración: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   Programa Auge (UCR)'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Reemplazar solo el año '2025' con '2025–2026'.</w:t>
      </w:r>
    </w:p>
    <w:p>
      <w:pPr>
        <w:shd w:fill="E8F5E9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B4020"/>
          <w:sz w:val="18"/>
          <w:szCs w:val="18"/>
        </w:rPr>
        <w:t xml:space="preserve">No tocar ningún otro texto del footer.</w:t>
      </w:r>
    </w:p>
    <w:p>
      <w:pPr>
        <w:shd w:fill="1A56A0" w:val="clear"/>
        <w:spacing w:after="0" w:before="6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CONTENIDO A INSERTAR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LÍNEA COMPLETA DESPUÉS DEL CAMBIO: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© 2025–2026 Universidad de Costa Rica | CIOdD – DIPROVID | Colaboración: Programa Auge (UCR)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/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NOTA: Se usa '2025–2026' y no solo '2026' para preservar el año de</w:t>
      </w:r>
    </w:p>
    <w:p>
      <w:pPr>
        <w:shd w:fill="F0F4FA" w:val="clear"/>
        <w:spacing w:after="20" w:before="20" w:line="260"/>
        <w:ind w:left="360" w:right="240"/>
      </w:pPr>
      <w:r>
        <w:rPr>
          <w:rFonts w:ascii="Courier New" w:cs="Courier New" w:eastAsia="Courier New" w:hAnsi="Courier New"/>
          <w:color w:val="1A3A6B"/>
          <w:sz w:val="18"/>
          <w:szCs w:val="18"/>
        </w:rPr>
        <w:t xml:space="preserve">creación original del sitio y reflejar que el programa sigue activo.</w:t>
      </w:r>
    </w:p>
    <w:p>
      <w:pPr>
        <w:spacing w:after="0" w:before="200"/>
      </w:pPr>
      <w:r>
        <w:t xml:space="preserve"/>
      </w:r>
    </w:p>
    <w:p>
      <w:pPr>
        <w:pBdr>
          <w:bottom w:val="single" w:color="C6A642" w:sz="4" w:space="1"/>
        </w:pBdr>
        <w:spacing w:after="160" w:before="160"/>
      </w:pPr>
    </w:p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CIOdD–DiproviT | Universidad de Costa Rica | Proyecto ED-3698 | Junio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A642" w:sz="2" w:space="2"/>
      </w:pBdr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CIOdD–DiproviT | Universidad de Costa Rica | Proyecto ED-3698 |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A642" w:sz="2" w:space="2"/>
      </w:pBdr>
      <w:tabs>
        <w:tab w:val="right" w:pos="9360"/>
      </w:tabs>
      <w:spacing w:after="80"/>
    </w:pPr>
    <w:r>
      <w:rPr>
        <w:rFonts w:ascii="Arial" w:cs="Arial" w:eastAsia="Arial" w:hAnsi="Arial"/>
        <w:color w:val="888888"/>
        <w:sz w:val="16"/>
        <w:szCs w:val="16"/>
      </w:rPr>
      <w:t xml:space="preserve">BRIEFING ANTIGRAVITY v2 — CAJA DE HERRAMIENTAS IA MIPYME | BRECHAS DETECTADAS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A642" w:sz="4" w:space="4"/>
      </w:pBdr>
      <w:spacing w:after="200" w:before="400"/>
      <w:outlineLvl w:val="0"/>
    </w:pPr>
    <w:rPr>
      <w:rFonts w:ascii="Arial" w:cs="Arial" w:eastAsia="Arial" w:hAnsi="Arial"/>
      <w:b/>
      <w:bCs/>
      <w:color w:val="00308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030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2026-06-15T20:14:06.945Z</dcterms:created>
  <dcterms:modified xsi:type="dcterms:W3CDTF">2026-06-15T20:14:06.958Z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