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600"/>
        <w:jc w:val="center"/>
      </w:pPr>
      <w:r>
        <w:rPr>
          <w:rFonts w:ascii="Arial" w:cs="Arial" w:eastAsia="Arial" w:hAnsi="Arial"/>
          <w:b/>
          <w:bCs/>
          <w:color w:val="003366"/>
          <w:sz w:val="40"/>
          <w:szCs w:val="40"/>
        </w:rPr>
        <w:t xml:space="preserve">PLAN DE IMPLEMENTACIÓN DE MEJORAS</w:t>
      </w:r>
    </w:p>
    <w:p>
      <w:pPr>
        <w:spacing w:after="60" w:before="0"/>
        <w:jc w:val="center"/>
      </w:pPr>
      <w:r>
        <w:rPr>
          <w:rFonts w:ascii="Arial" w:cs="Arial" w:eastAsia="Arial" w:hAnsi="Arial"/>
          <w:b/>
          <w:bCs/>
          <w:color w:val="1A5276"/>
          <w:sz w:val="32"/>
          <w:szCs w:val="32"/>
        </w:rPr>
        <w:t xml:space="preserve">Caja de Herramientas de IA para la MiPYME</w:t>
      </w:r>
    </w:p>
    <w:p>
      <w:pPr>
        <w:spacing w:after="200" w:before="0"/>
        <w:jc w:val="center"/>
      </w:pPr>
      <w:r>
        <w:rPr>
          <w:rFonts w:ascii="Arial" w:cs="Arial" w:eastAsia="Arial" w:hAnsi="Arial"/>
          <w:color w:val="2E86C1"/>
          <w:sz w:val="28"/>
          <w:szCs w:val="28"/>
        </w:rPr>
        <w:t xml:space="preserve">Integración con el Programa Auge — UCR</w:t>
      </w:r>
    </w:p>
    <w:p>
      <w:pPr>
        <w:pBdr>
          <w:bottom w:val="single" w:color="2E86C1" w:sz="6" w:space="1"/>
        </w:pBdr>
        <w:spacing w:after="120" w:before="120"/>
      </w:pPr>
    </w:p>
    <w:p>
      <w:pPr>
        <w:spacing w:after="60" w:before="120"/>
        <w:jc w:val="center"/>
      </w:pPr>
      <w:r>
        <w:rPr>
          <w:rFonts w:ascii="Arial" w:cs="Arial" w:eastAsia="Arial" w:hAnsi="Arial"/>
          <w:color w:val="424949"/>
          <w:sz w:val="20"/>
          <w:szCs w:val="20"/>
        </w:rPr>
        <w:t xml:space="preserve">Preparado por: Observatorio del Desarrollo (CIOdD-UCR) / DIPROVID</w:t>
      </w:r>
    </w:p>
    <w:p>
      <w:pPr>
        <w:spacing w:after="60" w:before="0"/>
        <w:jc w:val="center"/>
      </w:pPr>
      <w:r>
        <w:rPr>
          <w:rFonts w:ascii="Arial" w:cs="Arial" w:eastAsia="Arial" w:hAnsi="Arial"/>
          <w:color w:val="424949"/>
          <w:sz w:val="20"/>
          <w:szCs w:val="20"/>
        </w:rPr>
        <w:t xml:space="preserve">Basado en la Reunión Técnica de Validación — Junio 2025</w:t>
      </w:r>
    </w:p>
    <w:p>
      <w:pPr>
        <w:spacing w:after="60" w:before="0"/>
        <w:jc w:val="center"/>
      </w:pPr>
      <w:r>
        <w:rPr>
          <w:rFonts w:ascii="Arial" w:cs="Arial" w:eastAsia="Arial" w:hAnsi="Arial"/>
          <w:i/>
          <w:iCs/>
          <w:color w:val="999999"/>
          <w:sz w:val="18"/>
          <w:szCs w:val="18"/>
        </w:rPr>
        <w:t xml:space="preserve">Versión: 1.0 | Confidencial para uso interno</w:t>
      </w:r>
    </w:p>
    <w:p>
      <w:pPr>
        <w:spacing w:after="0" w:before="200"/>
      </w:pPr>
    </w:p>
    <w:p>
      <w:pPr>
        <w:pStyle w:val="Heading1"/>
        <w:spacing w:after="160" w:before="320"/>
      </w:pPr>
      <w:r>
        <w:rPr>
          <w:rFonts w:ascii="Arial" w:cs="Arial" w:eastAsia="Arial" w:hAnsi="Arial"/>
          <w:b/>
          <w:bCs/>
          <w:color w:val="003366"/>
          <w:sz w:val="28"/>
          <w:szCs w:val="28"/>
        </w:rPr>
        <w:t xml:space="preserve">1. Resumen Ejecutivo</w:t>
      </w:r>
    </w:p>
    <w:p>
      <w:pPr>
        <w:spacing w:after="80" w:before="80"/>
      </w:pPr>
      <w:r>
        <w:rPr>
          <w:rFonts w:ascii="Arial" w:cs="Arial" w:eastAsia="Arial" w:hAnsi="Arial"/>
          <w:color w:val="424949"/>
          <w:sz w:val="20"/>
          <w:szCs w:val="20"/>
        </w:rPr>
        <w:t xml:space="preserve">La reunión técnica de validación del sitio agmelendez.github.io/cajaherramientaspymes identificó una brecha estructural entre el diseño actual del kit —orientado a negocios en marcha (DIPROVID)— y el perfil mayoritario de la cartera de Auge, que opera con una proporción estimada 80/20: el 80% de sus ~150 proyectos anuales se encuentran en etapa de idea o validación, sin ventas consolidadas.</w:t>
      </w:r>
    </w:p>
    <w:p>
      <w:pPr>
        <w:spacing w:after="0" w:before="80"/>
      </w:pPr>
    </w:p>
    <w:p>
      <w:pPr>
        <w:spacing w:after="80" w:before="80"/>
      </w:pPr>
      <w:r>
        <w:rPr>
          <w:rFonts w:ascii="Arial" w:cs="Arial" w:eastAsia="Arial" w:hAnsi="Arial"/>
          <w:color w:val="424949"/>
          <w:sz w:val="20"/>
          <w:szCs w:val="20"/>
        </w:rPr>
        <w:t xml:space="preserve">Este documento traduce los hallazgos de validación en un plan de implementación por fases, con énfasis en cuatro ejes: (i) construcción de un Módulo 0 de diagnóstico, (ii) desarrollo de un Toolkit 1 pre-operativo, (iii) institucionalización de las licencias y los activos digitales, y (iv) habilitación de un laboratorio presencial en Auge. El plan articula además la propuesta de colaboración entre Auge (financiamiento de licencias de arranque) y el Observatorio (desarrollo de contenidos).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4"/>
              <w:left w:val="single" w:color="2E86C1" w:sz="24"/>
              <w:bottom w:val="single" w:color="2E86C1" w:sz="4"/>
              <w:right w:val="single" w:color="2E86C1" w:sz="4"/>
            </w:tcBorders>
            <w:shd w:fill="E8F4FD" w:val="clear"/>
            <w:tcMar>
              <w:top w:type="dxa" w:w="140"/>
              <w:left w:type="dxa" w:w="200"/>
              <w:bottom w:type="dxa" w:w="140"/>
              <w:right w:type="dxa" w:w="200"/>
            </w:tcMar>
          </w:tcPr>
          <w:p>
            <w:r>
              <w:rPr>
                <w:rFonts w:ascii="Arial" w:cs="Arial" w:eastAsia="Arial" w:hAnsi="Arial"/>
                <w:i/>
                <w:iCs/>
                <w:color w:val="424949"/>
                <w:sz w:val="20"/>
                <w:szCs w:val="20"/>
              </w:rPr>
              <w:t xml:space="preserve">Principio rector del rediseño (posición de Auge): la IA debe funcionar como acelerador del proceso emprendedor, no como sustituto. El emprendedor debe primero dominar el proceso; las herramientas de automatización llegan cuando ese proceso ya está comprendido.</w:t>
            </w:r>
          </w:p>
        </w:tc>
      </w:tr>
    </w:tbl>
    <w:p>
      <w:pPr>
        <w:spacing w:after="0" w:before="120"/>
      </w:pPr>
    </w:p>
    <w:p>
      <w:pPr>
        <w:pStyle w:val="Heading1"/>
        <w:spacing w:after="160" w:before="320"/>
      </w:pPr>
      <w:r>
        <w:rPr>
          <w:rFonts w:ascii="Arial" w:cs="Arial" w:eastAsia="Arial" w:hAnsi="Arial"/>
          <w:b/>
          <w:bCs/>
          <w:color w:val="003366"/>
          <w:sz w:val="28"/>
          <w:szCs w:val="28"/>
        </w:rPr>
        <w:t xml:space="preserve">2. Diagnóstico: Brechas Identificadas en la Validación</w:t>
      </w:r>
    </w:p>
    <w:p>
      <w:pPr>
        <w:pStyle w:val="Heading2"/>
        <w:spacing w:after="120" w:before="240"/>
      </w:pPr>
      <w:r>
        <w:rPr>
          <w:rFonts w:ascii="Arial" w:cs="Arial" w:eastAsia="Arial" w:hAnsi="Arial"/>
          <w:b/>
          <w:bCs/>
          <w:color w:val="1A5276"/>
          <w:sz w:val="24"/>
          <w:szCs w:val="24"/>
        </w:rPr>
        <w:t xml:space="preserve">2.1 Desalineación del perfil de usuario</w:t>
      </w:r>
    </w:p>
    <w:p>
      <w:pPr>
        <w:spacing w:after="80" w:before="80"/>
      </w:pPr>
      <w:r>
        <w:rPr>
          <w:rFonts w:ascii="Arial" w:cs="Arial" w:eastAsia="Arial" w:hAnsi="Arial"/>
          <w:color w:val="424949"/>
          <w:sz w:val="20"/>
          <w:szCs w:val="20"/>
        </w:rPr>
        <w:t xml:space="preserve">El kit DIPROVID vigente asume un negocio operativo con procesos establecidos susceptibles de automatización. Sin embargo, Auge atiende principalmente emprendedores en etapa conceptual. Esta desalineación produce una experiencia disfuncional: el emprendedor llega al sitio, encuentra herramientas de automatización de CRM o cálculo de ROI, y abandona al no encontrar relevancia con su situación.</w:t>
      </w:r>
    </w:p>
    <w:p>
      <w:pPr>
        <w:spacing w:after="0" w:before="60"/>
      </w:pPr>
    </w:p>
    <w:p>
      <w:pPr>
        <w:spacing w:after="80" w:before="80"/>
      </w:pPr>
      <w:r>
        <w:rPr>
          <w:rFonts w:ascii="Arial" w:cs="Arial" w:eastAsia="Arial" w:hAnsi="Arial"/>
          <w:color w:val="424949"/>
          <w:sz w:val="20"/>
          <w:szCs w:val="20"/>
        </w:rPr>
        <w:t xml:space="preserve">Las implicaciones son dobles: desde el punto de vista de retención, el usuario abandona prematuramente el programa; desde el punto de vista pedagógico, la exposición temprana a herramientas complejas genera lo que la literatura llama sobrecarga cognitiva extrínseca —obstáculo para el aprendizaje autogestionado.</w:t>
      </w:r>
    </w:p>
    <w:p>
      <w:pPr>
        <w:spacing w:after="0" w:before="80"/>
      </w:pPr>
    </w:p>
    <w:p>
      <w:pPr>
        <w:pStyle w:val="Heading2"/>
        <w:spacing w:after="120" w:before="240"/>
      </w:pPr>
      <w:r>
        <w:rPr>
          <w:rFonts w:ascii="Arial" w:cs="Arial" w:eastAsia="Arial" w:hAnsi="Arial"/>
          <w:b/>
          <w:bCs/>
          <w:color w:val="1A5276"/>
          <w:sz w:val="24"/>
          <w:szCs w:val="24"/>
        </w:rPr>
        <w:t xml:space="preserve">2.2 Problemas terminológicos y navegacionales</w:t>
      </w:r>
    </w:p>
    <w:p>
      <w:pPr>
        <w:spacing w:after="80" w:before="80"/>
      </w:pPr>
      <w:r>
        <w:rPr>
          <w:rFonts w:ascii="Arial" w:cs="Arial" w:eastAsia="Arial" w:hAnsi="Arial"/>
          <w:color w:val="424949"/>
          <w:sz w:val="20"/>
          <w:szCs w:val="20"/>
        </w:rPr>
        <w:t xml:space="preserve">El sitio actual combina indistintamente los términos 'modelo', 'programa' y 'modelo metodológico' para referirse a la misma estructura. Esta polisemia no es menor: en el contexto de formación de emprendedores, la falta de coherencia léxica genera confusión sobre el alcance y la naturaleza del recurso. Se recomienda adoptar una nomenclatura única y aplicarla desde los primeros elementos de la página.</w:t>
      </w:r>
    </w:p>
    <w:p>
      <w:pPr>
        <w:spacing w:after="0" w:before="60"/>
      </w:pPr>
    </w:p>
    <w:p>
      <w:pPr>
        <w:spacing w:after="80" w:before="80"/>
      </w:pPr>
      <w:r>
        <w:rPr>
          <w:rFonts w:ascii="Arial" w:cs="Arial" w:eastAsia="Arial" w:hAnsi="Arial"/>
          <w:color w:val="424949"/>
          <w:sz w:val="20"/>
          <w:szCs w:val="20"/>
        </w:rPr>
        <w:t xml:space="preserve">Adicionalmente, cada módulo carece de texto introductorio que contextualice el contenido antes de la infografía o el video. Si bien los recursos audiovisuales son bien valorados, la ausencia de texto de encuadre limita la navegación posterior y la recuperación de información (no hay lista de chequeo de componentes y herramientas por módulo).</w:t>
      </w:r>
    </w:p>
    <w:p>
      <w:pPr>
        <w:spacing w:after="0" w:before="80"/>
      </w:pPr>
    </w:p>
    <w:p>
      <w:pPr>
        <w:pStyle w:val="Heading2"/>
        <w:spacing w:after="120" w:before="240"/>
      </w:pPr>
      <w:r>
        <w:rPr>
          <w:rFonts w:ascii="Arial" w:cs="Arial" w:eastAsia="Arial" w:hAnsi="Arial"/>
          <w:b/>
          <w:bCs/>
          <w:color w:val="1A5276"/>
          <w:sz w:val="24"/>
          <w:szCs w:val="24"/>
        </w:rPr>
        <w:t xml:space="preserve">2.3 Riesgo de sostenibilidad por institucionalización incompleta</w:t>
      </w:r>
    </w:p>
    <w:p>
      <w:pPr>
        <w:spacing w:after="80" w:before="80"/>
      </w:pPr>
      <w:r>
        <w:rPr>
          <w:rFonts w:ascii="Arial" w:cs="Arial" w:eastAsia="Arial" w:hAnsi="Arial"/>
          <w:color w:val="424949"/>
          <w:sz w:val="20"/>
          <w:szCs w:val="20"/>
        </w:rPr>
        <w:t xml:space="preserve">Los GPTs especializados (incluido el GPT Emprendedores V2, OBI, Guía de Costeo, Marketing Digital, etc.) están alojados en cuentas personales y en la cuenta de la UNED, no en una cuenta institucional de la UCR, DIPROVID o Auge. Esto genera:</w:t>
      </w:r>
    </w:p>
    <w:p>
      <w:pPr>
        <w:pStyle w:val="ListParagraph"/>
        <w:numPr>
          <w:ilvl w:val="0"/>
          <w:numId w:val="2"/>
        </w:numPr>
        <w:spacing w:after="40" w:before="40"/>
      </w:pPr>
      <w:r>
        <w:rPr>
          <w:rFonts w:ascii="Arial" w:cs="Arial" w:eastAsia="Arial" w:hAnsi="Arial"/>
          <w:color w:val="424949"/>
          <w:sz w:val="20"/>
          <w:szCs w:val="20"/>
        </w:rPr>
        <w:t xml:space="preserve">Confusión sobre qué institución respalda cada recurso —un problema de gobernanza y confianza institucional.</w:t>
      </w:r>
    </w:p>
    <w:p>
      <w:pPr>
        <w:pStyle w:val="ListParagraph"/>
        <w:numPr>
          <w:ilvl w:val="0"/>
          <w:numId w:val="2"/>
        </w:numPr>
        <w:spacing w:after="40" w:before="40"/>
      </w:pPr>
      <w:r>
        <w:rPr>
          <w:rFonts w:ascii="Arial" w:cs="Arial" w:eastAsia="Arial" w:hAnsi="Arial"/>
          <w:color w:val="424949"/>
          <w:sz w:val="20"/>
          <w:szCs w:val="20"/>
        </w:rPr>
        <w:t xml:space="preserve">Riesgo operativo: si la licencia personal no se renueva en noviembre, todos los asistentes entrenados dejan de ser accesibles para los emprendedores sin posibilidad de migración simple.</w:t>
      </w:r>
    </w:p>
    <w:p>
      <w:pPr>
        <w:pStyle w:val="ListParagraph"/>
        <w:numPr>
          <w:ilvl w:val="0"/>
          <w:numId w:val="2"/>
        </w:numPr>
        <w:spacing w:after="40" w:before="40"/>
      </w:pPr>
      <w:r>
        <w:rPr>
          <w:rFonts w:ascii="Arial" w:cs="Arial" w:eastAsia="Arial" w:hAnsi="Arial"/>
          <w:color w:val="424949"/>
          <w:sz w:val="20"/>
          <w:szCs w:val="20"/>
        </w:rPr>
        <w:t xml:space="preserve">Impedimento para escalar: una cuenta empresarial centralizada permite gestión de permisos, auditoría de uso y continuidad institucional.</w:t>
      </w:r>
    </w:p>
    <w:p>
      <w:pPr>
        <w:spacing w:after="0" w:before="60"/>
      </w:pPr>
    </w:p>
    <w:p>
      <w:pPr>
        <w:spacing w:after="80" w:before="80"/>
      </w:pPr>
      <w:r>
        <w:rPr>
          <w:rFonts w:ascii="Arial" w:cs="Arial" w:eastAsia="Arial" w:hAnsi="Arial"/>
          <w:color w:val="424949"/>
          <w:sz w:val="20"/>
          <w:szCs w:val="20"/>
        </w:rPr>
        <w:t xml:space="preserve">El costo de renovación estimado para las licencias esenciales ronda los $3,000 anuales. Este monto es manejable si se aborda como inversión institucional compartida (Auge-Observatorio), pero resulta inviable si depende de cuentas personales.</w:t>
      </w:r>
    </w:p>
    <w:p>
      <w:pPr>
        <w:spacing w:after="0" w:before="120"/>
      </w:pPr>
    </w:p>
    <w:p>
      <w:pPr>
        <w:pBdr>
          <w:bottom w:val="single" w:color="003366" w:sz="6" w:space="1"/>
        </w:pBdr>
        <w:spacing w:after="120" w:before="120"/>
      </w:pPr>
    </w:p>
    <w:p>
      <w:pPr>
        <w:pStyle w:val="Heading1"/>
        <w:spacing w:after="160" w:before="320"/>
      </w:pPr>
      <w:r>
        <w:rPr>
          <w:rFonts w:ascii="Arial" w:cs="Arial" w:eastAsia="Arial" w:hAnsi="Arial"/>
          <w:b/>
          <w:bCs/>
          <w:color w:val="003366"/>
          <w:sz w:val="28"/>
          <w:szCs w:val="28"/>
        </w:rPr>
        <w:t xml:space="preserve">3. Plan de Implementación por Fases</w:t>
      </w:r>
    </w:p>
    <w:p>
      <w:pPr>
        <w:spacing w:after="80" w:before="80"/>
      </w:pPr>
      <w:r>
        <w:rPr>
          <w:rFonts w:ascii="Arial" w:cs="Arial" w:eastAsia="Arial" w:hAnsi="Arial"/>
          <w:color w:val="424949"/>
          <w:sz w:val="20"/>
          <w:szCs w:val="20"/>
        </w:rPr>
        <w:t xml:space="preserve">El plan se organiza en cuatro fases progresivas, diseñadas para que cada una genere valor independiente y no bloquee la siguiente.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4560"/>
        <w:gridCol w:w="2000"/>
      </w:tblGrid>
      <w:tr>
        <w:tc>
          <w:tcPr>
            <w:tcW w:type="dxa" w:w="1400"/>
            <w:tcBorders>
              <w:top w:val="single" w:color="AAAAAA" w:sz="4"/>
              <w:left w:val="single" w:color="AAAAAA" w:sz="4"/>
              <w:bottom w:val="single" w:color="AAAAAA" w:sz="4"/>
              <w:right w:val="single" w:color="AAAAAA" w:sz="4"/>
            </w:tcBorders>
            <w:shd w:fill="003366"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Fase</w:t>
            </w:r>
          </w:p>
        </w:tc>
        <w:tc>
          <w:tcPr>
            <w:tcW w:type="dxa" w:w="1400"/>
            <w:tcBorders>
              <w:top w:val="single" w:color="AAAAAA" w:sz="4"/>
              <w:left w:val="single" w:color="AAAAAA" w:sz="4"/>
              <w:bottom w:val="single" w:color="AAAAAA" w:sz="4"/>
              <w:right w:val="single" w:color="AAAAAA" w:sz="4"/>
            </w:tcBorders>
            <w:shd w:fill="003366"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Período</w:t>
            </w:r>
          </w:p>
        </w:tc>
        <w:tc>
          <w:tcPr>
            <w:tcW w:type="dxa" w:w="4560"/>
            <w:tcBorders>
              <w:top w:val="single" w:color="AAAAAA" w:sz="4"/>
              <w:left w:val="single" w:color="AAAAAA" w:sz="4"/>
              <w:bottom w:val="single" w:color="AAAAAA" w:sz="4"/>
              <w:right w:val="single" w:color="AAAAAA" w:sz="4"/>
            </w:tcBorders>
            <w:shd w:fill="003366"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Ámbito de Mejoras</w:t>
            </w:r>
          </w:p>
        </w:tc>
        <w:tc>
          <w:tcPr>
            <w:tcW w:type="dxa" w:w="2000"/>
            <w:tcBorders>
              <w:top w:val="single" w:color="AAAAAA" w:sz="4"/>
              <w:left w:val="single" w:color="AAAAAA" w:sz="4"/>
              <w:bottom w:val="single" w:color="AAAAAA" w:sz="4"/>
              <w:right w:val="single" w:color="AAAAAA" w:sz="4"/>
            </w:tcBorders>
            <w:shd w:fill="003366"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Responsables</w:t>
            </w:r>
          </w:p>
        </w:tc>
      </w:tr>
      <w:tr>
        <w:tc>
          <w:tcPr>
            <w:tcW w:type="dxa" w:w="1400"/>
            <w:tcBorders>
              <w:top w:val="single" w:color="AAAAAA" w:sz="4"/>
              <w:left w:val="single" w:color="AAAAAA" w:sz="4"/>
              <w:bottom w:val="single" w:color="AAAAAA" w:sz="4"/>
              <w:right w:val="single" w:color="AAAAAA" w:sz="4"/>
            </w:tcBorders>
            <w:shd w:fill="E8F4FD" w:val="clear"/>
            <w:tcMar>
              <w:top w:type="dxa" w:w="80"/>
              <w:left w:type="dxa" w:w="150"/>
              <w:bottom w:type="dxa" w:w="80"/>
              <w:right w:type="dxa" w:w="150"/>
            </w:tcMar>
            <w:vAlign w:val="top"/>
          </w:tcPr>
          <w:p>
            <w:pPr>
              <w:jc w:val="left"/>
            </w:pPr>
            <w:r>
              <w:rPr>
                <w:rFonts w:ascii="Arial" w:cs="Arial" w:eastAsia="Arial" w:hAnsi="Arial"/>
                <w:b/>
                <w:bCs/>
                <w:color w:val="000000"/>
                <w:sz w:val="18"/>
                <w:szCs w:val="18"/>
              </w:rPr>
              <w:t xml:space="preserve">0 — Fundamentos</w:t>
            </w:r>
          </w:p>
        </w:tc>
        <w:tc>
          <w:tcPr>
            <w:tcW w:type="dxa" w:w="1400"/>
            <w:tcBorders>
              <w:top w:val="single" w:color="AAAAAA" w:sz="4"/>
              <w:left w:val="single" w:color="AAAAAA" w:sz="4"/>
              <w:bottom w:val="single" w:color="AAAAAA" w:sz="4"/>
              <w:right w:val="single" w:color="AAAAAA" w:sz="4"/>
            </w:tcBorders>
            <w:shd w:fill="E8F4FD" w:val="clear"/>
            <w:tcMar>
              <w:top w:type="dxa" w:w="80"/>
              <w:left w:type="dxa" w:w="150"/>
              <w:bottom w:type="dxa" w:w="80"/>
              <w:right w:type="dxa" w:w="150"/>
            </w:tcMar>
            <w:vAlign w:val="top"/>
          </w:tcPr>
          <w:p>
            <w:pPr>
              <w:jc w:val="left"/>
            </w:pPr>
            <w:r>
              <w:rPr>
                <w:rFonts w:ascii="Arial" w:cs="Arial" w:eastAsia="Arial" w:hAnsi="Arial"/>
                <w:b w:val="false"/>
                <w:bCs w:val="false"/>
                <w:color w:val="000000"/>
                <w:sz w:val="18"/>
                <w:szCs w:val="18"/>
              </w:rPr>
              <w:t xml:space="preserve">Jun–Jul 2025</w:t>
            </w:r>
          </w:p>
        </w:tc>
        <w:tc>
          <w:tcPr>
            <w:tcW w:type="dxa" w:w="4560"/>
            <w:tcBorders>
              <w:top w:val="single" w:color="AAAAAA" w:sz="4"/>
              <w:left w:val="single" w:color="AAAAAA" w:sz="4"/>
              <w:bottom w:val="single" w:color="AAAAAA" w:sz="4"/>
              <w:right w:val="single" w:color="AAAAAA" w:sz="4"/>
            </w:tcBorders>
            <w:shd w:fill="E8F4FD" w:val="clear"/>
            <w:tcMar>
              <w:top w:type="dxa" w:w="80"/>
              <w:left w:type="dxa" w:w="150"/>
              <w:bottom w:type="dxa" w:w="80"/>
              <w:right w:type="dxa" w:w="150"/>
            </w:tcMar>
            <w:vAlign w:val="top"/>
          </w:tcPr>
          <w:p>
            <w:pPr>
              <w:jc w:val="left"/>
            </w:pPr>
            <w:r>
              <w:rPr>
                <w:rFonts w:ascii="Arial" w:cs="Arial" w:eastAsia="Arial" w:hAnsi="Arial"/>
                <w:b w:val="false"/>
                <w:bCs w:val="false"/>
                <w:color w:val="000000"/>
                <w:sz w:val="18"/>
                <w:szCs w:val="18"/>
              </w:rPr>
              <w:t xml:space="preserve">Módulo 0 de diagnóstico, unificación terminológica, institucionalización de assets</w:t>
            </w:r>
          </w:p>
        </w:tc>
        <w:tc>
          <w:tcPr>
            <w:tcW w:type="dxa" w:w="2000"/>
            <w:tcBorders>
              <w:top w:val="single" w:color="AAAAAA" w:sz="4"/>
              <w:left w:val="single" w:color="AAAAAA" w:sz="4"/>
              <w:bottom w:val="single" w:color="AAAAAA" w:sz="4"/>
              <w:right w:val="single" w:color="AAAAAA" w:sz="4"/>
            </w:tcBorders>
            <w:shd w:fill="E8F4FD" w:val="clear"/>
            <w:tcMar>
              <w:top w:type="dxa" w:w="80"/>
              <w:left w:type="dxa" w:w="150"/>
              <w:bottom w:type="dxa" w:w="80"/>
              <w:right w:type="dxa" w:w="150"/>
            </w:tcMar>
            <w:vAlign w:val="top"/>
          </w:tcPr>
          <w:p>
            <w:pPr>
              <w:jc w:val="left"/>
            </w:pPr>
            <w:r>
              <w:rPr>
                <w:rFonts w:ascii="Arial" w:cs="Arial" w:eastAsia="Arial" w:hAnsi="Arial"/>
                <w:b w:val="false"/>
                <w:bCs w:val="false"/>
                <w:color w:val="000000"/>
                <w:sz w:val="18"/>
                <w:szCs w:val="18"/>
              </w:rPr>
              <w:t xml:space="preserve">Observatorio / Agustín</w:t>
            </w:r>
          </w:p>
        </w:tc>
      </w:tr>
      <w:tr>
        <w:tc>
          <w:tcPr>
            <w:tcW w:type="dxa" w:w="1400"/>
            <w:tcBorders>
              <w:top w:val="single" w:color="AAAAAA" w:sz="4"/>
              <w:left w:val="single" w:color="AAAAAA" w:sz="4"/>
              <w:bottom w:val="single" w:color="AAAAAA" w:sz="4"/>
              <w:right w:val="single" w:color="AAAAAA" w:sz="4"/>
            </w:tcBorders>
            <w:shd w:fill="EAF4EA" w:val="clear"/>
            <w:tcMar>
              <w:top w:type="dxa" w:w="80"/>
              <w:left w:type="dxa" w:w="150"/>
              <w:bottom w:type="dxa" w:w="80"/>
              <w:right w:type="dxa" w:w="150"/>
            </w:tcMar>
            <w:vAlign w:val="top"/>
          </w:tcPr>
          <w:p>
            <w:pPr>
              <w:jc w:val="left"/>
            </w:pPr>
            <w:r>
              <w:rPr>
                <w:rFonts w:ascii="Arial" w:cs="Arial" w:eastAsia="Arial" w:hAnsi="Arial"/>
                <w:b/>
                <w:bCs/>
                <w:color w:val="000000"/>
                <w:sz w:val="18"/>
                <w:szCs w:val="18"/>
              </w:rPr>
              <w:t xml:space="preserve">1 — Toolkit 1 (pre-op.)</w:t>
            </w:r>
          </w:p>
        </w:tc>
        <w:tc>
          <w:tcPr>
            <w:tcW w:type="dxa" w:w="1400"/>
            <w:tcBorders>
              <w:top w:val="single" w:color="AAAAAA" w:sz="4"/>
              <w:left w:val="single" w:color="AAAAAA" w:sz="4"/>
              <w:bottom w:val="single" w:color="AAAAAA" w:sz="4"/>
              <w:right w:val="single" w:color="AAAAAA" w:sz="4"/>
            </w:tcBorders>
            <w:shd w:fill="EAF4EA" w:val="clear"/>
            <w:tcMar>
              <w:top w:type="dxa" w:w="80"/>
              <w:left w:type="dxa" w:w="150"/>
              <w:bottom w:type="dxa" w:w="80"/>
              <w:right w:type="dxa" w:w="150"/>
            </w:tcMar>
            <w:vAlign w:val="top"/>
          </w:tcPr>
          <w:p>
            <w:pPr>
              <w:jc w:val="left"/>
            </w:pPr>
            <w:r>
              <w:rPr>
                <w:rFonts w:ascii="Arial" w:cs="Arial" w:eastAsia="Arial" w:hAnsi="Arial"/>
                <w:b w:val="false"/>
                <w:bCs w:val="false"/>
                <w:color w:val="000000"/>
                <w:sz w:val="18"/>
                <w:szCs w:val="18"/>
              </w:rPr>
              <w:t xml:space="preserve">Jul–Sep 2025</w:t>
            </w:r>
          </w:p>
        </w:tc>
        <w:tc>
          <w:tcPr>
            <w:tcW w:type="dxa" w:w="4560"/>
            <w:tcBorders>
              <w:top w:val="single" w:color="AAAAAA" w:sz="4"/>
              <w:left w:val="single" w:color="AAAAAA" w:sz="4"/>
              <w:bottom w:val="single" w:color="AAAAAA" w:sz="4"/>
              <w:right w:val="single" w:color="AAAAAA" w:sz="4"/>
            </w:tcBorders>
            <w:shd w:fill="EAF4EA" w:val="clear"/>
            <w:tcMar>
              <w:top w:type="dxa" w:w="80"/>
              <w:left w:type="dxa" w:w="150"/>
              <w:bottom w:type="dxa" w:w="80"/>
              <w:right w:type="dxa" w:w="150"/>
            </w:tcMar>
            <w:vAlign w:val="top"/>
          </w:tcPr>
          <w:p>
            <w:pPr>
              <w:jc w:val="left"/>
            </w:pPr>
            <w:r>
              <w:rPr>
                <w:rFonts w:ascii="Arial" w:cs="Arial" w:eastAsia="Arial" w:hAnsi="Arial"/>
                <w:b w:val="false"/>
                <w:bCs w:val="false"/>
                <w:color w:val="000000"/>
                <w:sz w:val="18"/>
                <w:szCs w:val="18"/>
              </w:rPr>
              <w:t xml:space="preserve">Módulos para etapa de idea: Google Trends, validación de mercado, encuestas, análisis de consumidores</w:t>
            </w:r>
          </w:p>
        </w:tc>
        <w:tc>
          <w:tcPr>
            <w:tcW w:type="dxa" w:w="2000"/>
            <w:tcBorders>
              <w:top w:val="single" w:color="AAAAAA" w:sz="4"/>
              <w:left w:val="single" w:color="AAAAAA" w:sz="4"/>
              <w:bottom w:val="single" w:color="AAAAAA" w:sz="4"/>
              <w:right w:val="single" w:color="AAAAAA" w:sz="4"/>
            </w:tcBorders>
            <w:shd w:fill="EAF4EA" w:val="clear"/>
            <w:tcMar>
              <w:top w:type="dxa" w:w="80"/>
              <w:left w:type="dxa" w:w="150"/>
              <w:bottom w:type="dxa" w:w="80"/>
              <w:right w:type="dxa" w:w="150"/>
            </w:tcMar>
            <w:vAlign w:val="top"/>
          </w:tcPr>
          <w:p>
            <w:pPr>
              <w:jc w:val="left"/>
            </w:pPr>
            <w:r>
              <w:rPr>
                <w:rFonts w:ascii="Arial" w:cs="Arial" w:eastAsia="Arial" w:hAnsi="Arial"/>
                <w:b w:val="false"/>
                <w:bCs w:val="false"/>
                <w:color w:val="000000"/>
                <w:sz w:val="18"/>
                <w:szCs w:val="18"/>
              </w:rPr>
              <w:t xml:space="preserve">Observatorio + Auge (Luis, Cris, Tati)</w:t>
            </w:r>
          </w:p>
        </w:tc>
      </w:tr>
      <w:tr>
        <w:tc>
          <w:tcPr>
            <w:tcW w:type="dxa" w:w="1400"/>
            <w:tcBorders>
              <w:top w:val="single" w:color="AAAAAA" w:sz="4"/>
              <w:left w:val="single" w:color="AAAAAA" w:sz="4"/>
              <w:bottom w:val="single" w:color="AAAAAA" w:sz="4"/>
              <w:right w:val="single" w:color="AAAAAA" w:sz="4"/>
            </w:tcBorders>
            <w:shd w:fill="FEF9E7" w:val="clear"/>
            <w:tcMar>
              <w:top w:type="dxa" w:w="80"/>
              <w:left w:type="dxa" w:w="150"/>
              <w:bottom w:type="dxa" w:w="80"/>
              <w:right w:type="dxa" w:w="150"/>
            </w:tcMar>
            <w:vAlign w:val="top"/>
          </w:tcPr>
          <w:p>
            <w:pPr>
              <w:jc w:val="left"/>
            </w:pPr>
            <w:r>
              <w:rPr>
                <w:rFonts w:ascii="Arial" w:cs="Arial" w:eastAsia="Arial" w:hAnsi="Arial"/>
                <w:b/>
                <w:bCs/>
                <w:color w:val="000000"/>
                <w:sz w:val="18"/>
                <w:szCs w:val="18"/>
              </w:rPr>
              <w:t xml:space="preserve">2 — Infraestructura</w:t>
            </w:r>
          </w:p>
        </w:tc>
        <w:tc>
          <w:tcPr>
            <w:tcW w:type="dxa" w:w="1400"/>
            <w:tcBorders>
              <w:top w:val="single" w:color="AAAAAA" w:sz="4"/>
              <w:left w:val="single" w:color="AAAAAA" w:sz="4"/>
              <w:bottom w:val="single" w:color="AAAAAA" w:sz="4"/>
              <w:right w:val="single" w:color="AAAAAA" w:sz="4"/>
            </w:tcBorders>
            <w:shd w:fill="FEF9E7" w:val="clear"/>
            <w:tcMar>
              <w:top w:type="dxa" w:w="80"/>
              <w:left w:type="dxa" w:w="150"/>
              <w:bottom w:type="dxa" w:w="80"/>
              <w:right w:type="dxa" w:w="150"/>
            </w:tcMar>
            <w:vAlign w:val="top"/>
          </w:tcPr>
          <w:p>
            <w:pPr>
              <w:jc w:val="left"/>
            </w:pPr>
            <w:r>
              <w:rPr>
                <w:rFonts w:ascii="Arial" w:cs="Arial" w:eastAsia="Arial" w:hAnsi="Arial"/>
                <w:b w:val="false"/>
                <w:bCs w:val="false"/>
                <w:color w:val="000000"/>
                <w:sz w:val="18"/>
                <w:szCs w:val="18"/>
              </w:rPr>
              <w:t xml:space="preserve">Ago–Oct 2025</w:t>
            </w:r>
          </w:p>
        </w:tc>
        <w:tc>
          <w:tcPr>
            <w:tcW w:type="dxa" w:w="4560"/>
            <w:tcBorders>
              <w:top w:val="single" w:color="AAAAAA" w:sz="4"/>
              <w:left w:val="single" w:color="AAAAAA" w:sz="4"/>
              <w:bottom w:val="single" w:color="AAAAAA" w:sz="4"/>
              <w:right w:val="single" w:color="AAAAAA" w:sz="4"/>
            </w:tcBorders>
            <w:shd w:fill="FEF9E7" w:val="clear"/>
            <w:tcMar>
              <w:top w:type="dxa" w:w="80"/>
              <w:left w:type="dxa" w:w="150"/>
              <w:bottom w:type="dxa" w:w="80"/>
              <w:right w:type="dxa" w:w="150"/>
            </w:tcMar>
            <w:vAlign w:val="top"/>
          </w:tcPr>
          <w:p>
            <w:pPr>
              <w:jc w:val="left"/>
            </w:pPr>
            <w:r>
              <w:rPr>
                <w:rFonts w:ascii="Arial" w:cs="Arial" w:eastAsia="Arial" w:hAnsi="Arial"/>
                <w:b w:val="false"/>
                <w:bCs w:val="false"/>
                <w:color w:val="000000"/>
                <w:sz w:val="18"/>
                <w:szCs w:val="18"/>
              </w:rPr>
              <w:t xml:space="preserve">Licencias institucionales, laboratorio Auge, protocolo de sesiones, migración de GPTs</w:t>
            </w:r>
          </w:p>
        </w:tc>
        <w:tc>
          <w:tcPr>
            <w:tcW w:type="dxa" w:w="2000"/>
            <w:tcBorders>
              <w:top w:val="single" w:color="AAAAAA" w:sz="4"/>
              <w:left w:val="single" w:color="AAAAAA" w:sz="4"/>
              <w:bottom w:val="single" w:color="AAAAAA" w:sz="4"/>
              <w:right w:val="single" w:color="AAAAAA" w:sz="4"/>
            </w:tcBorders>
            <w:shd w:fill="FEF9E7" w:val="clear"/>
            <w:tcMar>
              <w:top w:type="dxa" w:w="80"/>
              <w:left w:type="dxa" w:w="150"/>
              <w:bottom w:type="dxa" w:w="80"/>
              <w:right w:type="dxa" w:w="150"/>
            </w:tcMar>
            <w:vAlign w:val="top"/>
          </w:tcPr>
          <w:p>
            <w:pPr>
              <w:jc w:val="left"/>
            </w:pPr>
            <w:r>
              <w:rPr>
                <w:rFonts w:ascii="Arial" w:cs="Arial" w:eastAsia="Arial" w:hAnsi="Arial"/>
                <w:b w:val="false"/>
                <w:bCs w:val="false"/>
                <w:color w:val="000000"/>
                <w:sz w:val="18"/>
                <w:szCs w:val="18"/>
              </w:rPr>
              <w:t xml:space="preserve">DIPROVID / Auge / Observatorio</w:t>
            </w:r>
          </w:p>
        </w:tc>
      </w:tr>
      <w:tr>
        <w:tc>
          <w:tcPr>
            <w:tcW w:type="dxa" w:w="1400"/>
            <w:tcBorders>
              <w:top w:val="single" w:color="AAAAAA" w:sz="4"/>
              <w:left w:val="single" w:color="AAAAAA" w:sz="4"/>
              <w:bottom w:val="single" w:color="AAAAAA" w:sz="4"/>
              <w:right w:val="single" w:color="AAAAAA" w:sz="4"/>
            </w:tcBorders>
            <w:shd w:fill="FDEDEC" w:val="clear"/>
            <w:tcMar>
              <w:top w:type="dxa" w:w="80"/>
              <w:left w:type="dxa" w:w="150"/>
              <w:bottom w:type="dxa" w:w="80"/>
              <w:right w:type="dxa" w:w="150"/>
            </w:tcMar>
            <w:vAlign w:val="top"/>
          </w:tcPr>
          <w:p>
            <w:pPr>
              <w:jc w:val="left"/>
            </w:pPr>
            <w:r>
              <w:rPr>
                <w:rFonts w:ascii="Arial" w:cs="Arial" w:eastAsia="Arial" w:hAnsi="Arial"/>
                <w:b/>
                <w:bCs/>
                <w:color w:val="000000"/>
                <w:sz w:val="18"/>
                <w:szCs w:val="18"/>
              </w:rPr>
              <w:t xml:space="preserve">3 — Toolkit 2 + Cert.</w:t>
            </w:r>
          </w:p>
        </w:tc>
        <w:tc>
          <w:tcPr>
            <w:tcW w:type="dxa" w:w="1400"/>
            <w:tcBorders>
              <w:top w:val="single" w:color="AAAAAA" w:sz="4"/>
              <w:left w:val="single" w:color="AAAAAA" w:sz="4"/>
              <w:bottom w:val="single" w:color="AAAAAA" w:sz="4"/>
              <w:right w:val="single" w:color="AAAAAA" w:sz="4"/>
            </w:tcBorders>
            <w:shd w:fill="FDEDEC" w:val="clear"/>
            <w:tcMar>
              <w:top w:type="dxa" w:w="80"/>
              <w:left w:type="dxa" w:w="150"/>
              <w:bottom w:type="dxa" w:w="80"/>
              <w:right w:type="dxa" w:w="150"/>
            </w:tcMar>
            <w:vAlign w:val="top"/>
          </w:tcPr>
          <w:p>
            <w:pPr>
              <w:jc w:val="left"/>
            </w:pPr>
            <w:r>
              <w:rPr>
                <w:rFonts w:ascii="Arial" w:cs="Arial" w:eastAsia="Arial" w:hAnsi="Arial"/>
                <w:b w:val="false"/>
                <w:bCs w:val="false"/>
                <w:color w:val="000000"/>
                <w:sz w:val="18"/>
                <w:szCs w:val="18"/>
              </w:rPr>
              <w:t xml:space="preserve">Nov 2025+</w:t>
            </w:r>
          </w:p>
        </w:tc>
        <w:tc>
          <w:tcPr>
            <w:tcW w:type="dxa" w:w="4560"/>
            <w:tcBorders>
              <w:top w:val="single" w:color="AAAAAA" w:sz="4"/>
              <w:left w:val="single" w:color="AAAAAA" w:sz="4"/>
              <w:bottom w:val="single" w:color="AAAAAA" w:sz="4"/>
              <w:right w:val="single" w:color="AAAAAA" w:sz="4"/>
            </w:tcBorders>
            <w:shd w:fill="FDEDEC" w:val="clear"/>
            <w:tcMar>
              <w:top w:type="dxa" w:w="80"/>
              <w:left w:type="dxa" w:w="150"/>
              <w:bottom w:type="dxa" w:w="80"/>
              <w:right w:type="dxa" w:w="150"/>
            </w:tcMar>
            <w:vAlign w:val="top"/>
          </w:tcPr>
          <w:p>
            <w:pPr>
              <w:jc w:val="left"/>
            </w:pPr>
            <w:r>
              <w:rPr>
                <w:rFonts w:ascii="Arial" w:cs="Arial" w:eastAsia="Arial" w:hAnsi="Arial"/>
                <w:b w:val="false"/>
                <w:bCs w:val="false"/>
                <w:color w:val="000000"/>
                <w:sz w:val="18"/>
                <w:szCs w:val="18"/>
              </w:rPr>
              <w:t xml:space="preserve">Contenidos avanzados para negocios en marcha, certificación como incentivo, evaluación de impacto</w:t>
            </w:r>
          </w:p>
        </w:tc>
        <w:tc>
          <w:tcPr>
            <w:tcW w:type="dxa" w:w="2000"/>
            <w:tcBorders>
              <w:top w:val="single" w:color="AAAAAA" w:sz="4"/>
              <w:left w:val="single" w:color="AAAAAA" w:sz="4"/>
              <w:bottom w:val="single" w:color="AAAAAA" w:sz="4"/>
              <w:right w:val="single" w:color="AAAAAA" w:sz="4"/>
            </w:tcBorders>
            <w:shd w:fill="FDEDEC" w:val="clear"/>
            <w:tcMar>
              <w:top w:type="dxa" w:w="80"/>
              <w:left w:type="dxa" w:w="150"/>
              <w:bottom w:type="dxa" w:w="80"/>
              <w:right w:type="dxa" w:w="150"/>
            </w:tcMar>
            <w:vAlign w:val="top"/>
          </w:tcPr>
          <w:p>
            <w:pPr>
              <w:jc w:val="left"/>
            </w:pPr>
            <w:r>
              <w:rPr>
                <w:rFonts w:ascii="Arial" w:cs="Arial" w:eastAsia="Arial" w:hAnsi="Arial"/>
                <w:b w:val="false"/>
                <w:bCs w:val="false"/>
                <w:color w:val="000000"/>
                <w:sz w:val="18"/>
                <w:szCs w:val="18"/>
              </w:rPr>
              <w:t xml:space="preserve">Observatorio + DIPROVID (financiamiento propio)</w:t>
            </w:r>
          </w:p>
        </w:tc>
      </w:tr>
    </w:tbl>
    <w:p>
      <w:pPr>
        <w:spacing w:after="0" w:before="120"/>
      </w:pPr>
    </w:p>
    <w:p>
      <w:pPr>
        <w:pStyle w:val="Heading2"/>
        <w:spacing w:after="120" w:before="240"/>
      </w:pPr>
      <w:r>
        <w:rPr>
          <w:rFonts w:ascii="Arial" w:cs="Arial" w:eastAsia="Arial" w:hAnsi="Arial"/>
          <w:b/>
          <w:bCs/>
          <w:color w:val="1A5276"/>
          <w:sz w:val="24"/>
          <w:szCs w:val="24"/>
        </w:rPr>
        <w:t xml:space="preserve">3.1 Fase 0 — Fundamentos e Infraestructura Conceptual (Jun–Jul 2025)</w:t>
      </w:r>
    </w:p>
    <w:p>
      <w:pPr>
        <w:pStyle w:val="Heading3"/>
        <w:spacing w:after="80" w:before="160"/>
      </w:pPr>
      <w:r>
        <w:rPr>
          <w:rFonts w:ascii="Arial" w:cs="Arial" w:eastAsia="Arial" w:hAnsi="Arial"/>
          <w:b/>
          <w:bCs/>
          <w:color w:val="2E86C1"/>
          <w:sz w:val="22"/>
          <w:szCs w:val="22"/>
        </w:rPr>
        <w:t xml:space="preserve">3.1.1 Módulo 0: Diagnóstico de Entrada</w:t>
      </w:r>
    </w:p>
    <w:p>
      <w:pPr>
        <w:spacing w:after="80" w:before="80"/>
      </w:pPr>
      <w:r>
        <w:rPr>
          <w:rFonts w:ascii="Arial" w:cs="Arial" w:eastAsia="Arial" w:hAnsi="Arial"/>
          <w:color w:val="424949"/>
          <w:sz w:val="20"/>
          <w:szCs w:val="20"/>
        </w:rPr>
        <w:t xml:space="preserve">El Módulo 0 es la intervención de mayor impacto a corto plazo. Su función es doble: (a) diagnosticar el nivel del emprendedor y (b) diagnosticar qué categoría de herramientas le resulta más pertinente —automatización, investigación de mercado o análisis financiero— independientemente del estado de su negocio.</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AAAAA" w:sz="4"/>
              <w:left w:val="single" w:color="AAAAAA" w:sz="4"/>
              <w:bottom w:val="single" w:color="AAAAAA" w:sz="4"/>
              <w:right w:val="single" w:color="AAAAAA" w:sz="4"/>
            </w:tcBorders>
            <w:shd w:fill="003366"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Componente</w:t>
            </w:r>
          </w:p>
        </w:tc>
        <w:tc>
          <w:tcPr>
            <w:tcW w:type="dxa" w:w="6560"/>
            <w:tcBorders>
              <w:top w:val="single" w:color="AAAAAA" w:sz="4"/>
              <w:left w:val="single" w:color="AAAAAA" w:sz="4"/>
              <w:bottom w:val="single" w:color="AAAAAA" w:sz="4"/>
              <w:right w:val="single" w:color="AAAAAA" w:sz="4"/>
            </w:tcBorders>
            <w:shd w:fill="003366"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Descripción</w:t>
            </w:r>
          </w:p>
        </w:tc>
      </w:tr>
      <w:tr>
        <w:tc>
          <w:tcPr>
            <w:tcW w:type="dxa" w:w="2800"/>
            <w:tcBorders>
              <w:top w:val="single" w:color="AAAAAA" w:sz="4"/>
              <w:left w:val="single" w:color="AAAAAA" w:sz="4"/>
              <w:bottom w:val="single" w:color="AAAAAA" w:sz="4"/>
              <w:right w:val="single" w:color="AAAAAA" w:sz="4"/>
            </w:tcBorders>
            <w:shd w:fill="F2F3F4" w:val="clear"/>
            <w:tcMar>
              <w:top w:type="dxa" w:w="80"/>
              <w:left w:type="dxa" w:w="150"/>
              <w:bottom w:type="dxa" w:w="80"/>
              <w:right w:type="dxa" w:w="150"/>
            </w:tcMar>
            <w:vAlign w:val="top"/>
          </w:tcPr>
          <w:p>
            <w:pPr>
              <w:jc w:val="left"/>
            </w:pPr>
            <w:r>
              <w:rPr>
                <w:rFonts w:ascii="Arial" w:cs="Arial" w:eastAsia="Arial" w:hAnsi="Arial"/>
                <w:b/>
                <w:bCs/>
                <w:color w:val="000000"/>
                <w:sz w:val="18"/>
                <w:szCs w:val="18"/>
              </w:rPr>
              <w:t xml:space="preserve">Propósito</w:t>
            </w:r>
          </w:p>
        </w:tc>
        <w:tc>
          <w:tcPr>
            <w:tcW w:type="dxa" w:w="65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top"/>
          </w:tcPr>
          <w:p>
            <w:pPr>
              <w:jc w:val="left"/>
            </w:pPr>
            <w:r>
              <w:rPr>
                <w:rFonts w:ascii="Arial" w:cs="Arial" w:eastAsia="Arial" w:hAnsi="Arial"/>
                <w:b w:val="false"/>
                <w:bCs w:val="false"/>
                <w:color w:val="000000"/>
                <w:sz w:val="18"/>
                <w:szCs w:val="18"/>
              </w:rPr>
              <w:t xml:space="preserve">Identificar el nivel del emprendedor (idea, prototipo, ventas iniciales, en marcha) y redirigir a los módulos pertinentes del programa</w:t>
            </w:r>
          </w:p>
        </w:tc>
      </w:tr>
      <w:tr>
        <w:tc>
          <w:tcPr>
            <w:tcW w:type="dxa" w:w="2800"/>
            <w:tcBorders>
              <w:top w:val="single" w:color="AAAAAA" w:sz="4"/>
              <w:left w:val="single" w:color="AAAAAA" w:sz="4"/>
              <w:bottom w:val="single" w:color="AAAAAA" w:sz="4"/>
              <w:right w:val="single" w:color="AAAAAA" w:sz="4"/>
            </w:tcBorders>
            <w:shd w:fill="F2F3F4" w:val="clear"/>
            <w:tcMar>
              <w:top w:type="dxa" w:w="80"/>
              <w:left w:type="dxa" w:w="150"/>
              <w:bottom w:type="dxa" w:w="80"/>
              <w:right w:type="dxa" w:w="150"/>
            </w:tcMar>
            <w:vAlign w:val="top"/>
          </w:tcPr>
          <w:p>
            <w:pPr>
              <w:jc w:val="left"/>
            </w:pPr>
            <w:r>
              <w:rPr>
                <w:rFonts w:ascii="Arial" w:cs="Arial" w:eastAsia="Arial" w:hAnsi="Arial"/>
                <w:b/>
                <w:bCs/>
                <w:color w:val="000000"/>
                <w:sz w:val="18"/>
                <w:szCs w:val="18"/>
              </w:rPr>
              <w:t xml:space="preserve">Diagnóstico de negocio</w:t>
            </w:r>
          </w:p>
        </w:tc>
        <w:tc>
          <w:tcPr>
            <w:tcW w:type="dxa" w:w="65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top"/>
          </w:tcPr>
          <w:p>
            <w:pPr>
              <w:jc w:val="left"/>
            </w:pPr>
            <w:r>
              <w:rPr>
                <w:rFonts w:ascii="Arial" w:cs="Arial" w:eastAsia="Arial" w:hAnsi="Arial"/>
                <w:b w:val="false"/>
                <w:bCs w:val="false"/>
                <w:color w:val="000000"/>
                <w:sz w:val="18"/>
                <w:szCs w:val="18"/>
              </w:rPr>
              <w:t xml:space="preserve">Tipo de empresa, sector, etapa de desarrollo, número de empleados, acceso a tecnología</w:t>
            </w:r>
          </w:p>
        </w:tc>
      </w:tr>
      <w:tr>
        <w:tc>
          <w:tcPr>
            <w:tcW w:type="dxa" w:w="2800"/>
            <w:tcBorders>
              <w:top w:val="single" w:color="AAAAAA" w:sz="4"/>
              <w:left w:val="single" w:color="AAAAAA" w:sz="4"/>
              <w:bottom w:val="single" w:color="AAAAAA" w:sz="4"/>
              <w:right w:val="single" w:color="AAAAAA" w:sz="4"/>
            </w:tcBorders>
            <w:shd w:fill="F2F3F4" w:val="clear"/>
            <w:tcMar>
              <w:top w:type="dxa" w:w="80"/>
              <w:left w:type="dxa" w:w="150"/>
              <w:bottom w:type="dxa" w:w="80"/>
              <w:right w:type="dxa" w:w="150"/>
            </w:tcMar>
            <w:vAlign w:val="top"/>
          </w:tcPr>
          <w:p>
            <w:pPr>
              <w:jc w:val="left"/>
            </w:pPr>
            <w:r>
              <w:rPr>
                <w:rFonts w:ascii="Arial" w:cs="Arial" w:eastAsia="Arial" w:hAnsi="Arial"/>
                <w:b/>
                <w:bCs/>
                <w:color w:val="000000"/>
                <w:sz w:val="18"/>
                <w:szCs w:val="18"/>
              </w:rPr>
              <w:t xml:space="preserve">Diagnóstico de herramientas</w:t>
            </w:r>
          </w:p>
        </w:tc>
        <w:tc>
          <w:tcPr>
            <w:tcW w:type="dxa" w:w="65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top"/>
          </w:tcPr>
          <w:p>
            <w:pPr>
              <w:jc w:val="left"/>
            </w:pPr>
            <w:r>
              <w:rPr>
                <w:rFonts w:ascii="Arial" w:cs="Arial" w:eastAsia="Arial" w:hAnsi="Arial"/>
                <w:b w:val="false"/>
                <w:bCs w:val="false"/>
                <w:color w:val="000000"/>
                <w:sz w:val="18"/>
                <w:szCs w:val="18"/>
              </w:rPr>
              <w:t xml:space="preserve">Evalúa necesidad de automatización, investigación de mercado o análisis financiero — no solo diagnóstico de negocio</w:t>
            </w:r>
          </w:p>
        </w:tc>
      </w:tr>
      <w:tr>
        <w:tc>
          <w:tcPr>
            <w:tcW w:type="dxa" w:w="2800"/>
            <w:tcBorders>
              <w:top w:val="single" w:color="AAAAAA" w:sz="4"/>
              <w:left w:val="single" w:color="AAAAAA" w:sz="4"/>
              <w:bottom w:val="single" w:color="AAAAAA" w:sz="4"/>
              <w:right w:val="single" w:color="AAAAAA" w:sz="4"/>
            </w:tcBorders>
            <w:shd w:fill="F2F3F4" w:val="clear"/>
            <w:tcMar>
              <w:top w:type="dxa" w:w="80"/>
              <w:left w:type="dxa" w:w="150"/>
              <w:bottom w:type="dxa" w:w="80"/>
              <w:right w:type="dxa" w:w="150"/>
            </w:tcMar>
            <w:vAlign w:val="top"/>
          </w:tcPr>
          <w:p>
            <w:pPr>
              <w:jc w:val="left"/>
            </w:pPr>
            <w:r>
              <w:rPr>
                <w:rFonts w:ascii="Arial" w:cs="Arial" w:eastAsia="Arial" w:hAnsi="Arial"/>
                <w:b/>
                <w:bCs/>
                <w:color w:val="000000"/>
                <w:sz w:val="18"/>
                <w:szCs w:val="18"/>
              </w:rPr>
              <w:t xml:space="preserve">Resultado esperado</w:t>
            </w:r>
          </w:p>
        </w:tc>
        <w:tc>
          <w:tcPr>
            <w:tcW w:type="dxa" w:w="65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top"/>
          </w:tcPr>
          <w:p>
            <w:pPr>
              <w:jc w:val="left"/>
            </w:pPr>
            <w:r>
              <w:rPr>
                <w:rFonts w:ascii="Arial" w:cs="Arial" w:eastAsia="Arial" w:hAnsi="Arial"/>
                <w:b w:val="false"/>
                <w:bCs w:val="false"/>
                <w:color w:val="000000"/>
                <w:sz w:val="18"/>
                <w:szCs w:val="18"/>
              </w:rPr>
              <w:t xml:space="preserve">Ruta personalizada: Toolkit 1 (pre-operativo) → Módulo I–III según avance. Evita sobrecarga cognitiva con herramientas inadecuadas</w:t>
            </w:r>
          </w:p>
        </w:tc>
      </w:tr>
      <w:tr>
        <w:tc>
          <w:tcPr>
            <w:tcW w:type="dxa" w:w="2800"/>
            <w:tcBorders>
              <w:top w:val="single" w:color="AAAAAA" w:sz="4"/>
              <w:left w:val="single" w:color="AAAAAA" w:sz="4"/>
              <w:bottom w:val="single" w:color="AAAAAA" w:sz="4"/>
              <w:right w:val="single" w:color="AAAAAA" w:sz="4"/>
            </w:tcBorders>
            <w:shd w:fill="F2F3F4" w:val="clear"/>
            <w:tcMar>
              <w:top w:type="dxa" w:w="80"/>
              <w:left w:type="dxa" w:w="150"/>
              <w:bottom w:type="dxa" w:w="80"/>
              <w:right w:type="dxa" w:w="150"/>
            </w:tcMar>
            <w:vAlign w:val="top"/>
          </w:tcPr>
          <w:p>
            <w:pPr>
              <w:jc w:val="left"/>
            </w:pPr>
            <w:r>
              <w:rPr>
                <w:rFonts w:ascii="Arial" w:cs="Arial" w:eastAsia="Arial" w:hAnsi="Arial"/>
                <w:b/>
                <w:bCs/>
                <w:color w:val="000000"/>
                <w:sz w:val="18"/>
                <w:szCs w:val="18"/>
              </w:rPr>
              <w:t xml:space="preserve">Formato</w:t>
            </w:r>
          </w:p>
        </w:tc>
        <w:tc>
          <w:tcPr>
            <w:tcW w:type="dxa" w:w="65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top"/>
          </w:tcPr>
          <w:p>
            <w:pPr>
              <w:jc w:val="left"/>
            </w:pPr>
            <w:r>
              <w:rPr>
                <w:rFonts w:ascii="Arial" w:cs="Arial" w:eastAsia="Arial" w:hAnsi="Arial"/>
                <w:b w:val="false"/>
                <w:bCs w:val="false"/>
                <w:color w:val="000000"/>
                <w:sz w:val="18"/>
                <w:szCs w:val="18"/>
              </w:rPr>
              <w:t xml:space="preserve">Formulario interactivo en Google Forms o equivalente; output visual de la ruta recomendada</w:t>
            </w:r>
          </w:p>
        </w:tc>
      </w:tr>
      <w:tr>
        <w:tc>
          <w:tcPr>
            <w:tcW w:type="dxa" w:w="2800"/>
            <w:tcBorders>
              <w:top w:val="single" w:color="AAAAAA" w:sz="4"/>
              <w:left w:val="single" w:color="AAAAAA" w:sz="4"/>
              <w:bottom w:val="single" w:color="AAAAAA" w:sz="4"/>
              <w:right w:val="single" w:color="AAAAAA" w:sz="4"/>
            </w:tcBorders>
            <w:shd w:fill="F2F3F4" w:val="clear"/>
            <w:tcMar>
              <w:top w:type="dxa" w:w="80"/>
              <w:left w:type="dxa" w:w="150"/>
              <w:bottom w:type="dxa" w:w="80"/>
              <w:right w:type="dxa" w:w="150"/>
            </w:tcMar>
            <w:vAlign w:val="top"/>
          </w:tcPr>
          <w:p>
            <w:pPr>
              <w:jc w:val="left"/>
            </w:pPr>
            <w:r>
              <w:rPr>
                <w:rFonts w:ascii="Arial" w:cs="Arial" w:eastAsia="Arial" w:hAnsi="Arial"/>
                <w:b/>
                <w:bCs/>
                <w:color w:val="000000"/>
                <w:sz w:val="18"/>
                <w:szCs w:val="18"/>
              </w:rPr>
              <w:t xml:space="preserve">Alineación pedagógica</w:t>
            </w:r>
          </w:p>
        </w:tc>
        <w:tc>
          <w:tcPr>
            <w:tcW w:type="dxa" w:w="65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top"/>
          </w:tcPr>
          <w:p>
            <w:pPr>
              <w:jc w:val="left"/>
            </w:pPr>
            <w:r>
              <w:rPr>
                <w:rFonts w:ascii="Arial" w:cs="Arial" w:eastAsia="Arial" w:hAnsi="Arial"/>
                <w:b w:val="false"/>
                <w:bCs w:val="false"/>
                <w:color w:val="000000"/>
                <w:sz w:val="18"/>
                <w:szCs w:val="18"/>
              </w:rPr>
              <w:t xml:space="preserve">Coherente con el principio de Auge: dominar el proceso antes de automatizarlo. La IA aparece como acelerador, no como sustituto</w:t>
            </w:r>
          </w:p>
        </w:tc>
      </w:tr>
    </w:tbl>
    <w:p>
      <w:pPr>
        <w:spacing w:after="0" w:before="80"/>
      </w:pPr>
    </w:p>
    <w:p>
      <w:pPr>
        <w:pStyle w:val="Heading3"/>
        <w:spacing w:after="80" w:before="160"/>
      </w:pPr>
      <w:r>
        <w:rPr>
          <w:rFonts w:ascii="Arial" w:cs="Arial" w:eastAsia="Arial" w:hAnsi="Arial"/>
          <w:b/>
          <w:bCs/>
          <w:color w:val="2E86C1"/>
          <w:sz w:val="22"/>
          <w:szCs w:val="22"/>
        </w:rPr>
        <w:t xml:space="preserve">3.1.2 Unificación terminológica</w:t>
      </w:r>
    </w:p>
    <w:p>
      <w:pPr>
        <w:spacing w:after="80" w:before="80"/>
      </w:pPr>
      <w:r>
        <w:rPr>
          <w:rFonts w:ascii="Arial" w:cs="Arial" w:eastAsia="Arial" w:hAnsi="Arial"/>
          <w:color w:val="424949"/>
          <w:sz w:val="20"/>
          <w:szCs w:val="20"/>
        </w:rPr>
        <w:t xml:space="preserve">Se propone adoptar la siguiente nomenclatura en todo el sitio y materiales asociados:</w:t>
      </w:r>
    </w:p>
    <w:p>
      <w:pPr>
        <w:pStyle w:val="ListParagraph"/>
        <w:numPr>
          <w:ilvl w:val="0"/>
          <w:numId w:val="2"/>
        </w:numPr>
        <w:spacing w:after="40" w:before="40"/>
      </w:pPr>
      <w:r>
        <w:rPr>
          <w:rFonts w:ascii="Arial" w:cs="Arial" w:eastAsia="Arial" w:hAnsi="Arial"/>
          <w:b/>
          <w:bCs/>
          <w:color w:val="000000"/>
          <w:sz w:val="20"/>
          <w:szCs w:val="20"/>
        </w:rPr>
        <w:t xml:space="preserve">Programa: </w:t>
      </w:r>
      <w:r>
        <w:rPr>
          <w:rFonts w:ascii="Arial" w:cs="Arial" w:eastAsia="Arial" w:hAnsi="Arial"/>
          <w:color w:val="424949"/>
          <w:sz w:val="20"/>
          <w:szCs w:val="20"/>
        </w:rPr>
        <w:t xml:space="preserve">Caja de Herramientas de IA para la MiPYME (nombre oficial del programa)</w:t>
      </w:r>
    </w:p>
    <w:p>
      <w:pPr>
        <w:pStyle w:val="ListParagraph"/>
        <w:numPr>
          <w:ilvl w:val="0"/>
          <w:numId w:val="2"/>
        </w:numPr>
        <w:spacing w:after="40" w:before="40"/>
      </w:pPr>
      <w:r>
        <w:rPr>
          <w:rFonts w:ascii="Arial" w:cs="Arial" w:eastAsia="Arial" w:hAnsi="Arial"/>
          <w:b/>
          <w:bCs/>
          <w:color w:val="000000"/>
          <w:sz w:val="20"/>
          <w:szCs w:val="20"/>
        </w:rPr>
        <w:t xml:space="preserve">Metodología: </w:t>
      </w:r>
      <w:r>
        <w:rPr>
          <w:rFonts w:ascii="Arial" w:cs="Arial" w:eastAsia="Arial" w:hAnsi="Arial"/>
          <w:color w:val="424949"/>
          <w:sz w:val="20"/>
          <w:szCs w:val="20"/>
        </w:rPr>
        <w:t xml:space="preserve">Modelo CIFRCE / Ciclo RHEC (marcos metodológicos internos)</w:t>
      </w:r>
    </w:p>
    <w:p>
      <w:pPr>
        <w:pStyle w:val="ListParagraph"/>
        <w:numPr>
          <w:ilvl w:val="0"/>
          <w:numId w:val="2"/>
        </w:numPr>
        <w:spacing w:after="40" w:before="40"/>
      </w:pPr>
      <w:r>
        <w:rPr>
          <w:rFonts w:ascii="Arial" w:cs="Arial" w:eastAsia="Arial" w:hAnsi="Arial"/>
          <w:b/>
          <w:bCs/>
          <w:color w:val="000000"/>
          <w:sz w:val="20"/>
          <w:szCs w:val="20"/>
        </w:rPr>
        <w:t xml:space="preserve">Componentes: </w:t>
      </w:r>
      <w:r>
        <w:rPr>
          <w:rFonts w:ascii="Arial" w:cs="Arial" w:eastAsia="Arial" w:hAnsi="Arial"/>
          <w:color w:val="424949"/>
          <w:sz w:val="20"/>
          <w:szCs w:val="20"/>
        </w:rPr>
        <w:t xml:space="preserve">Toolkit 1 (pre-operativo), Módulos I–III (para negocios en marcha), Toolkit 2 (avanzado, de pago)</w:t>
      </w:r>
    </w:p>
    <w:p>
      <w:pPr>
        <w:pStyle w:val="ListParagraph"/>
        <w:numPr>
          <w:ilvl w:val="0"/>
          <w:numId w:val="2"/>
        </w:numPr>
        <w:spacing w:after="40" w:before="40"/>
      </w:pPr>
      <w:r>
        <w:rPr>
          <w:rFonts w:ascii="Arial" w:cs="Arial" w:eastAsia="Arial" w:hAnsi="Arial"/>
          <w:b/>
          <w:bCs/>
          <w:color w:val="000000"/>
          <w:sz w:val="20"/>
          <w:szCs w:val="20"/>
        </w:rPr>
        <w:t xml:space="preserve">Assets digitales: </w:t>
      </w:r>
      <w:r>
        <w:rPr>
          <w:rFonts w:ascii="Arial" w:cs="Arial" w:eastAsia="Arial" w:hAnsi="Arial"/>
          <w:color w:val="424949"/>
          <w:sz w:val="20"/>
          <w:szCs w:val="20"/>
        </w:rPr>
        <w:t xml:space="preserve">Asistentes virtuales institucionales (no 'GPTs personales')</w:t>
      </w:r>
    </w:p>
    <w:p>
      <w:pPr>
        <w:spacing w:after="0" w:before="60"/>
      </w:pPr>
    </w:p>
    <w:p>
      <w:pPr>
        <w:spacing w:after="80" w:before="80"/>
      </w:pPr>
      <w:r>
        <w:rPr>
          <w:rFonts w:ascii="Arial" w:cs="Arial" w:eastAsia="Arial" w:hAnsi="Arial"/>
          <w:color w:val="424949"/>
          <w:sz w:val="20"/>
          <w:szCs w:val="20"/>
        </w:rPr>
        <w:t xml:space="preserve">Esta normalización debe aplicarse en la página principal, las infografías, los videos y cualquier material impreso o digital derivado.</w:t>
      </w:r>
    </w:p>
    <w:p>
      <w:pPr>
        <w:spacing w:after="0" w:before="80"/>
      </w:pPr>
    </w:p>
    <w:p>
      <w:r>
        <w:br w:type="page"/>
      </w:r>
    </w:p>
    <w:p>
      <w:pPr>
        <w:pStyle w:val="Heading2"/>
        <w:spacing w:after="120" w:before="240"/>
      </w:pPr>
      <w:r>
        <w:rPr>
          <w:rFonts w:ascii="Arial" w:cs="Arial" w:eastAsia="Arial" w:hAnsi="Arial"/>
          <w:b/>
          <w:bCs/>
          <w:color w:val="1A5276"/>
          <w:sz w:val="24"/>
          <w:szCs w:val="24"/>
        </w:rPr>
        <w:t xml:space="preserve">3.2 Fase 1 — Toolkit 1: Módulo Pre-Operativo (Jul–Sep 2025)</w:t>
      </w:r>
    </w:p>
    <w:p>
      <w:pPr>
        <w:spacing w:after="80" w:before="80"/>
      </w:pPr>
      <w:r>
        <w:rPr>
          <w:rFonts w:ascii="Arial" w:cs="Arial" w:eastAsia="Arial" w:hAnsi="Arial"/>
          <w:color w:val="424949"/>
          <w:sz w:val="20"/>
          <w:szCs w:val="20"/>
        </w:rPr>
        <w:t xml:space="preserve">El Toolkit 1 es el entregable central de la colaboración Auge–Observatorio. Está diseñado específicamente para el 80% de la cartera de Auge: emprendedores con una idea, con validación incipiente o sin ingresos formales. El principio pedagógico es consistente con la filosofía de Auge: el emprendedor aprende el proceso de investigación y validación antes de que la IA lo asista a ejecutarlo más rápido.</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760"/>
        <w:gridCol w:w="2400"/>
      </w:tblGrid>
      <w:tr>
        <w:tc>
          <w:tcPr>
            <w:tcW w:type="dxa" w:w="1800"/>
            <w:tcBorders>
              <w:top w:val="single" w:color="AAAAAA" w:sz="4"/>
              <w:left w:val="single" w:color="AAAAAA" w:sz="4"/>
              <w:bottom w:val="single" w:color="AAAAAA" w:sz="4"/>
              <w:right w:val="single" w:color="AAAAAA" w:sz="4"/>
            </w:tcBorders>
            <w:shd w:fill="003366"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Módulo / Semana</w:t>
            </w:r>
          </w:p>
        </w:tc>
        <w:tc>
          <w:tcPr>
            <w:tcW w:type="dxa" w:w="2400"/>
            <w:tcBorders>
              <w:top w:val="single" w:color="AAAAAA" w:sz="4"/>
              <w:left w:val="single" w:color="AAAAAA" w:sz="4"/>
              <w:bottom w:val="single" w:color="AAAAAA" w:sz="4"/>
              <w:right w:val="single" w:color="AAAAAA" w:sz="4"/>
            </w:tcBorders>
            <w:shd w:fill="003366"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Temática central</w:t>
            </w:r>
          </w:p>
        </w:tc>
        <w:tc>
          <w:tcPr>
            <w:tcW w:type="dxa" w:w="2760"/>
            <w:tcBorders>
              <w:top w:val="single" w:color="AAAAAA" w:sz="4"/>
              <w:left w:val="single" w:color="AAAAAA" w:sz="4"/>
              <w:bottom w:val="single" w:color="AAAAAA" w:sz="4"/>
              <w:right w:val="single" w:color="AAAAAA" w:sz="4"/>
            </w:tcBorders>
            <w:shd w:fill="003366"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Herramientas sugeridas</w:t>
            </w:r>
          </w:p>
        </w:tc>
        <w:tc>
          <w:tcPr>
            <w:tcW w:type="dxa" w:w="2400"/>
            <w:tcBorders>
              <w:top w:val="single" w:color="AAAAAA" w:sz="4"/>
              <w:left w:val="single" w:color="AAAAAA" w:sz="4"/>
              <w:bottom w:val="single" w:color="AAAAAA" w:sz="4"/>
              <w:right w:val="single" w:color="AAAAAA" w:sz="4"/>
            </w:tcBorders>
            <w:shd w:fill="003366"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Entregable</w:t>
            </w:r>
          </w:p>
        </w:tc>
      </w:tr>
      <w:tr>
        <w:tc>
          <w:tcPr>
            <w:tcW w:type="dxa" w:w="1800"/>
            <w:tcBorders>
              <w:top w:val="single" w:color="AAAAAA" w:sz="4"/>
              <w:left w:val="single" w:color="AAAAAA" w:sz="4"/>
              <w:bottom w:val="single" w:color="AAAAAA" w:sz="4"/>
              <w:right w:val="single" w:color="AAAAAA" w:sz="4"/>
            </w:tcBorders>
            <w:shd w:fill="EAF4EA" w:val="clear"/>
            <w:tcMar>
              <w:top w:type="dxa" w:w="80"/>
              <w:left w:type="dxa" w:w="150"/>
              <w:bottom w:type="dxa" w:w="80"/>
              <w:right w:type="dxa" w:w="150"/>
            </w:tcMar>
            <w:vAlign w:val="top"/>
          </w:tcPr>
          <w:p>
            <w:pPr>
              <w:jc w:val="left"/>
            </w:pPr>
            <w:r>
              <w:rPr>
                <w:rFonts w:ascii="Arial" w:cs="Arial" w:eastAsia="Arial" w:hAnsi="Arial"/>
                <w:b/>
                <w:bCs/>
                <w:color w:val="000000"/>
                <w:sz w:val="18"/>
                <w:szCs w:val="18"/>
              </w:rPr>
              <w:t xml:space="preserve">T1-S1</w:t>
            </w:r>
          </w:p>
        </w:tc>
        <w:tc>
          <w:tcPr>
            <w:tcW w:type="dxa" w:w="24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top"/>
          </w:tcPr>
          <w:p>
            <w:pPr>
              <w:jc w:val="left"/>
            </w:pPr>
            <w:r>
              <w:rPr>
                <w:rFonts w:ascii="Arial" w:cs="Arial" w:eastAsia="Arial" w:hAnsi="Arial"/>
                <w:b w:val="false"/>
                <w:bCs w:val="false"/>
                <w:color w:val="000000"/>
                <w:sz w:val="18"/>
                <w:szCs w:val="18"/>
              </w:rPr>
              <w:t xml:space="preserve">Validación de idea e identificación de demanda</w:t>
            </w:r>
          </w:p>
        </w:tc>
        <w:tc>
          <w:tcPr>
            <w:tcW w:type="dxa" w:w="27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top"/>
          </w:tcPr>
          <w:p>
            <w:pPr>
              <w:jc w:val="left"/>
            </w:pPr>
            <w:r>
              <w:rPr>
                <w:rFonts w:ascii="Arial" w:cs="Arial" w:eastAsia="Arial" w:hAnsi="Arial"/>
                <w:b w:val="false"/>
                <w:bCs w:val="false"/>
                <w:color w:val="000000"/>
                <w:sz w:val="18"/>
                <w:szCs w:val="18"/>
              </w:rPr>
              <w:t xml:space="preserve">Google Trends, Exploding Topics, ChatGPT</w:t>
            </w:r>
          </w:p>
        </w:tc>
        <w:tc>
          <w:tcPr>
            <w:tcW w:type="dxa" w:w="24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top"/>
          </w:tcPr>
          <w:p>
            <w:pPr>
              <w:jc w:val="left"/>
            </w:pPr>
            <w:r>
              <w:rPr>
                <w:rFonts w:ascii="Arial" w:cs="Arial" w:eastAsia="Arial" w:hAnsi="Arial"/>
                <w:b w:val="false"/>
                <w:bCs w:val="false"/>
                <w:color w:val="000000"/>
                <w:sz w:val="18"/>
                <w:szCs w:val="18"/>
              </w:rPr>
              <w:t xml:space="preserve">Análisis de tendencias del sector</w:t>
            </w:r>
          </w:p>
        </w:tc>
      </w:tr>
      <w:tr>
        <w:tc>
          <w:tcPr>
            <w:tcW w:type="dxa" w:w="1800"/>
            <w:tcBorders>
              <w:top w:val="single" w:color="AAAAAA" w:sz="4"/>
              <w:left w:val="single" w:color="AAAAAA" w:sz="4"/>
              <w:bottom w:val="single" w:color="AAAAAA" w:sz="4"/>
              <w:right w:val="single" w:color="AAAAAA" w:sz="4"/>
            </w:tcBorders>
            <w:shd w:fill="EAF4EA" w:val="clear"/>
            <w:tcMar>
              <w:top w:type="dxa" w:w="80"/>
              <w:left w:type="dxa" w:w="150"/>
              <w:bottom w:type="dxa" w:w="80"/>
              <w:right w:type="dxa" w:w="150"/>
            </w:tcMar>
            <w:vAlign w:val="top"/>
          </w:tcPr>
          <w:p>
            <w:pPr>
              <w:jc w:val="left"/>
            </w:pPr>
            <w:r>
              <w:rPr>
                <w:rFonts w:ascii="Arial" w:cs="Arial" w:eastAsia="Arial" w:hAnsi="Arial"/>
                <w:b/>
                <w:bCs/>
                <w:color w:val="000000"/>
                <w:sz w:val="18"/>
                <w:szCs w:val="18"/>
              </w:rPr>
              <w:t xml:space="preserve">T1-S2</w:t>
            </w:r>
          </w:p>
        </w:tc>
        <w:tc>
          <w:tcPr>
            <w:tcW w:type="dxa" w:w="24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top"/>
          </w:tcPr>
          <w:p>
            <w:pPr>
              <w:jc w:val="left"/>
            </w:pPr>
            <w:r>
              <w:rPr>
                <w:rFonts w:ascii="Arial" w:cs="Arial" w:eastAsia="Arial" w:hAnsi="Arial"/>
                <w:b w:val="false"/>
                <w:bCs w:val="false"/>
                <w:color w:val="000000"/>
                <w:sz w:val="18"/>
                <w:szCs w:val="18"/>
              </w:rPr>
              <w:t xml:space="preserve">Análisis de mercado y segmentación</w:t>
            </w:r>
          </w:p>
        </w:tc>
        <w:tc>
          <w:tcPr>
            <w:tcW w:type="dxa" w:w="27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top"/>
          </w:tcPr>
          <w:p>
            <w:pPr>
              <w:jc w:val="left"/>
            </w:pPr>
            <w:r>
              <w:rPr>
                <w:rFonts w:ascii="Arial" w:cs="Arial" w:eastAsia="Arial" w:hAnsi="Arial"/>
                <w:b w:val="false"/>
                <w:bCs w:val="false"/>
                <w:color w:val="000000"/>
                <w:sz w:val="18"/>
                <w:szCs w:val="18"/>
              </w:rPr>
              <w:t xml:space="preserve">Gemini, Google Forms, SurveyMonkey</w:t>
            </w:r>
          </w:p>
        </w:tc>
        <w:tc>
          <w:tcPr>
            <w:tcW w:type="dxa" w:w="24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top"/>
          </w:tcPr>
          <w:p>
            <w:pPr>
              <w:jc w:val="left"/>
            </w:pPr>
            <w:r>
              <w:rPr>
                <w:rFonts w:ascii="Arial" w:cs="Arial" w:eastAsia="Arial" w:hAnsi="Arial"/>
                <w:b w:val="false"/>
                <w:bCs w:val="false"/>
                <w:color w:val="000000"/>
                <w:sz w:val="18"/>
                <w:szCs w:val="18"/>
              </w:rPr>
              <w:t xml:space="preserve">Buyer persona + mapa de empatía</w:t>
            </w:r>
          </w:p>
        </w:tc>
      </w:tr>
      <w:tr>
        <w:tc>
          <w:tcPr>
            <w:tcW w:type="dxa" w:w="1800"/>
            <w:tcBorders>
              <w:top w:val="single" w:color="AAAAAA" w:sz="4"/>
              <w:left w:val="single" w:color="AAAAAA" w:sz="4"/>
              <w:bottom w:val="single" w:color="AAAAAA" w:sz="4"/>
              <w:right w:val="single" w:color="AAAAAA" w:sz="4"/>
            </w:tcBorders>
            <w:shd w:fill="EAF4EA" w:val="clear"/>
            <w:tcMar>
              <w:top w:type="dxa" w:w="80"/>
              <w:left w:type="dxa" w:w="150"/>
              <w:bottom w:type="dxa" w:w="80"/>
              <w:right w:type="dxa" w:w="150"/>
            </w:tcMar>
            <w:vAlign w:val="top"/>
          </w:tcPr>
          <w:p>
            <w:pPr>
              <w:jc w:val="left"/>
            </w:pPr>
            <w:r>
              <w:rPr>
                <w:rFonts w:ascii="Arial" w:cs="Arial" w:eastAsia="Arial" w:hAnsi="Arial"/>
                <w:b/>
                <w:bCs/>
                <w:color w:val="000000"/>
                <w:sz w:val="18"/>
                <w:szCs w:val="18"/>
              </w:rPr>
              <w:t xml:space="preserve">T1-S3</w:t>
            </w:r>
          </w:p>
        </w:tc>
        <w:tc>
          <w:tcPr>
            <w:tcW w:type="dxa" w:w="24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top"/>
          </w:tcPr>
          <w:p>
            <w:pPr>
              <w:jc w:val="left"/>
            </w:pPr>
            <w:r>
              <w:rPr>
                <w:rFonts w:ascii="Arial" w:cs="Arial" w:eastAsia="Arial" w:hAnsi="Arial"/>
                <w:b w:val="false"/>
                <w:bCs w:val="false"/>
                <w:color w:val="000000"/>
                <w:sz w:val="18"/>
                <w:szCs w:val="18"/>
              </w:rPr>
              <w:t xml:space="preserve">Diseño y análisis de encuesta de validación</w:t>
            </w:r>
          </w:p>
        </w:tc>
        <w:tc>
          <w:tcPr>
            <w:tcW w:type="dxa" w:w="27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top"/>
          </w:tcPr>
          <w:p>
            <w:pPr>
              <w:jc w:val="left"/>
            </w:pPr>
            <w:r>
              <w:rPr>
                <w:rFonts w:ascii="Arial" w:cs="Arial" w:eastAsia="Arial" w:hAnsi="Arial"/>
                <w:b w:val="false"/>
                <w:bCs w:val="false"/>
                <w:color w:val="000000"/>
                <w:sz w:val="18"/>
                <w:szCs w:val="18"/>
              </w:rPr>
              <w:t xml:space="preserve">Google Forms, Claude (análisis), Sheets</w:t>
            </w:r>
          </w:p>
        </w:tc>
        <w:tc>
          <w:tcPr>
            <w:tcW w:type="dxa" w:w="24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top"/>
          </w:tcPr>
          <w:p>
            <w:pPr>
              <w:jc w:val="left"/>
            </w:pPr>
            <w:r>
              <w:rPr>
                <w:rFonts w:ascii="Arial" w:cs="Arial" w:eastAsia="Arial" w:hAnsi="Arial"/>
                <w:b w:val="false"/>
                <w:bCs w:val="false"/>
                <w:color w:val="000000"/>
                <w:sz w:val="18"/>
                <w:szCs w:val="18"/>
              </w:rPr>
              <w:t xml:space="preserve">Informe de validación primaria</w:t>
            </w:r>
          </w:p>
        </w:tc>
      </w:tr>
      <w:tr>
        <w:tc>
          <w:tcPr>
            <w:tcW w:type="dxa" w:w="1800"/>
            <w:tcBorders>
              <w:top w:val="single" w:color="AAAAAA" w:sz="4"/>
              <w:left w:val="single" w:color="AAAAAA" w:sz="4"/>
              <w:bottom w:val="single" w:color="AAAAAA" w:sz="4"/>
              <w:right w:val="single" w:color="AAAAAA" w:sz="4"/>
            </w:tcBorders>
            <w:shd w:fill="EAF4EA" w:val="clear"/>
            <w:tcMar>
              <w:top w:type="dxa" w:w="80"/>
              <w:left w:type="dxa" w:w="150"/>
              <w:bottom w:type="dxa" w:w="80"/>
              <w:right w:type="dxa" w:w="150"/>
            </w:tcMar>
            <w:vAlign w:val="top"/>
          </w:tcPr>
          <w:p>
            <w:pPr>
              <w:jc w:val="left"/>
            </w:pPr>
            <w:r>
              <w:rPr>
                <w:rFonts w:ascii="Arial" w:cs="Arial" w:eastAsia="Arial" w:hAnsi="Arial"/>
                <w:b/>
                <w:bCs/>
                <w:color w:val="000000"/>
                <w:sz w:val="18"/>
                <w:szCs w:val="18"/>
              </w:rPr>
              <w:t xml:space="preserve">T1-S4</w:t>
            </w:r>
          </w:p>
        </w:tc>
        <w:tc>
          <w:tcPr>
            <w:tcW w:type="dxa" w:w="24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top"/>
          </w:tcPr>
          <w:p>
            <w:pPr>
              <w:jc w:val="left"/>
            </w:pPr>
            <w:r>
              <w:rPr>
                <w:rFonts w:ascii="Arial" w:cs="Arial" w:eastAsia="Arial" w:hAnsi="Arial"/>
                <w:b w:val="false"/>
                <w:bCs w:val="false"/>
                <w:color w:val="000000"/>
                <w:sz w:val="18"/>
                <w:szCs w:val="18"/>
              </w:rPr>
              <w:t xml:space="preserve">Estructura básica de modelo de negocio</w:t>
            </w:r>
          </w:p>
        </w:tc>
        <w:tc>
          <w:tcPr>
            <w:tcW w:type="dxa" w:w="27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top"/>
          </w:tcPr>
          <w:p>
            <w:pPr>
              <w:jc w:val="left"/>
            </w:pPr>
            <w:r>
              <w:rPr>
                <w:rFonts w:ascii="Arial" w:cs="Arial" w:eastAsia="Arial" w:hAnsi="Arial"/>
                <w:b w:val="false"/>
                <w:bCs w:val="false"/>
                <w:color w:val="000000"/>
                <w:sz w:val="18"/>
                <w:szCs w:val="18"/>
              </w:rPr>
              <w:t xml:space="preserve">Canvas con IA, ChatGPT como consultor socrático</w:t>
            </w:r>
          </w:p>
        </w:tc>
        <w:tc>
          <w:tcPr>
            <w:tcW w:type="dxa" w:w="24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top"/>
          </w:tcPr>
          <w:p>
            <w:pPr>
              <w:jc w:val="left"/>
            </w:pPr>
            <w:r>
              <w:rPr>
                <w:rFonts w:ascii="Arial" w:cs="Arial" w:eastAsia="Arial" w:hAnsi="Arial"/>
                <w:b w:val="false"/>
                <w:bCs w:val="false"/>
                <w:color w:val="000000"/>
                <w:sz w:val="18"/>
                <w:szCs w:val="18"/>
              </w:rPr>
              <w:t xml:space="preserve">Business Model Canvas preliminar</w:t>
            </w:r>
          </w:p>
        </w:tc>
      </w:tr>
    </w:tbl>
    <w:p>
      <w:pPr>
        <w:spacing w:after="0" w:before="80"/>
      </w:pPr>
    </w:p>
    <w:p>
      <w:pPr>
        <w:spacing w:after="80" w:before="80"/>
      </w:pPr>
      <w:r>
        <w:rPr>
          <w:rFonts w:ascii="Arial" w:cs="Arial" w:eastAsia="Arial" w:hAnsi="Arial"/>
          <w:color w:val="424949"/>
          <w:sz w:val="20"/>
          <w:szCs w:val="20"/>
        </w:rPr>
        <w:t xml:space="preserve">Cada semana del Toolkit 1 seguirá el ciclo RHEC (Reto → Hacer → Entender → Compartir) y producirá un entregable concreto vinculado directamente al negocio del emprendedor. Los recursos se alojarán en la cuenta institucional acordada.</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4"/>
              <w:left w:val="single" w:color="2E86C1" w:sz="24"/>
              <w:bottom w:val="single" w:color="2E86C1" w:sz="4"/>
              <w:right w:val="single" w:color="2E86C1" w:sz="4"/>
            </w:tcBorders>
            <w:shd w:fill="E8F4FD" w:val="clear"/>
            <w:tcMar>
              <w:top w:type="dxa" w:w="140"/>
              <w:left w:type="dxa" w:w="200"/>
              <w:bottom w:type="dxa" w:w="140"/>
              <w:right w:type="dxa" w:w="200"/>
            </w:tcMar>
          </w:tcPr>
          <w:p>
            <w:r>
              <w:rPr>
                <w:rFonts w:ascii="Arial" w:cs="Arial" w:eastAsia="Arial" w:hAnsi="Arial"/>
                <w:i/>
                <w:iCs/>
                <w:color w:val="424949"/>
                <w:sz w:val="20"/>
                <w:szCs w:val="20"/>
              </w:rPr>
              <w:t xml:space="preserve">Nota pedagógica: el Toolkit 1 no enseña automatización. Enseña investigación asistida por IA. La automatización llega en los Módulos II–III, una vez que el emprendedor comprende qué proceso quiere automatizar y por qué.</w:t>
            </w:r>
          </w:p>
        </w:tc>
      </w:tr>
    </w:tbl>
    <w:p>
      <w:pPr>
        <w:spacing w:after="0" w:before="120"/>
      </w:pPr>
    </w:p>
    <w:p>
      <w:pPr>
        <w:pStyle w:val="Heading2"/>
        <w:spacing w:after="120" w:before="240"/>
      </w:pPr>
      <w:r>
        <w:rPr>
          <w:rFonts w:ascii="Arial" w:cs="Arial" w:eastAsia="Arial" w:hAnsi="Arial"/>
          <w:b/>
          <w:bCs/>
          <w:color w:val="1A5276"/>
          <w:sz w:val="24"/>
          <w:szCs w:val="24"/>
        </w:rPr>
        <w:t xml:space="preserve">3.3 Fase 2 — Infraestructura y Sostenibilidad de Licencias (Ago–Oct 2025)</w:t>
      </w:r>
    </w:p>
    <w:p>
      <w:pPr>
        <w:pStyle w:val="Heading3"/>
        <w:spacing w:after="80" w:before="160"/>
      </w:pPr>
      <w:r>
        <w:rPr>
          <w:rFonts w:ascii="Arial" w:cs="Arial" w:eastAsia="Arial" w:hAnsi="Arial"/>
          <w:b/>
          <w:bCs/>
          <w:color w:val="2E86C1"/>
          <w:sz w:val="22"/>
          <w:szCs w:val="22"/>
        </w:rPr>
        <w:t xml:space="preserve">3.3.1 Esquema de licenciamiento institucional</w:t>
      </w:r>
    </w:p>
    <w:p>
      <w:pPr>
        <w:spacing w:after="80" w:before="80"/>
      </w:pPr>
      <w:r>
        <w:rPr>
          <w:rFonts w:ascii="Arial" w:cs="Arial" w:eastAsia="Arial" w:hAnsi="Arial"/>
          <w:color w:val="424949"/>
          <w:sz w:val="20"/>
          <w:szCs w:val="20"/>
        </w:rPr>
        <w:t xml:space="preserve">La tabla siguiente resume el estado actual de las licencias, los costos estimados y las opciones de institucionalización:</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400"/>
        <w:gridCol w:w="1400"/>
        <w:gridCol w:w="1400"/>
        <w:gridCol w:w="2660"/>
      </w:tblGrid>
      <w:tr>
        <w:tc>
          <w:tcPr>
            <w:tcW w:type="dxa" w:w="2500"/>
            <w:tcBorders>
              <w:top w:val="single" w:color="AAAAAA" w:sz="4"/>
              <w:left w:val="single" w:color="AAAAAA" w:sz="4"/>
              <w:bottom w:val="single" w:color="AAAAAA" w:sz="4"/>
              <w:right w:val="single" w:color="AAAAAA" w:sz="4"/>
            </w:tcBorders>
            <w:shd w:fill="003366"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Recurso</w:t>
            </w:r>
          </w:p>
        </w:tc>
        <w:tc>
          <w:tcPr>
            <w:tcW w:type="dxa" w:w="1400"/>
            <w:tcBorders>
              <w:top w:val="single" w:color="AAAAAA" w:sz="4"/>
              <w:left w:val="single" w:color="AAAAAA" w:sz="4"/>
              <w:bottom w:val="single" w:color="AAAAAA" w:sz="4"/>
              <w:right w:val="single" w:color="AAAAAA" w:sz="4"/>
            </w:tcBorders>
            <w:shd w:fill="003366"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Licencia actual</w:t>
            </w:r>
          </w:p>
        </w:tc>
        <w:tc>
          <w:tcPr>
            <w:tcW w:type="dxa" w:w="1400"/>
            <w:tcBorders>
              <w:top w:val="single" w:color="AAAAAA" w:sz="4"/>
              <w:left w:val="single" w:color="AAAAAA" w:sz="4"/>
              <w:bottom w:val="single" w:color="AAAAAA" w:sz="4"/>
              <w:right w:val="single" w:color="AAAAAA" w:sz="4"/>
            </w:tcBorders>
            <w:shd w:fill="003366"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Vencimiento</w:t>
            </w:r>
          </w:p>
        </w:tc>
        <w:tc>
          <w:tcPr>
            <w:tcW w:type="dxa" w:w="1400"/>
            <w:tcBorders>
              <w:top w:val="single" w:color="AAAAAA" w:sz="4"/>
              <w:left w:val="single" w:color="AAAAAA" w:sz="4"/>
              <w:bottom w:val="single" w:color="AAAAAA" w:sz="4"/>
              <w:right w:val="single" w:color="AAAAAA" w:sz="4"/>
            </w:tcBorders>
            <w:shd w:fill="003366"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Costo estimado</w:t>
            </w:r>
          </w:p>
        </w:tc>
        <w:tc>
          <w:tcPr>
            <w:tcW w:type="dxa" w:w="2660"/>
            <w:tcBorders>
              <w:top w:val="single" w:color="AAAAAA" w:sz="4"/>
              <w:left w:val="single" w:color="AAAAAA" w:sz="4"/>
              <w:bottom w:val="single" w:color="AAAAAA" w:sz="4"/>
              <w:right w:val="single" w:color="AAAAAA" w:sz="4"/>
            </w:tcBorders>
            <w:shd w:fill="003366"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Opción de institucionalización</w:t>
            </w:r>
          </w:p>
        </w:tc>
      </w:tr>
      <w:tr>
        <w:tc>
          <w:tcPr>
            <w:tcW w:type="dxa" w:w="2500"/>
            <w:tcBorders>
              <w:top w:val="single" w:color="AAAAAA" w:sz="4"/>
              <w:left w:val="single" w:color="AAAAAA" w:sz="4"/>
              <w:bottom w:val="single" w:color="AAAAAA" w:sz="4"/>
              <w:right w:val="single" w:color="AAAAAA" w:sz="4"/>
            </w:tcBorders>
            <w:shd w:fill="FDEDEC" w:val="clear"/>
            <w:tcMar>
              <w:top w:type="dxa" w:w="80"/>
              <w:left w:type="dxa" w:w="150"/>
              <w:bottom w:type="dxa" w:w="80"/>
              <w:right w:type="dxa" w:w="150"/>
            </w:tcMar>
            <w:vAlign w:val="top"/>
          </w:tcPr>
          <w:p>
            <w:pPr>
              <w:jc w:val="left"/>
            </w:pPr>
            <w:r>
              <w:rPr>
                <w:rFonts w:ascii="Arial" w:cs="Arial" w:eastAsia="Arial" w:hAnsi="Arial"/>
                <w:b/>
                <w:bCs/>
                <w:color w:val="000000"/>
                <w:sz w:val="18"/>
                <w:szCs w:val="18"/>
              </w:rPr>
              <w:t xml:space="preserve">ChatGPT Plus (GPTs)</w:t>
            </w:r>
          </w:p>
        </w:tc>
        <w:tc>
          <w:tcPr>
            <w:tcW w:type="dxa" w:w="14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top"/>
          </w:tcPr>
          <w:p>
            <w:pPr>
              <w:jc w:val="left"/>
            </w:pPr>
            <w:r>
              <w:rPr>
                <w:rFonts w:ascii="Arial" w:cs="Arial" w:eastAsia="Arial" w:hAnsi="Arial"/>
                <w:b w:val="false"/>
                <w:bCs w:val="false"/>
                <w:color w:val="000000"/>
                <w:sz w:val="18"/>
                <w:szCs w:val="18"/>
              </w:rPr>
              <w:t xml:space="preserve">Personal / UNED</w:t>
            </w:r>
          </w:p>
        </w:tc>
        <w:tc>
          <w:tcPr>
            <w:tcW w:type="dxa" w:w="14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top"/>
          </w:tcPr>
          <w:p>
            <w:pPr>
              <w:jc w:val="left"/>
            </w:pPr>
            <w:r>
              <w:rPr>
                <w:rFonts w:ascii="Arial" w:cs="Arial" w:eastAsia="Arial" w:hAnsi="Arial"/>
                <w:b w:val="false"/>
                <w:bCs w:val="false"/>
                <w:color w:val="000000"/>
                <w:sz w:val="18"/>
                <w:szCs w:val="18"/>
              </w:rPr>
              <w:t xml:space="preserve">Nov 2025</w:t>
            </w:r>
          </w:p>
        </w:tc>
        <w:tc>
          <w:tcPr>
            <w:tcW w:type="dxa" w:w="14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top"/>
          </w:tcPr>
          <w:p>
            <w:pPr>
              <w:jc w:val="left"/>
            </w:pPr>
            <w:r>
              <w:rPr>
                <w:rFonts w:ascii="Arial" w:cs="Arial" w:eastAsia="Arial" w:hAnsi="Arial"/>
                <w:b w:val="false"/>
                <w:bCs w:val="false"/>
                <w:color w:val="000000"/>
                <w:sz w:val="18"/>
                <w:szCs w:val="18"/>
              </w:rPr>
              <w:t xml:space="preserve">~$20/mes</w:t>
            </w:r>
          </w:p>
        </w:tc>
        <w:tc>
          <w:tcPr>
            <w:tcW w:type="dxa" w:w="26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top"/>
          </w:tcPr>
          <w:p>
            <w:pPr>
              <w:jc w:val="left"/>
            </w:pPr>
            <w:r>
              <w:rPr>
                <w:rFonts w:ascii="Arial" w:cs="Arial" w:eastAsia="Arial" w:hAnsi="Arial"/>
                <w:b w:val="false"/>
                <w:bCs w:val="false"/>
                <w:color w:val="000000"/>
                <w:sz w:val="18"/>
                <w:szCs w:val="18"/>
              </w:rPr>
              <w:t xml:space="preserve">Migrar a cuenta Team de DIPROVID/Auge</w:t>
            </w:r>
          </w:p>
        </w:tc>
      </w:tr>
      <w:tr>
        <w:tc>
          <w:tcPr>
            <w:tcW w:type="dxa" w:w="2500"/>
            <w:tcBorders>
              <w:top w:val="single" w:color="AAAAAA" w:sz="4"/>
              <w:left w:val="single" w:color="AAAAAA" w:sz="4"/>
              <w:bottom w:val="single" w:color="AAAAAA" w:sz="4"/>
              <w:right w:val="single" w:color="AAAAAA" w:sz="4"/>
            </w:tcBorders>
            <w:shd w:fill="F2F3F4" w:val="clear"/>
            <w:tcMar>
              <w:top w:type="dxa" w:w="80"/>
              <w:left w:type="dxa" w:w="150"/>
              <w:bottom w:type="dxa" w:w="80"/>
              <w:right w:type="dxa" w:w="150"/>
            </w:tcMar>
            <w:vAlign w:val="top"/>
          </w:tcPr>
          <w:p>
            <w:pPr>
              <w:jc w:val="left"/>
            </w:pPr>
            <w:r>
              <w:rPr>
                <w:rFonts w:ascii="Arial" w:cs="Arial" w:eastAsia="Arial" w:hAnsi="Arial"/>
                <w:b/>
                <w:bCs/>
                <w:color w:val="000000"/>
                <w:sz w:val="18"/>
                <w:szCs w:val="18"/>
              </w:rPr>
              <w:t xml:space="preserve">Claude / Gemini GEMs</w:t>
            </w:r>
          </w:p>
        </w:tc>
        <w:tc>
          <w:tcPr>
            <w:tcW w:type="dxa" w:w="14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top"/>
          </w:tcPr>
          <w:p>
            <w:pPr>
              <w:jc w:val="left"/>
            </w:pPr>
            <w:r>
              <w:rPr>
                <w:rFonts w:ascii="Arial" w:cs="Arial" w:eastAsia="Arial" w:hAnsi="Arial"/>
                <w:b w:val="false"/>
                <w:bCs w:val="false"/>
                <w:color w:val="000000"/>
                <w:sz w:val="18"/>
                <w:szCs w:val="18"/>
              </w:rPr>
              <w:t xml:space="preserve">Personal</w:t>
            </w:r>
          </w:p>
        </w:tc>
        <w:tc>
          <w:tcPr>
            <w:tcW w:type="dxa" w:w="14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top"/>
          </w:tcPr>
          <w:p>
            <w:pPr>
              <w:jc w:val="left"/>
            </w:pPr>
            <w:r>
              <w:rPr>
                <w:rFonts w:ascii="Arial" w:cs="Arial" w:eastAsia="Arial" w:hAnsi="Arial"/>
                <w:b w:val="false"/>
                <w:bCs w:val="false"/>
                <w:color w:val="000000"/>
                <w:sz w:val="18"/>
                <w:szCs w:val="18"/>
              </w:rPr>
              <w:t xml:space="preserve">Nov 2025</w:t>
            </w:r>
          </w:p>
        </w:tc>
        <w:tc>
          <w:tcPr>
            <w:tcW w:type="dxa" w:w="14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top"/>
          </w:tcPr>
          <w:p>
            <w:pPr>
              <w:jc w:val="left"/>
            </w:pPr>
            <w:r>
              <w:rPr>
                <w:rFonts w:ascii="Arial" w:cs="Arial" w:eastAsia="Arial" w:hAnsi="Arial"/>
                <w:b w:val="false"/>
                <w:bCs w:val="false"/>
                <w:color w:val="000000"/>
                <w:sz w:val="18"/>
                <w:szCs w:val="18"/>
              </w:rPr>
              <w:t xml:space="preserve">~$20/mes c/u</w:t>
            </w:r>
          </w:p>
        </w:tc>
        <w:tc>
          <w:tcPr>
            <w:tcW w:type="dxa" w:w="26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top"/>
          </w:tcPr>
          <w:p>
            <w:pPr>
              <w:jc w:val="left"/>
            </w:pPr>
            <w:r>
              <w:rPr>
                <w:rFonts w:ascii="Arial" w:cs="Arial" w:eastAsia="Arial" w:hAnsi="Arial"/>
                <w:b w:val="false"/>
                <w:bCs w:val="false"/>
                <w:color w:val="000000"/>
                <w:sz w:val="18"/>
                <w:szCs w:val="18"/>
              </w:rPr>
              <w:t xml:space="preserve">Cuenta institucional Google Workspace</w:t>
            </w:r>
          </w:p>
        </w:tc>
      </w:tr>
      <w:tr>
        <w:tc>
          <w:tcPr>
            <w:tcW w:type="dxa" w:w="2500"/>
            <w:tcBorders>
              <w:top w:val="single" w:color="AAAAAA" w:sz="4"/>
              <w:left w:val="single" w:color="AAAAAA" w:sz="4"/>
              <w:bottom w:val="single" w:color="AAAAAA" w:sz="4"/>
              <w:right w:val="single" w:color="AAAAAA" w:sz="4"/>
            </w:tcBorders>
            <w:shd w:fill="FDEDEC" w:val="clear"/>
            <w:tcMar>
              <w:top w:type="dxa" w:w="80"/>
              <w:left w:type="dxa" w:w="150"/>
              <w:bottom w:type="dxa" w:w="80"/>
              <w:right w:type="dxa" w:w="150"/>
            </w:tcMar>
            <w:vAlign w:val="top"/>
          </w:tcPr>
          <w:p>
            <w:pPr>
              <w:jc w:val="left"/>
            </w:pPr>
            <w:r>
              <w:rPr>
                <w:rFonts w:ascii="Arial" w:cs="Arial" w:eastAsia="Arial" w:hAnsi="Arial"/>
                <w:b/>
                <w:bCs/>
                <w:color w:val="000000"/>
                <w:sz w:val="18"/>
                <w:szCs w:val="18"/>
              </w:rPr>
              <w:t xml:space="preserve">Make / n8n (automatización)</w:t>
            </w:r>
          </w:p>
        </w:tc>
        <w:tc>
          <w:tcPr>
            <w:tcW w:type="dxa" w:w="14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top"/>
          </w:tcPr>
          <w:p>
            <w:pPr>
              <w:jc w:val="left"/>
            </w:pPr>
            <w:r>
              <w:rPr>
                <w:rFonts w:ascii="Arial" w:cs="Arial" w:eastAsia="Arial" w:hAnsi="Arial"/>
                <w:b w:val="false"/>
                <w:bCs w:val="false"/>
                <w:color w:val="000000"/>
                <w:sz w:val="18"/>
                <w:szCs w:val="18"/>
              </w:rPr>
              <w:t xml:space="preserve">Por definir</w:t>
            </w:r>
          </w:p>
        </w:tc>
        <w:tc>
          <w:tcPr>
            <w:tcW w:type="dxa" w:w="14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top"/>
          </w:tcPr>
          <w:p>
            <w:pPr>
              <w:jc w:val="left"/>
            </w:pPr>
            <w:r>
              <w:rPr>
                <w:rFonts w:ascii="Arial" w:cs="Arial" w:eastAsia="Arial" w:hAnsi="Arial"/>
                <w:b w:val="false"/>
                <w:bCs w:val="false"/>
                <w:color w:val="000000"/>
                <w:sz w:val="18"/>
                <w:szCs w:val="18"/>
              </w:rPr>
              <w:t xml:space="preserve">Nov 2025</w:t>
            </w:r>
          </w:p>
        </w:tc>
        <w:tc>
          <w:tcPr>
            <w:tcW w:type="dxa" w:w="14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top"/>
          </w:tcPr>
          <w:p>
            <w:pPr>
              <w:jc w:val="left"/>
            </w:pPr>
            <w:r>
              <w:rPr>
                <w:rFonts w:ascii="Arial" w:cs="Arial" w:eastAsia="Arial" w:hAnsi="Arial"/>
                <w:b w:val="false"/>
                <w:bCs w:val="false"/>
                <w:color w:val="000000"/>
                <w:sz w:val="18"/>
                <w:szCs w:val="18"/>
              </w:rPr>
              <w:t xml:space="preserve">~$9–29/mes</w:t>
            </w:r>
          </w:p>
        </w:tc>
        <w:tc>
          <w:tcPr>
            <w:tcW w:type="dxa" w:w="26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top"/>
          </w:tcPr>
          <w:p>
            <w:pPr>
              <w:jc w:val="left"/>
            </w:pPr>
            <w:r>
              <w:rPr>
                <w:rFonts w:ascii="Arial" w:cs="Arial" w:eastAsia="Arial" w:hAnsi="Arial"/>
                <w:b w:val="false"/>
                <w:bCs w:val="false"/>
                <w:color w:val="000000"/>
                <w:sz w:val="18"/>
                <w:szCs w:val="18"/>
              </w:rPr>
              <w:t xml:space="preserve">Workspace unificado DIPROVID</w:t>
            </w:r>
          </w:p>
        </w:tc>
      </w:tr>
      <w:tr>
        <w:tc>
          <w:tcPr>
            <w:tcW w:type="dxa" w:w="2500"/>
            <w:tcBorders>
              <w:top w:val="single" w:color="AAAAAA" w:sz="4"/>
              <w:left w:val="single" w:color="AAAAAA" w:sz="4"/>
              <w:bottom w:val="single" w:color="AAAAAA" w:sz="4"/>
              <w:right w:val="single" w:color="AAAAAA" w:sz="4"/>
            </w:tcBorders>
            <w:shd w:fill="F2F3F4" w:val="clear"/>
            <w:tcMar>
              <w:top w:type="dxa" w:w="80"/>
              <w:left w:type="dxa" w:w="150"/>
              <w:bottom w:type="dxa" w:w="80"/>
              <w:right w:type="dxa" w:w="150"/>
            </w:tcMar>
            <w:vAlign w:val="top"/>
          </w:tcPr>
          <w:p>
            <w:pPr>
              <w:jc w:val="left"/>
            </w:pPr>
            <w:r>
              <w:rPr>
                <w:rFonts w:ascii="Arial" w:cs="Arial" w:eastAsia="Arial" w:hAnsi="Arial"/>
                <w:b/>
                <w:bCs/>
                <w:color w:val="000000"/>
                <w:sz w:val="18"/>
                <w:szCs w:val="18"/>
              </w:rPr>
              <w:t xml:space="preserve">Laboratorio Auge (4–5 licencias)</w:t>
            </w:r>
          </w:p>
        </w:tc>
        <w:tc>
          <w:tcPr>
            <w:tcW w:type="dxa" w:w="14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top"/>
          </w:tcPr>
          <w:p>
            <w:pPr>
              <w:jc w:val="left"/>
            </w:pPr>
            <w:r>
              <w:rPr>
                <w:rFonts w:ascii="Arial" w:cs="Arial" w:eastAsia="Arial" w:hAnsi="Arial"/>
                <w:b w:val="false"/>
                <w:bCs w:val="false"/>
                <w:color w:val="000000"/>
                <w:sz w:val="18"/>
                <w:szCs w:val="18"/>
              </w:rPr>
              <w:t xml:space="preserve">No existente</w:t>
            </w:r>
          </w:p>
        </w:tc>
        <w:tc>
          <w:tcPr>
            <w:tcW w:type="dxa" w:w="14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top"/>
          </w:tcPr>
          <w:p>
            <w:pPr>
              <w:jc w:val="left"/>
            </w:pPr>
            <w:r>
              <w:rPr>
                <w:rFonts w:ascii="Arial" w:cs="Arial" w:eastAsia="Arial" w:hAnsi="Arial"/>
                <w:b w:val="false"/>
                <w:bCs w:val="false"/>
                <w:color w:val="000000"/>
                <w:sz w:val="18"/>
                <w:szCs w:val="18"/>
              </w:rPr>
              <w:t xml:space="preserve">—</w:t>
            </w:r>
          </w:p>
        </w:tc>
        <w:tc>
          <w:tcPr>
            <w:tcW w:type="dxa" w:w="14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top"/>
          </w:tcPr>
          <w:p>
            <w:pPr>
              <w:jc w:val="left"/>
            </w:pPr>
            <w:r>
              <w:rPr>
                <w:rFonts w:ascii="Arial" w:cs="Arial" w:eastAsia="Arial" w:hAnsi="Arial"/>
                <w:b w:val="false"/>
                <w:bCs w:val="false"/>
                <w:color w:val="000000"/>
                <w:sz w:val="18"/>
                <w:szCs w:val="18"/>
              </w:rPr>
              <w:t xml:space="preserve">~$100–120/mes</w:t>
            </w:r>
          </w:p>
        </w:tc>
        <w:tc>
          <w:tcPr>
            <w:tcW w:type="dxa" w:w="26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top"/>
          </w:tcPr>
          <w:p>
            <w:pPr>
              <w:jc w:val="left"/>
            </w:pPr>
            <w:r>
              <w:rPr>
                <w:rFonts w:ascii="Arial" w:cs="Arial" w:eastAsia="Arial" w:hAnsi="Arial"/>
                <w:b w:val="false"/>
                <w:bCs w:val="false"/>
                <w:color w:val="000000"/>
                <w:sz w:val="18"/>
                <w:szCs w:val="18"/>
              </w:rPr>
              <w:t xml:space="preserve">Licencias compartidas + protocolo de sesión</w:t>
            </w:r>
          </w:p>
        </w:tc>
      </w:tr>
      <w:tr>
        <w:tc>
          <w:tcPr>
            <w:tcW w:type="dxa" w:w="2500"/>
            <w:tcBorders>
              <w:top w:val="single" w:color="AAAAAA" w:sz="4"/>
              <w:left w:val="single" w:color="AAAAAA" w:sz="4"/>
              <w:bottom w:val="single" w:color="AAAAAA" w:sz="4"/>
              <w:right w:val="single" w:color="AAAAAA" w:sz="4"/>
            </w:tcBorders>
            <w:shd w:fill="003366" w:val="clear"/>
            <w:tcMar>
              <w:top w:type="dxa" w:w="80"/>
              <w:left w:type="dxa" w:w="150"/>
              <w:bottom w:type="dxa" w:w="80"/>
              <w:right w:type="dxa" w:w="150"/>
            </w:tcMar>
            <w:vAlign w:val="top"/>
          </w:tcPr>
          <w:p>
            <w:r>
              <w:rPr>
                <w:rFonts w:ascii="Arial" w:cs="Arial" w:eastAsia="Arial" w:hAnsi="Arial"/>
                <w:b/>
                <w:bCs/>
                <w:sz w:val="20"/>
                <w:szCs w:val="20"/>
              </w:rPr>
              <w:t xml:space="preserve">TOTAL ESTIMADO</w:t>
            </w:r>
          </w:p>
        </w:tc>
        <w:tc>
          <w:tcPr>
            <w:tcW w:type="dxa" w:w="2800"/>
            <w:tcBorders>
              <w:top w:val="single" w:color="AAAAAA" w:sz="4"/>
              <w:left w:val="single" w:color="AAAAAA" w:sz="4"/>
              <w:bottom w:val="single" w:color="AAAAAA" w:sz="4"/>
              <w:right w:val="single" w:color="AAAAAA" w:sz="4"/>
            </w:tcBorders>
            <w:shd w:fill="003366" w:val="clear"/>
            <w:tcMar>
              <w:top w:type="dxa" w:w="80"/>
              <w:left w:type="dxa" w:w="150"/>
              <w:bottom w:type="dxa" w:w="80"/>
              <w:right w:type="dxa" w:w="150"/>
            </w:tcMar>
            <w:vAlign w:val="top"/>
          </w:tcPr>
          <w:p>
            <w:pPr>
              <w:jc w:val="left"/>
            </w:pPr>
            <w:r>
              <w:rPr>
                <w:rFonts w:ascii="Arial" w:cs="Arial" w:eastAsia="Arial" w:hAnsi="Arial"/>
                <w:b w:val="false"/>
                <w:bCs w:val="false"/>
                <w:color w:val="000000"/>
                <w:sz w:val="18"/>
                <w:szCs w:val="18"/>
              </w:rPr>
              <w:t xml:space="preserve"/>
            </w:r>
          </w:p>
        </w:tc>
        <w:tc>
          <w:tcPr>
            <w:tcW w:type="dxa" w:w="1400"/>
            <w:tcBorders>
              <w:top w:val="single" w:color="AAAAAA" w:sz="4"/>
              <w:left w:val="single" w:color="AAAAAA" w:sz="4"/>
              <w:bottom w:val="single" w:color="AAAAAA" w:sz="4"/>
              <w:right w:val="single" w:color="AAAAAA" w:sz="4"/>
            </w:tcBorders>
            <w:shd w:fill="003366" w:val="clear"/>
            <w:tcMar>
              <w:top w:type="dxa" w:w="80"/>
              <w:left w:type="dxa" w:w="150"/>
              <w:bottom w:type="dxa" w:w="80"/>
              <w:right w:type="dxa" w:w="150"/>
            </w:tcMar>
            <w:vAlign w:val="top"/>
          </w:tcPr>
          <w:p>
            <w:pPr>
              <w:jc w:val="left"/>
            </w:pPr>
            <w:r>
              <w:rPr>
                <w:rFonts w:ascii="Arial" w:cs="Arial" w:eastAsia="Arial" w:hAnsi="Arial"/>
                <w:b w:val="false"/>
                <w:bCs w:val="false"/>
                <w:color w:val="000000"/>
                <w:sz w:val="18"/>
                <w:szCs w:val="18"/>
              </w:rPr>
              <w:t xml:space="preserve"/>
            </w:r>
          </w:p>
        </w:tc>
        <w:tc>
          <w:tcPr>
            <w:tcW w:type="dxa" w:w="1400"/>
            <w:tcBorders>
              <w:top w:val="single" w:color="AAAAAA" w:sz="4"/>
              <w:left w:val="single" w:color="AAAAAA" w:sz="4"/>
              <w:bottom w:val="single" w:color="AAAAAA" w:sz="4"/>
              <w:right w:val="single" w:color="AAAAAA" w:sz="4"/>
            </w:tcBorders>
            <w:shd w:fill="003366" w:val="clear"/>
            <w:tcMar>
              <w:top w:type="dxa" w:w="80"/>
              <w:left w:type="dxa" w:w="150"/>
              <w:bottom w:type="dxa" w:w="80"/>
              <w:right w:type="dxa" w:w="150"/>
            </w:tcMar>
            <w:vAlign w:val="top"/>
          </w:tcPr>
          <w:p>
            <w:pPr>
              <w:jc w:val="center"/>
            </w:pPr>
            <w:r>
              <w:rPr>
                <w:rFonts w:ascii="Arial" w:cs="Arial" w:eastAsia="Arial" w:hAnsi="Arial"/>
                <w:b/>
                <w:bCs/>
                <w:color w:val="FFFFFF"/>
                <w:sz w:val="18"/>
                <w:szCs w:val="18"/>
              </w:rPr>
              <w:t xml:space="preserve">~$3,000/año</w:t>
            </w:r>
          </w:p>
        </w:tc>
        <w:tc>
          <w:tcPr>
            <w:tcW w:type="dxa" w:w="2660"/>
            <w:tcBorders>
              <w:top w:val="single" w:color="AAAAAA" w:sz="4"/>
              <w:left w:val="single" w:color="AAAAAA" w:sz="4"/>
              <w:bottom w:val="single" w:color="AAAAAA" w:sz="4"/>
              <w:right w:val="single" w:color="AAAAAA" w:sz="4"/>
            </w:tcBorders>
            <w:shd w:fill="003366" w:val="clear"/>
            <w:tcMar>
              <w:top w:type="dxa" w:w="80"/>
              <w:left w:type="dxa" w:w="150"/>
              <w:bottom w:type="dxa" w:w="80"/>
              <w:right w:type="dxa" w:w="150"/>
            </w:tcMar>
            <w:vAlign w:val="top"/>
          </w:tcPr>
          <w:p>
            <w:pPr>
              <w:jc w:val="left"/>
            </w:pPr>
            <w:r>
              <w:rPr>
                <w:rFonts w:ascii="Arial" w:cs="Arial" w:eastAsia="Arial" w:hAnsi="Arial"/>
                <w:b w:val="false"/>
                <w:bCs w:val="false"/>
                <w:color w:val="FFFFFF"/>
                <w:sz w:val="18"/>
                <w:szCs w:val="18"/>
              </w:rPr>
              <w:t xml:space="preserve">Primer arranque financiado por Auge</w:t>
            </w:r>
          </w:p>
        </w:tc>
      </w:tr>
    </w:tbl>
    <w:p>
      <w:pPr>
        <w:spacing w:after="0" w:before="80"/>
      </w:pPr>
    </w:p>
    <w:p>
      <w:pPr>
        <w:spacing w:after="80" w:before="80"/>
      </w:pPr>
      <w:r>
        <w:rPr>
          <w:rFonts w:ascii="Arial" w:cs="Arial" w:eastAsia="Arial" w:hAnsi="Arial"/>
          <w:color w:val="424949"/>
          <w:sz w:val="20"/>
          <w:szCs w:val="20"/>
        </w:rPr>
        <w:t xml:space="preserve">Se identifican dos rutas de institucionalización, no excluyentes:</w:t>
      </w:r>
    </w:p>
    <w:p>
      <w:pPr>
        <w:pStyle w:val="ListParagraph"/>
        <w:numPr>
          <w:ilvl w:val="0"/>
          <w:numId w:val="2"/>
        </w:numPr>
        <w:spacing w:after="40" w:before="40"/>
      </w:pPr>
      <w:r>
        <w:rPr>
          <w:rFonts w:ascii="Arial" w:cs="Arial" w:eastAsia="Arial" w:hAnsi="Arial"/>
          <w:b/>
          <w:bCs/>
          <w:color w:val="000000"/>
          <w:sz w:val="20"/>
          <w:szCs w:val="20"/>
        </w:rPr>
        <w:t xml:space="preserve">Opción A (preferida a corto plazo): </w:t>
      </w:r>
      <w:r>
        <w:rPr>
          <w:rFonts w:ascii="Arial" w:cs="Arial" w:eastAsia="Arial" w:hAnsi="Arial"/>
          <w:color w:val="424949"/>
          <w:sz w:val="20"/>
          <w:szCs w:val="20"/>
        </w:rPr>
        <w:t xml:space="preserve">Cuenta empresarial ChatGPT Team bajo DIPROVID/Auge que centralice los GPTs entrenados. Permite gestión de usuarios, continuidad de assets y visibilidad institucional clara.</w:t>
      </w:r>
    </w:p>
    <w:p>
      <w:pPr>
        <w:pStyle w:val="ListParagraph"/>
        <w:numPr>
          <w:ilvl w:val="0"/>
          <w:numId w:val="2"/>
        </w:numPr>
        <w:spacing w:after="40" w:before="40"/>
      </w:pPr>
      <w:r>
        <w:rPr>
          <w:rFonts w:ascii="Arial" w:cs="Arial" w:eastAsia="Arial" w:hAnsi="Arial"/>
          <w:b/>
          <w:bCs/>
          <w:color w:val="000000"/>
          <w:sz w:val="20"/>
          <w:szCs w:val="20"/>
        </w:rPr>
        <w:t xml:space="preserve">Opción B (preferida a mediano plazo): </w:t>
      </w:r>
      <w:r>
        <w:rPr>
          <w:rFonts w:ascii="Arial" w:cs="Arial" w:eastAsia="Arial" w:hAnsi="Arial"/>
          <w:color w:val="424949"/>
          <w:sz w:val="20"/>
          <w:szCs w:val="20"/>
        </w:rPr>
        <w:t xml:space="preserve">Migración a Google Workspace institucional (según conversación previa con Alonso). Permite gestión masiva de licencias vinculadas a cuentas @ucr.ac.cr o @auge.cr, compatible con Gemini y Google Forms.</w:t>
      </w:r>
    </w:p>
    <w:p>
      <w:pPr>
        <w:spacing w:after="0" w:before="60"/>
      </w:pPr>
    </w:p>
    <w:p>
      <w:pPr>
        <w:spacing w:after="80" w:before="80"/>
      </w:pPr>
      <w:r>
        <w:rPr>
          <w:rFonts w:ascii="Arial" w:cs="Arial" w:eastAsia="Arial" w:hAnsi="Arial"/>
          <w:color w:val="424949"/>
          <w:sz w:val="20"/>
          <w:szCs w:val="20"/>
        </w:rPr>
        <w:t xml:space="preserve">Ambas opciones requieren que la propuesta de convenio Auge–Observatorio incluya una cláusula de titularidad institucional sobre los assets digitales desarrollados.</w:t>
      </w:r>
    </w:p>
    <w:p>
      <w:pPr>
        <w:spacing w:after="0" w:before="80"/>
      </w:pPr>
    </w:p>
    <w:p>
      <w:pPr>
        <w:pStyle w:val="Heading3"/>
        <w:spacing w:after="80" w:before="160"/>
      </w:pPr>
      <w:r>
        <w:rPr>
          <w:rFonts w:ascii="Arial" w:cs="Arial" w:eastAsia="Arial" w:hAnsi="Arial"/>
          <w:b/>
          <w:bCs/>
          <w:color w:val="2E86C1"/>
          <w:sz w:val="22"/>
          <w:szCs w:val="22"/>
        </w:rPr>
        <w:t xml:space="preserve">3.3.2 Laboratorio presencial en Auge</w:t>
      </w:r>
    </w:p>
    <w:p>
      <w:pPr>
        <w:spacing w:after="80" w:before="80"/>
      </w:pPr>
      <w:r>
        <w:rPr>
          <w:rFonts w:ascii="Arial" w:cs="Arial" w:eastAsia="Arial" w:hAnsi="Arial"/>
          <w:color w:val="424949"/>
          <w:sz w:val="20"/>
          <w:szCs w:val="20"/>
        </w:rPr>
        <w:t xml:space="preserve">Se propone la habilitación de un espacio físico en las instalaciones de Auge con 4–5 estaciones de trabajo con acceso a las licencias institucionales. Los componentes mínimos son:</w:t>
      </w:r>
    </w:p>
    <w:p>
      <w:pPr>
        <w:pStyle w:val="ListParagraph"/>
        <w:numPr>
          <w:ilvl w:val="0"/>
          <w:numId w:val="2"/>
        </w:numPr>
        <w:spacing w:after="40" w:before="40"/>
      </w:pPr>
      <w:r>
        <w:rPr>
          <w:rFonts w:ascii="Arial" w:cs="Arial" w:eastAsia="Arial" w:hAnsi="Arial"/>
          <w:color w:val="424949"/>
          <w:sz w:val="20"/>
          <w:szCs w:val="20"/>
        </w:rPr>
        <w:t xml:space="preserve">Acceso a ChatGPT Team o equivalente institucional (no cuentas personales)</w:t>
      </w:r>
    </w:p>
    <w:p>
      <w:pPr>
        <w:pStyle w:val="ListParagraph"/>
        <w:numPr>
          <w:ilvl w:val="0"/>
          <w:numId w:val="2"/>
        </w:numPr>
        <w:spacing w:after="40" w:before="40"/>
      </w:pPr>
      <w:r>
        <w:rPr>
          <w:rFonts w:ascii="Arial" w:cs="Arial" w:eastAsia="Arial" w:hAnsi="Arial"/>
          <w:color w:val="424949"/>
          <w:sz w:val="20"/>
          <w:szCs w:val="20"/>
        </w:rPr>
        <w:t xml:space="preserve">Protocolo de inicio/cierre de sesión que garantice la privacidad entre usuarios (borrado de historial, desvinculación de datos personales)</w:t>
      </w:r>
    </w:p>
    <w:p>
      <w:pPr>
        <w:pStyle w:val="ListParagraph"/>
        <w:numPr>
          <w:ilvl w:val="0"/>
          <w:numId w:val="2"/>
        </w:numPr>
        <w:spacing w:after="40" w:before="40"/>
      </w:pPr>
      <w:r>
        <w:rPr>
          <w:rFonts w:ascii="Arial" w:cs="Arial" w:eastAsia="Arial" w:hAnsi="Arial"/>
          <w:color w:val="424949"/>
          <w:sz w:val="20"/>
          <w:szCs w:val="20"/>
        </w:rPr>
        <w:t xml:space="preserve">Guía de uso para emprendedores sin experiencia previa en IA</w:t>
      </w:r>
    </w:p>
    <w:p>
      <w:pPr>
        <w:pStyle w:val="ListParagraph"/>
        <w:numPr>
          <w:ilvl w:val="0"/>
          <w:numId w:val="2"/>
        </w:numPr>
        <w:spacing w:after="40" w:before="40"/>
      </w:pPr>
      <w:r>
        <w:rPr>
          <w:rFonts w:ascii="Arial" w:cs="Arial" w:eastAsia="Arial" w:hAnsi="Arial"/>
          <w:color w:val="424949"/>
          <w:sz w:val="20"/>
          <w:szCs w:val="20"/>
        </w:rPr>
        <w:t xml:space="preserve">Facilitador o monitor disponible en horario definido (puede ser estudiante avanzado vinculado al CIOdD)</w:t>
      </w:r>
    </w:p>
    <w:p>
      <w:pPr>
        <w:spacing w:after="0" w:before="60"/>
      </w:pPr>
    </w:p>
    <w:p>
      <w:pPr>
        <w:spacing w:after="80" w:before="80"/>
      </w:pPr>
      <w:r>
        <w:rPr>
          <w:rFonts w:ascii="Arial" w:cs="Arial" w:eastAsia="Arial" w:hAnsi="Arial"/>
          <w:color w:val="424949"/>
          <w:sz w:val="20"/>
          <w:szCs w:val="20"/>
        </w:rPr>
        <w:t xml:space="preserve">El laboratorio sirve también como espacio de validación iterativa del Toolkit 1: permite observar en tiempo real las dificultades de uso y ajustar los materiales antes del despliegue masivo en línea.</w:t>
      </w:r>
    </w:p>
    <w:p>
      <w:pPr>
        <w:spacing w:after="0" w:before="80"/>
      </w:pPr>
    </w:p>
    <w:p>
      <w:pPr>
        <w:pStyle w:val="Heading3"/>
        <w:spacing w:after="80" w:before="160"/>
      </w:pPr>
      <w:r>
        <w:rPr>
          <w:rFonts w:ascii="Arial" w:cs="Arial" w:eastAsia="Arial" w:hAnsi="Arial"/>
          <w:b/>
          <w:bCs/>
          <w:color w:val="2E86C1"/>
          <w:sz w:val="22"/>
          <w:szCs w:val="22"/>
        </w:rPr>
        <w:t xml:space="preserve">3.3.3 Mejoras de contenido transversales (aplicar Fases 0–2)</w:t>
      </w:r>
    </w:p>
    <w:p>
      <w:pPr>
        <w:spacing w:after="80" w:before="80"/>
      </w:pPr>
      <w:r>
        <w:rPr>
          <w:rFonts w:ascii="Arial" w:cs="Arial" w:eastAsia="Arial" w:hAnsi="Arial"/>
          <w:color w:val="424949"/>
          <w:sz w:val="20"/>
          <w:szCs w:val="20"/>
        </w:rPr>
        <w:t xml:space="preserve">Con independencia de la fase, se recomienda incorporar de manera sistemática en cada módulo existente:</w:t>
      </w:r>
    </w:p>
    <w:p>
      <w:pPr>
        <w:pStyle w:val="ListParagraph"/>
        <w:numPr>
          <w:ilvl w:val="0"/>
          <w:numId w:val="2"/>
        </w:numPr>
        <w:spacing w:after="40" w:before="40"/>
      </w:pPr>
      <w:r>
        <w:rPr>
          <w:rFonts w:ascii="Arial" w:cs="Arial" w:eastAsia="Arial" w:hAnsi="Arial"/>
          <w:b/>
          <w:bCs/>
          <w:color w:val="000000"/>
          <w:sz w:val="20"/>
          <w:szCs w:val="20"/>
        </w:rPr>
        <w:t xml:space="preserve">Texto introductorio: </w:t>
      </w:r>
      <w:r>
        <w:rPr>
          <w:rFonts w:ascii="Arial" w:cs="Arial" w:eastAsia="Arial" w:hAnsi="Arial"/>
          <w:color w:val="424949"/>
          <w:sz w:val="20"/>
          <w:szCs w:val="20"/>
        </w:rPr>
        <w:t xml:space="preserve">párrafo de 100–150 palabras que contextualice el módulo, su objetivo y su relevancia para el negocio</w:t>
      </w:r>
    </w:p>
    <w:p>
      <w:pPr>
        <w:pStyle w:val="ListParagraph"/>
        <w:numPr>
          <w:ilvl w:val="0"/>
          <w:numId w:val="2"/>
        </w:numPr>
        <w:spacing w:after="40" w:before="40"/>
      </w:pPr>
      <w:r>
        <w:rPr>
          <w:rFonts w:ascii="Arial" w:cs="Arial" w:eastAsia="Arial" w:hAnsi="Arial"/>
          <w:b/>
          <w:bCs/>
          <w:color w:val="000000"/>
          <w:sz w:val="20"/>
          <w:szCs w:val="20"/>
        </w:rPr>
        <w:t xml:space="preserve">Lista de chequeo navegacional: </w:t>
      </w:r>
      <w:r>
        <w:rPr>
          <w:rFonts w:ascii="Arial" w:cs="Arial" w:eastAsia="Arial" w:hAnsi="Arial"/>
          <w:color w:val="424949"/>
          <w:sz w:val="20"/>
          <w:szCs w:val="20"/>
        </w:rPr>
        <w:t xml:space="preserve">tabla al final de cada módulo con: componentes vistos, herramientas cubiertas, entregable producido, y enlace al módulo siguiente recomendado</w:t>
      </w:r>
    </w:p>
    <w:p>
      <w:pPr>
        <w:pStyle w:val="ListParagraph"/>
        <w:numPr>
          <w:ilvl w:val="0"/>
          <w:numId w:val="2"/>
        </w:numPr>
        <w:spacing w:after="40" w:before="40"/>
      </w:pPr>
      <w:r>
        <w:rPr>
          <w:rFonts w:ascii="Arial" w:cs="Arial" w:eastAsia="Arial" w:hAnsi="Arial"/>
          <w:b/>
          <w:bCs/>
          <w:color w:val="000000"/>
          <w:sz w:val="20"/>
          <w:szCs w:val="20"/>
        </w:rPr>
        <w:t xml:space="preserve">Atribución institucional clara: </w:t>
      </w:r>
      <w:r>
        <w:rPr>
          <w:rFonts w:ascii="Arial" w:cs="Arial" w:eastAsia="Arial" w:hAnsi="Arial"/>
          <w:color w:val="424949"/>
          <w:sz w:val="20"/>
          <w:szCs w:val="20"/>
        </w:rPr>
        <w:t xml:space="preserve">al pie de cada recurso: '© UCR-CIOdD/DIPROVID' o 'Recurso de Auge–UCR', eliminando referencias a cuentas personales o a la UNED donde no corresponda</w:t>
      </w:r>
    </w:p>
    <w:p>
      <w:pPr>
        <w:spacing w:after="0" w:before="120"/>
      </w:pPr>
    </w:p>
    <w:p>
      <w:r>
        <w:br w:type="page"/>
      </w:r>
    </w:p>
    <w:p>
      <w:pPr>
        <w:pStyle w:val="Heading2"/>
        <w:spacing w:after="120" w:before="240"/>
      </w:pPr>
      <w:r>
        <w:rPr>
          <w:rFonts w:ascii="Arial" w:cs="Arial" w:eastAsia="Arial" w:hAnsi="Arial"/>
          <w:b/>
          <w:bCs/>
          <w:color w:val="1A5276"/>
          <w:sz w:val="24"/>
          <w:szCs w:val="24"/>
        </w:rPr>
        <w:t xml:space="preserve">3.4 Fase 3 — Toolkit 2 y Certificación (Nov 2025 en adelante)</w:t>
      </w:r>
    </w:p>
    <w:p>
      <w:pPr>
        <w:spacing w:after="80" w:before="80"/>
      </w:pPr>
      <w:r>
        <w:rPr>
          <w:rFonts w:ascii="Arial" w:cs="Arial" w:eastAsia="Arial" w:hAnsi="Arial"/>
          <w:color w:val="424949"/>
          <w:sz w:val="20"/>
          <w:szCs w:val="20"/>
        </w:rPr>
        <w:t xml:space="preserve">El Toolkit 2 está concebido como una oferta de pago para emprendedores que ya completaron el ciclo pre-operativo y tienen un negocio en marcha. Se articula con los Módulos I–III del programa actual, que sí están diseñados para ese perfil.</w:t>
      </w:r>
    </w:p>
    <w:p>
      <w:pPr>
        <w:spacing w:after="0" w:before="60"/>
      </w:pPr>
    </w:p>
    <w:p>
      <w:pPr>
        <w:spacing w:after="80" w:before="80"/>
      </w:pPr>
      <w:r>
        <w:rPr>
          <w:rFonts w:ascii="Arial" w:cs="Arial" w:eastAsia="Arial" w:hAnsi="Arial"/>
          <w:color w:val="424949"/>
          <w:sz w:val="20"/>
          <w:szCs w:val="20"/>
        </w:rPr>
        <w:t xml:space="preserve">Los elementos diferenciadores son:</w:t>
      </w:r>
    </w:p>
    <w:p>
      <w:pPr>
        <w:pStyle w:val="ListParagraph"/>
        <w:numPr>
          <w:ilvl w:val="0"/>
          <w:numId w:val="2"/>
        </w:numPr>
        <w:spacing w:after="40" w:before="40"/>
      </w:pPr>
      <w:r>
        <w:rPr>
          <w:rFonts w:ascii="Arial" w:cs="Arial" w:eastAsia="Arial" w:hAnsi="Arial"/>
          <w:b/>
          <w:bCs/>
          <w:color w:val="000000"/>
          <w:sz w:val="20"/>
          <w:szCs w:val="20"/>
        </w:rPr>
        <w:t xml:space="preserve">Modelo de pago: </w:t>
      </w:r>
      <w:r>
        <w:rPr>
          <w:rFonts w:ascii="Arial" w:cs="Arial" w:eastAsia="Arial" w:hAnsi="Arial"/>
          <w:color w:val="424949"/>
          <w:sz w:val="20"/>
          <w:szCs w:val="20"/>
        </w:rPr>
        <w:t xml:space="preserve">recuperación parcial o total de costos de licencias avanzadas (Make, n8n, herramientas de análisis financiero)</w:t>
      </w:r>
    </w:p>
    <w:p>
      <w:pPr>
        <w:pStyle w:val="ListParagraph"/>
        <w:numPr>
          <w:ilvl w:val="0"/>
          <w:numId w:val="2"/>
        </w:numPr>
        <w:spacing w:after="40" w:before="40"/>
      </w:pPr>
      <w:r>
        <w:rPr>
          <w:rFonts w:ascii="Arial" w:cs="Arial" w:eastAsia="Arial" w:hAnsi="Arial"/>
          <w:b/>
          <w:bCs/>
          <w:color w:val="000000"/>
          <w:sz w:val="20"/>
          <w:szCs w:val="20"/>
        </w:rPr>
        <w:t xml:space="preserve">Certificación: </w:t>
      </w:r>
      <w:r>
        <w:rPr>
          <w:rFonts w:ascii="Arial" w:cs="Arial" w:eastAsia="Arial" w:hAnsi="Arial"/>
          <w:color w:val="424949"/>
          <w:sz w:val="20"/>
          <w:szCs w:val="20"/>
        </w:rPr>
        <w:t xml:space="preserve">credencial digital emitida por UCR-CIOdD/DIPROVID como incentivo de completitud y diferenciador para el emprendedor</w:t>
      </w:r>
    </w:p>
    <w:p>
      <w:pPr>
        <w:pStyle w:val="ListParagraph"/>
        <w:numPr>
          <w:ilvl w:val="0"/>
          <w:numId w:val="2"/>
        </w:numPr>
        <w:spacing w:after="40" w:before="40"/>
      </w:pPr>
      <w:r>
        <w:rPr>
          <w:rFonts w:ascii="Arial" w:cs="Arial" w:eastAsia="Arial" w:hAnsi="Arial"/>
          <w:b/>
          <w:bCs/>
          <w:color w:val="000000"/>
          <w:sz w:val="20"/>
          <w:szCs w:val="20"/>
        </w:rPr>
        <w:t xml:space="preserve">Evaluación de impacto: </w:t>
      </w:r>
      <w:r>
        <w:rPr>
          <w:rFonts w:ascii="Arial" w:cs="Arial" w:eastAsia="Arial" w:hAnsi="Arial"/>
          <w:color w:val="424949"/>
          <w:sz w:val="20"/>
          <w:szCs w:val="20"/>
        </w:rPr>
        <w:t xml:space="preserve">instrumento de seguimiento a 6 y 12 meses post-programa: ¿el emprendedor implementó las herramientas? ¿qué resultados obtuvo?</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4"/>
              <w:left w:val="single" w:color="2E86C1" w:sz="24"/>
              <w:bottom w:val="single" w:color="2E86C1" w:sz="4"/>
              <w:right w:val="single" w:color="2E86C1" w:sz="4"/>
            </w:tcBorders>
            <w:shd w:fill="E8F4FD" w:val="clear"/>
            <w:tcMar>
              <w:top w:type="dxa" w:w="140"/>
              <w:left w:type="dxa" w:w="200"/>
              <w:bottom w:type="dxa" w:w="140"/>
              <w:right w:type="dxa" w:w="200"/>
            </w:tcMar>
          </w:tcPr>
          <w:p>
            <w:r>
              <w:rPr>
                <w:rFonts w:ascii="Arial" w:cs="Arial" w:eastAsia="Arial" w:hAnsi="Arial"/>
                <w:i/>
                <w:iCs/>
                <w:color w:val="424949"/>
                <w:sz w:val="20"/>
                <w:szCs w:val="20"/>
              </w:rPr>
              <w:t xml:space="preserve">La certificación no es solo un incentivo: es también un mecanismo de accountability académico que permite al CIOdD reportar impacto real del programa a instancias de la UCR y a potenciales financiadores externos.</w:t>
            </w:r>
          </w:p>
        </w:tc>
      </w:tr>
    </w:tbl>
    <w:p>
      <w:pPr>
        <w:spacing w:after="0" w:before="120"/>
      </w:pPr>
    </w:p>
    <w:p>
      <w:pPr>
        <w:pBdr>
          <w:bottom w:val="single" w:color="003366" w:sz="6" w:space="1"/>
        </w:pBdr>
        <w:spacing w:after="120" w:before="120"/>
      </w:pPr>
    </w:p>
    <w:p>
      <w:pPr>
        <w:pStyle w:val="Heading1"/>
        <w:spacing w:after="160" w:before="320"/>
      </w:pPr>
      <w:r>
        <w:rPr>
          <w:rFonts w:ascii="Arial" w:cs="Arial" w:eastAsia="Arial" w:hAnsi="Arial"/>
          <w:b/>
          <w:bCs/>
          <w:color w:val="003366"/>
          <w:sz w:val="28"/>
          <w:szCs w:val="28"/>
        </w:rPr>
        <w:t xml:space="preserve">4. Propuesta de Colaboración Auge–Observatorio</w:t>
      </w:r>
    </w:p>
    <w:p>
      <w:pPr>
        <w:spacing w:after="80" w:before="80"/>
      </w:pPr>
      <w:r>
        <w:rPr>
          <w:rFonts w:ascii="Arial" w:cs="Arial" w:eastAsia="Arial" w:hAnsi="Arial"/>
          <w:color w:val="424949"/>
          <w:sz w:val="20"/>
          <w:szCs w:val="20"/>
        </w:rPr>
        <w:t xml:space="preserve">La colaboración propuesta en la reunión técnica sigue una lógica de intercambio de recursos con valor equivalente: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AAAAAA" w:sz="4"/>
              <w:left w:val="single" w:color="AAAAAA" w:sz="4"/>
              <w:bottom w:val="single" w:color="AAAAAA" w:sz="4"/>
              <w:right w:val="single" w:color="AAAAAA" w:sz="4"/>
            </w:tcBorders>
            <w:shd w:fill="1A5276"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Auge aporta</w:t>
            </w:r>
          </w:p>
        </w:tc>
        <w:tc>
          <w:tcPr>
            <w:tcW w:type="dxa" w:w="4680"/>
            <w:tcBorders>
              <w:top w:val="single" w:color="AAAAAA" w:sz="4"/>
              <w:left w:val="single" w:color="AAAAAA" w:sz="4"/>
              <w:bottom w:val="single" w:color="AAAAAA" w:sz="4"/>
              <w:right w:val="single" w:color="AAAAAA" w:sz="4"/>
            </w:tcBorders>
            <w:shd w:fill="1E8449"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Observatorio (CIOdD-UCR) aporta</w:t>
            </w:r>
          </w:p>
        </w:tc>
      </w:tr>
      <w:tr>
        <w:tc>
          <w:tcPr>
            <w:tcW w:type="dxa" w:w="4680"/>
            <w:tcBorders>
              <w:top w:val="single" w:color="AAAAAA" w:sz="4"/>
              <w:left w:val="single" w:color="AAAAAA" w:sz="4"/>
              <w:bottom w:val="single" w:color="AAAAAA" w:sz="4"/>
              <w:right w:val="single" w:color="AAAAAA" w:sz="4"/>
            </w:tcBorders>
            <w:shd w:fill="FEF9E7" w:val="clear"/>
            <w:tcMar>
              <w:top w:type="dxa" w:w="80"/>
              <w:left w:type="dxa" w:w="150"/>
              <w:bottom w:type="dxa" w:w="80"/>
              <w:right w:type="dxa" w:w="150"/>
            </w:tcMar>
            <w:vAlign w:val="top"/>
          </w:tcPr>
          <w:p>
            <w:pPr>
              <w:pStyle w:val="ListParagraph"/>
              <w:numPr>
                <w:ilvl w:val="0"/>
                <w:numId w:val="2"/>
              </w:numPr>
              <w:spacing w:after="40" w:before="40"/>
            </w:pPr>
            <w:r>
              <w:rPr>
                <w:rFonts w:ascii="Arial" w:cs="Arial" w:eastAsia="Arial" w:hAnsi="Arial"/>
                <w:sz w:val="20"/>
                <w:szCs w:val="20"/>
              </w:rPr>
              <w:t xml:space="preserve">Financiamiento de licencias de arranque (~$3,000/año)</w:t>
            </w:r>
          </w:p>
          <w:p>
            <w:pPr>
              <w:pStyle w:val="ListParagraph"/>
              <w:numPr>
                <w:ilvl w:val="0"/>
                <w:numId w:val="2"/>
              </w:numPr>
              <w:spacing w:after="40" w:before="40"/>
            </w:pPr>
            <w:r>
              <w:rPr>
                <w:rFonts w:ascii="Arial" w:cs="Arial" w:eastAsia="Arial" w:hAnsi="Arial"/>
                <w:sz w:val="20"/>
                <w:szCs w:val="20"/>
              </w:rPr>
              <w:t xml:space="preserve">Acceso a emprendedores para validación iterativa del Toolkit 1</w:t>
            </w:r>
          </w:p>
          <w:p>
            <w:pPr>
              <w:pStyle w:val="ListParagraph"/>
              <w:numPr>
                <w:ilvl w:val="0"/>
                <w:numId w:val="2"/>
              </w:numPr>
              <w:spacing w:after="40" w:before="40"/>
            </w:pPr>
            <w:r>
              <w:rPr>
                <w:rFonts w:ascii="Arial" w:cs="Arial" w:eastAsia="Arial" w:hAnsi="Arial"/>
                <w:sz w:val="20"/>
                <w:szCs w:val="20"/>
              </w:rPr>
              <w:t xml:space="preserve">Infraestructura física del laboratorio presencial</w:t>
            </w:r>
          </w:p>
          <w:p>
            <w:pPr>
              <w:pStyle w:val="ListParagraph"/>
              <w:numPr>
                <w:ilvl w:val="0"/>
                <w:numId w:val="2"/>
              </w:numPr>
              <w:spacing w:after="40" w:before="40"/>
            </w:pPr>
            <w:r>
              <w:rPr>
                <w:rFonts w:ascii="Arial" w:cs="Arial" w:eastAsia="Arial" w:hAnsi="Arial"/>
                <w:sz w:val="20"/>
                <w:szCs w:val="20"/>
              </w:rPr>
              <w:t xml:space="preserve">Validación técnica de la propuesta de kit básico</w:t>
            </w:r>
          </w:p>
        </w:tc>
        <w:tc>
          <w:tcPr>
            <w:tcW w:type="dxa" w:w="4680"/>
            <w:tcBorders>
              <w:top w:val="single" w:color="AAAAAA" w:sz="4"/>
              <w:left w:val="single" w:color="AAAAAA" w:sz="4"/>
              <w:bottom w:val="single" w:color="AAAAAA" w:sz="4"/>
              <w:right w:val="single" w:color="AAAAAA" w:sz="4"/>
            </w:tcBorders>
            <w:shd w:fill="EAF4EA" w:val="clear"/>
            <w:tcMar>
              <w:top w:type="dxa" w:w="80"/>
              <w:left w:type="dxa" w:w="150"/>
              <w:bottom w:type="dxa" w:w="80"/>
              <w:right w:type="dxa" w:w="150"/>
            </w:tcMar>
            <w:vAlign w:val="top"/>
          </w:tcPr>
          <w:p>
            <w:pPr>
              <w:pStyle w:val="ListParagraph"/>
              <w:numPr>
                <w:ilvl w:val="0"/>
                <w:numId w:val="2"/>
              </w:numPr>
              <w:spacing w:after="40" w:before="40"/>
            </w:pPr>
            <w:r>
              <w:rPr>
                <w:rFonts w:ascii="Arial" w:cs="Arial" w:eastAsia="Arial" w:hAnsi="Arial"/>
                <w:sz w:val="20"/>
                <w:szCs w:val="20"/>
              </w:rPr>
              <w:t xml:space="preserve">Diseño y producción del Toolkit 1 (4 semanas)</w:t>
            </w:r>
          </w:p>
          <w:p>
            <w:pPr>
              <w:pStyle w:val="ListParagraph"/>
              <w:numPr>
                <w:ilvl w:val="0"/>
                <w:numId w:val="2"/>
              </w:numPr>
              <w:spacing w:after="40" w:before="40"/>
            </w:pPr>
            <w:r>
              <w:rPr>
                <w:rFonts w:ascii="Arial" w:cs="Arial" w:eastAsia="Arial" w:hAnsi="Arial"/>
                <w:sz w:val="20"/>
                <w:szCs w:val="20"/>
              </w:rPr>
              <w:t xml:space="preserve">Rigor metodológico y aval académico UCR</w:t>
            </w:r>
          </w:p>
          <w:p>
            <w:pPr>
              <w:pStyle w:val="ListParagraph"/>
              <w:numPr>
                <w:ilvl w:val="0"/>
                <w:numId w:val="2"/>
              </w:numPr>
              <w:spacing w:after="40" w:before="40"/>
            </w:pPr>
            <w:r>
              <w:rPr>
                <w:rFonts w:ascii="Arial" w:cs="Arial" w:eastAsia="Arial" w:hAnsi="Arial"/>
                <w:sz w:val="20"/>
                <w:szCs w:val="20"/>
              </w:rPr>
              <w:t xml:space="preserve">Mejoras al sitio web y normalización terminológica</w:t>
            </w:r>
          </w:p>
          <w:p>
            <w:pPr>
              <w:pStyle w:val="ListParagraph"/>
              <w:numPr>
                <w:ilvl w:val="0"/>
                <w:numId w:val="2"/>
              </w:numPr>
              <w:spacing w:after="40" w:before="40"/>
            </w:pPr>
            <w:r>
              <w:rPr>
                <w:rFonts w:ascii="Arial" w:cs="Arial" w:eastAsia="Arial" w:hAnsi="Arial"/>
                <w:sz w:val="20"/>
                <w:szCs w:val="20"/>
              </w:rPr>
              <w:t xml:space="preserve">Protocolo del laboratorio presencial</w:t>
            </w:r>
          </w:p>
          <w:p>
            <w:pPr>
              <w:pStyle w:val="ListParagraph"/>
              <w:numPr>
                <w:ilvl w:val="0"/>
                <w:numId w:val="2"/>
              </w:numPr>
              <w:spacing w:after="40" w:before="40"/>
            </w:pPr>
            <w:r>
              <w:rPr>
                <w:rFonts w:ascii="Arial" w:cs="Arial" w:eastAsia="Arial" w:hAnsi="Arial"/>
                <w:sz w:val="20"/>
                <w:szCs w:val="20"/>
              </w:rPr>
              <w:t xml:space="preserve">Evaluación de impacto del programa</w:t>
            </w:r>
          </w:p>
        </w:tc>
      </w:tr>
    </w:tbl>
    <w:p>
      <w:pPr>
        <w:spacing w:after="0" w:before="80"/>
      </w:pPr>
    </w:p>
    <w:p>
      <w:pPr>
        <w:spacing w:after="80" w:before="80"/>
      </w:pPr>
      <w:r>
        <w:rPr>
          <w:rFonts w:ascii="Arial" w:cs="Arial" w:eastAsia="Arial" w:hAnsi="Arial"/>
          <w:color w:val="424949"/>
          <w:sz w:val="20"/>
          <w:szCs w:val="20"/>
        </w:rPr>
        <w:t xml:space="preserve">Se recomienda formalizar esta colaboración mediante un adendum al convenio existente entre DIPROVID y Auge (si existe) o mediante una carta de entendimiento que especifique: alcance del Toolkit 1, titularidad de los assets, mecanismo de renovación de licencias y condiciones del laboratorio.</w:t>
      </w:r>
    </w:p>
    <w:p>
      <w:pPr>
        <w:spacing w:after="0" w:before="120"/>
      </w:pPr>
    </w:p>
    <w:p>
      <w:pPr>
        <w:pBdr>
          <w:bottom w:val="single" w:color="003366" w:sz="6" w:space="1"/>
        </w:pBdr>
        <w:spacing w:after="120" w:before="120"/>
      </w:pPr>
    </w:p>
    <w:p>
      <w:pPr>
        <w:pStyle w:val="Heading1"/>
        <w:spacing w:after="160" w:before="320"/>
      </w:pPr>
      <w:r>
        <w:rPr>
          <w:rFonts w:ascii="Arial" w:cs="Arial" w:eastAsia="Arial" w:hAnsi="Arial"/>
          <w:b/>
          <w:bCs/>
          <w:color w:val="003366"/>
          <w:sz w:val="28"/>
          <w:szCs w:val="28"/>
        </w:rPr>
        <w:t xml:space="preserve">5. Próximos Pasos y Responsables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2800"/>
        <w:gridCol w:w="2160"/>
      </w:tblGrid>
      <w:tr>
        <w:tc>
          <w:tcPr>
            <w:tcW w:type="dxa" w:w="1200"/>
            <w:tcBorders>
              <w:top w:val="single" w:color="AAAAAA" w:sz="4"/>
              <w:left w:val="single" w:color="AAAAAA" w:sz="4"/>
              <w:bottom w:val="single" w:color="AAAAAA" w:sz="4"/>
              <w:right w:val="single" w:color="AAAAAA" w:sz="4"/>
            </w:tcBorders>
            <w:shd w:fill="1A5276"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w:t>
            </w:r>
          </w:p>
        </w:tc>
        <w:tc>
          <w:tcPr>
            <w:tcW w:type="dxa" w:w="3200"/>
            <w:tcBorders>
              <w:top w:val="single" w:color="AAAAAA" w:sz="4"/>
              <w:left w:val="single" w:color="AAAAAA" w:sz="4"/>
              <w:bottom w:val="single" w:color="AAAAAA" w:sz="4"/>
              <w:right w:val="single" w:color="AAAAAA" w:sz="4"/>
            </w:tcBorders>
            <w:shd w:fill="1A5276"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Acción</w:t>
            </w:r>
          </w:p>
        </w:tc>
        <w:tc>
          <w:tcPr>
            <w:tcW w:type="dxa" w:w="2800"/>
            <w:tcBorders>
              <w:top w:val="single" w:color="AAAAAA" w:sz="4"/>
              <w:left w:val="single" w:color="AAAAAA" w:sz="4"/>
              <w:bottom w:val="single" w:color="AAAAAA" w:sz="4"/>
              <w:right w:val="single" w:color="AAAAAA" w:sz="4"/>
            </w:tcBorders>
            <w:shd w:fill="1A5276"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Responsable</w:t>
            </w:r>
          </w:p>
        </w:tc>
        <w:tc>
          <w:tcPr>
            <w:tcW w:type="dxa" w:w="2160"/>
            <w:tcBorders>
              <w:top w:val="single" w:color="AAAAAA" w:sz="4"/>
              <w:left w:val="single" w:color="AAAAAA" w:sz="4"/>
              <w:bottom w:val="single" w:color="AAAAAA" w:sz="4"/>
              <w:right w:val="single" w:color="AAAAAA" w:sz="4"/>
            </w:tcBorders>
            <w:shd w:fill="1A5276"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Plazo sugerido</w:t>
            </w:r>
          </w:p>
        </w:tc>
      </w:tr>
      <w:tr>
        <w:tc>
          <w:tcPr>
            <w:tcW w:type="dxa" w:w="1200"/>
            <w:tcBorders>
              <w:top w:val="single" w:color="AAAAAA" w:sz="4"/>
              <w:left w:val="single" w:color="AAAAAA" w:sz="4"/>
              <w:bottom w:val="single" w:color="AAAAAA" w:sz="4"/>
              <w:right w:val="single" w:color="AAAAAA" w:sz="4"/>
            </w:tcBorders>
            <w:shd w:fill="E8F4FD" w:val="clear"/>
            <w:tcMar>
              <w:top w:type="dxa" w:w="80"/>
              <w:left w:type="dxa" w:w="150"/>
              <w:bottom w:type="dxa" w:w="80"/>
              <w:right w:type="dxa" w:w="150"/>
            </w:tcMar>
            <w:vAlign w:val="top"/>
          </w:tcPr>
          <w:p>
            <w:pPr>
              <w:jc w:val="center"/>
            </w:pPr>
            <w:r>
              <w:rPr>
                <w:rFonts w:ascii="Arial" w:cs="Arial" w:eastAsia="Arial" w:hAnsi="Arial"/>
                <w:b w:val="false"/>
                <w:bCs w:val="false"/>
                <w:color w:val="000000"/>
                <w:sz w:val="18"/>
                <w:szCs w:val="18"/>
              </w:rPr>
              <w:t xml:space="preserve">1</w:t>
            </w:r>
          </w:p>
        </w:tc>
        <w:tc>
          <w:tcPr>
            <w:tcW w:type="dxa" w:w="32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top"/>
          </w:tcPr>
          <w:p>
            <w:pPr>
              <w:jc w:val="left"/>
            </w:pPr>
            <w:r>
              <w:rPr>
                <w:rFonts w:ascii="Arial" w:cs="Arial" w:eastAsia="Arial" w:hAnsi="Arial"/>
                <w:b w:val="false"/>
                <w:bCs w:val="false"/>
                <w:color w:val="000000"/>
                <w:sz w:val="18"/>
                <w:szCs w:val="18"/>
              </w:rPr>
              <w:t xml:space="preserve">Cuantificar costo exacto de licencias mínimas para el piloto (pillar ChatGPT Team + Make/n8n + Gemini Workspace)</w:t>
            </w:r>
          </w:p>
        </w:tc>
        <w:tc>
          <w:tcPr>
            <w:tcW w:type="dxa" w:w="28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top"/>
          </w:tcPr>
          <w:p>
            <w:pPr>
              <w:jc w:val="left"/>
            </w:pPr>
            <w:r>
              <w:rPr>
                <w:rFonts w:ascii="Arial" w:cs="Arial" w:eastAsia="Arial" w:hAnsi="Arial"/>
                <w:b w:val="false"/>
                <w:bCs w:val="false"/>
                <w:color w:val="000000"/>
                <w:sz w:val="18"/>
                <w:szCs w:val="18"/>
              </w:rPr>
              <w:t xml:space="preserve">Observatorio / Agustín</w:t>
            </w:r>
          </w:p>
        </w:tc>
        <w:tc>
          <w:tcPr>
            <w:tcW w:type="dxa" w:w="21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top"/>
          </w:tcPr>
          <w:p>
            <w:pPr>
              <w:jc w:val="left"/>
            </w:pPr>
            <w:r>
              <w:rPr>
                <w:rFonts w:ascii="Arial" w:cs="Arial" w:eastAsia="Arial" w:hAnsi="Arial"/>
                <w:b w:val="false"/>
                <w:bCs w:val="false"/>
                <w:color w:val="000000"/>
                <w:sz w:val="18"/>
                <w:szCs w:val="18"/>
              </w:rPr>
              <w:t xml:space="preserve">15 jun 2025</w:t>
            </w:r>
          </w:p>
        </w:tc>
      </w:tr>
      <w:tr>
        <w:tc>
          <w:tcPr>
            <w:tcW w:type="dxa" w:w="1200"/>
            <w:tcBorders>
              <w:top w:val="single" w:color="AAAAAA" w:sz="4"/>
              <w:left w:val="single" w:color="AAAAAA" w:sz="4"/>
              <w:bottom w:val="single" w:color="AAAAAA" w:sz="4"/>
              <w:right w:val="single" w:color="AAAAAA" w:sz="4"/>
            </w:tcBorders>
            <w:shd w:fill="E8F4FD" w:val="clear"/>
            <w:tcMar>
              <w:top w:type="dxa" w:w="80"/>
              <w:left w:type="dxa" w:w="150"/>
              <w:bottom w:type="dxa" w:w="80"/>
              <w:right w:type="dxa" w:w="150"/>
            </w:tcMar>
            <w:vAlign w:val="top"/>
          </w:tcPr>
          <w:p>
            <w:pPr>
              <w:jc w:val="center"/>
            </w:pPr>
            <w:r>
              <w:rPr>
                <w:rFonts w:ascii="Arial" w:cs="Arial" w:eastAsia="Arial" w:hAnsi="Arial"/>
                <w:b w:val="false"/>
                <w:bCs w:val="false"/>
                <w:color w:val="000000"/>
                <w:sz w:val="18"/>
                <w:szCs w:val="18"/>
              </w:rPr>
              <w:t xml:space="preserve">2</w:t>
            </w:r>
          </w:p>
        </w:tc>
        <w:tc>
          <w:tcPr>
            <w:tcW w:type="dxa" w:w="32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top"/>
          </w:tcPr>
          <w:p>
            <w:pPr>
              <w:jc w:val="left"/>
            </w:pPr>
            <w:r>
              <w:rPr>
                <w:rFonts w:ascii="Arial" w:cs="Arial" w:eastAsia="Arial" w:hAnsi="Arial"/>
                <w:b w:val="false"/>
                <w:bCs w:val="false"/>
                <w:color w:val="000000"/>
                <w:sz w:val="18"/>
                <w:szCs w:val="18"/>
              </w:rPr>
              <w:t xml:space="preserve">Coordinar sesión de trabajo con Auge (Luis, Cris, Tati) para mapear el ciclo completo del emprendedor e identificar cuellos de botella</w:t>
            </w:r>
          </w:p>
        </w:tc>
        <w:tc>
          <w:tcPr>
            <w:tcW w:type="dxa" w:w="28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top"/>
          </w:tcPr>
          <w:p>
            <w:pPr>
              <w:jc w:val="left"/>
            </w:pPr>
            <w:r>
              <w:rPr>
                <w:rFonts w:ascii="Arial" w:cs="Arial" w:eastAsia="Arial" w:hAnsi="Arial"/>
                <w:b w:val="false"/>
                <w:bCs w:val="false"/>
                <w:color w:val="000000"/>
                <w:sz w:val="18"/>
                <w:szCs w:val="18"/>
              </w:rPr>
              <w:t xml:space="preserve">Observatorio + Auge</w:t>
            </w:r>
          </w:p>
        </w:tc>
        <w:tc>
          <w:tcPr>
            <w:tcW w:type="dxa" w:w="21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top"/>
          </w:tcPr>
          <w:p>
            <w:pPr>
              <w:jc w:val="left"/>
            </w:pPr>
            <w:r>
              <w:rPr>
                <w:rFonts w:ascii="Arial" w:cs="Arial" w:eastAsia="Arial" w:hAnsi="Arial"/>
                <w:b w:val="false"/>
                <w:bCs w:val="false"/>
                <w:color w:val="000000"/>
                <w:sz w:val="18"/>
                <w:szCs w:val="18"/>
              </w:rPr>
              <w:t xml:space="preserve">30 jun 2025</w:t>
            </w:r>
          </w:p>
        </w:tc>
      </w:tr>
      <w:tr>
        <w:tc>
          <w:tcPr>
            <w:tcW w:type="dxa" w:w="1200"/>
            <w:tcBorders>
              <w:top w:val="single" w:color="AAAAAA" w:sz="4"/>
              <w:left w:val="single" w:color="AAAAAA" w:sz="4"/>
              <w:bottom w:val="single" w:color="AAAAAA" w:sz="4"/>
              <w:right w:val="single" w:color="AAAAAA" w:sz="4"/>
            </w:tcBorders>
            <w:shd w:fill="E8F4FD" w:val="clear"/>
            <w:tcMar>
              <w:top w:type="dxa" w:w="80"/>
              <w:left w:type="dxa" w:w="150"/>
              <w:bottom w:type="dxa" w:w="80"/>
              <w:right w:type="dxa" w:w="150"/>
            </w:tcMar>
            <w:vAlign w:val="top"/>
          </w:tcPr>
          <w:p>
            <w:pPr>
              <w:jc w:val="center"/>
            </w:pPr>
            <w:r>
              <w:rPr>
                <w:rFonts w:ascii="Arial" w:cs="Arial" w:eastAsia="Arial" w:hAnsi="Arial"/>
                <w:b w:val="false"/>
                <w:bCs w:val="false"/>
                <w:color w:val="000000"/>
                <w:sz w:val="18"/>
                <w:szCs w:val="18"/>
              </w:rPr>
              <w:t xml:space="preserve">3</w:t>
            </w:r>
          </w:p>
        </w:tc>
        <w:tc>
          <w:tcPr>
            <w:tcW w:type="dxa" w:w="32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top"/>
          </w:tcPr>
          <w:p>
            <w:pPr>
              <w:jc w:val="left"/>
            </w:pPr>
            <w:r>
              <w:rPr>
                <w:rFonts w:ascii="Arial" w:cs="Arial" w:eastAsia="Arial" w:hAnsi="Arial"/>
                <w:b w:val="false"/>
                <w:bCs w:val="false"/>
                <w:color w:val="000000"/>
                <w:sz w:val="18"/>
                <w:szCs w:val="18"/>
              </w:rPr>
              <w:t xml:space="preserve">Preparar propuesta detallada de módulos del Toolkit 1 (4 semanas, contenidos, recursos, entregables) para revisión de Auge</w:t>
            </w:r>
          </w:p>
        </w:tc>
        <w:tc>
          <w:tcPr>
            <w:tcW w:type="dxa" w:w="28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top"/>
          </w:tcPr>
          <w:p>
            <w:pPr>
              <w:jc w:val="left"/>
            </w:pPr>
            <w:r>
              <w:rPr>
                <w:rFonts w:ascii="Arial" w:cs="Arial" w:eastAsia="Arial" w:hAnsi="Arial"/>
                <w:b w:val="false"/>
                <w:bCs w:val="false"/>
                <w:color w:val="000000"/>
                <w:sz w:val="18"/>
                <w:szCs w:val="18"/>
              </w:rPr>
              <w:t xml:space="preserve">Observatorio / Agustín</w:t>
            </w:r>
          </w:p>
        </w:tc>
        <w:tc>
          <w:tcPr>
            <w:tcW w:type="dxa" w:w="21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top"/>
          </w:tcPr>
          <w:p>
            <w:pPr>
              <w:jc w:val="left"/>
            </w:pPr>
            <w:r>
              <w:rPr>
                <w:rFonts w:ascii="Arial" w:cs="Arial" w:eastAsia="Arial" w:hAnsi="Arial"/>
                <w:b w:val="false"/>
                <w:bCs w:val="false"/>
                <w:color w:val="000000"/>
                <w:sz w:val="18"/>
                <w:szCs w:val="18"/>
              </w:rPr>
              <w:t xml:space="preserve">15 jul 2025</w:t>
            </w:r>
          </w:p>
        </w:tc>
      </w:tr>
      <w:tr>
        <w:tc>
          <w:tcPr>
            <w:tcW w:type="dxa" w:w="1200"/>
            <w:tcBorders>
              <w:top w:val="single" w:color="AAAAAA" w:sz="4"/>
              <w:left w:val="single" w:color="AAAAAA" w:sz="4"/>
              <w:bottom w:val="single" w:color="AAAAAA" w:sz="4"/>
              <w:right w:val="single" w:color="AAAAAA" w:sz="4"/>
            </w:tcBorders>
            <w:shd w:fill="EAF4EA" w:val="clear"/>
            <w:tcMar>
              <w:top w:type="dxa" w:w="80"/>
              <w:left w:type="dxa" w:w="150"/>
              <w:bottom w:type="dxa" w:w="80"/>
              <w:right w:type="dxa" w:w="150"/>
            </w:tcMar>
            <w:vAlign w:val="top"/>
          </w:tcPr>
          <w:p>
            <w:pPr>
              <w:jc w:val="center"/>
            </w:pPr>
            <w:r>
              <w:rPr>
                <w:rFonts w:ascii="Arial" w:cs="Arial" w:eastAsia="Arial" w:hAnsi="Arial"/>
                <w:b w:val="false"/>
                <w:bCs w:val="false"/>
                <w:color w:val="000000"/>
                <w:sz w:val="18"/>
                <w:szCs w:val="18"/>
              </w:rPr>
              <w:t xml:space="preserve">4</w:t>
            </w:r>
          </w:p>
        </w:tc>
        <w:tc>
          <w:tcPr>
            <w:tcW w:type="dxa" w:w="32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top"/>
          </w:tcPr>
          <w:p>
            <w:pPr>
              <w:jc w:val="left"/>
            </w:pPr>
            <w:r>
              <w:rPr>
                <w:rFonts w:ascii="Arial" w:cs="Arial" w:eastAsia="Arial" w:hAnsi="Arial"/>
                <w:b w:val="false"/>
                <w:bCs w:val="false"/>
                <w:color w:val="000000"/>
                <w:sz w:val="18"/>
                <w:szCs w:val="18"/>
              </w:rPr>
              <w:t xml:space="preserve">Elaborar propuesta formal del kit básico (versión Auge) con definición de qué herramientas cubre y qué no</w:t>
            </w:r>
          </w:p>
        </w:tc>
        <w:tc>
          <w:tcPr>
            <w:tcW w:type="dxa" w:w="28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top"/>
          </w:tcPr>
          <w:p>
            <w:pPr>
              <w:jc w:val="left"/>
            </w:pPr>
            <w:r>
              <w:rPr>
                <w:rFonts w:ascii="Arial" w:cs="Arial" w:eastAsia="Arial" w:hAnsi="Arial"/>
                <w:b w:val="false"/>
                <w:bCs w:val="false"/>
                <w:color w:val="000000"/>
                <w:sz w:val="18"/>
                <w:szCs w:val="18"/>
              </w:rPr>
              <w:t xml:space="preserve">Auge (Vicky)</w:t>
            </w:r>
          </w:p>
        </w:tc>
        <w:tc>
          <w:tcPr>
            <w:tcW w:type="dxa" w:w="21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top"/>
          </w:tcPr>
          <w:p>
            <w:pPr>
              <w:jc w:val="left"/>
            </w:pPr>
            <w:r>
              <w:rPr>
                <w:rFonts w:ascii="Arial" w:cs="Arial" w:eastAsia="Arial" w:hAnsi="Arial"/>
                <w:b w:val="false"/>
                <w:bCs w:val="false"/>
                <w:color w:val="000000"/>
                <w:sz w:val="18"/>
                <w:szCs w:val="18"/>
              </w:rPr>
              <w:t xml:space="preserve">30 jun 2025</w:t>
            </w:r>
          </w:p>
        </w:tc>
      </w:tr>
      <w:tr>
        <w:tc>
          <w:tcPr>
            <w:tcW w:type="dxa" w:w="1200"/>
            <w:tcBorders>
              <w:top w:val="single" w:color="AAAAAA" w:sz="4"/>
              <w:left w:val="single" w:color="AAAAAA" w:sz="4"/>
              <w:bottom w:val="single" w:color="AAAAAA" w:sz="4"/>
              <w:right w:val="single" w:color="AAAAAA" w:sz="4"/>
            </w:tcBorders>
            <w:shd w:fill="EAF4EA" w:val="clear"/>
            <w:tcMar>
              <w:top w:type="dxa" w:w="80"/>
              <w:left w:type="dxa" w:w="150"/>
              <w:bottom w:type="dxa" w:w="80"/>
              <w:right w:type="dxa" w:w="150"/>
            </w:tcMar>
            <w:vAlign w:val="top"/>
          </w:tcPr>
          <w:p>
            <w:pPr>
              <w:jc w:val="center"/>
            </w:pPr>
            <w:r>
              <w:rPr>
                <w:rFonts w:ascii="Arial" w:cs="Arial" w:eastAsia="Arial" w:hAnsi="Arial"/>
                <w:b w:val="false"/>
                <w:bCs w:val="false"/>
                <w:color w:val="000000"/>
                <w:sz w:val="18"/>
                <w:szCs w:val="18"/>
              </w:rPr>
              <w:t xml:space="preserve">5</w:t>
            </w:r>
          </w:p>
        </w:tc>
        <w:tc>
          <w:tcPr>
            <w:tcW w:type="dxa" w:w="32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top"/>
          </w:tcPr>
          <w:p>
            <w:pPr>
              <w:jc w:val="left"/>
            </w:pPr>
            <w:r>
              <w:rPr>
                <w:rFonts w:ascii="Arial" w:cs="Arial" w:eastAsia="Arial" w:hAnsi="Arial"/>
                <w:b w:val="false"/>
                <w:bCs w:val="false"/>
                <w:color w:val="000000"/>
                <w:sz w:val="18"/>
                <w:szCs w:val="18"/>
              </w:rPr>
              <w:t xml:space="preserve">Evaluar internamente el modelo de financiamiento de licencias de arranque (~$3,000) y definir mecanismo (convenio, patrocinio, etc.)</w:t>
            </w:r>
          </w:p>
        </w:tc>
        <w:tc>
          <w:tcPr>
            <w:tcW w:type="dxa" w:w="28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top"/>
          </w:tcPr>
          <w:p>
            <w:pPr>
              <w:jc w:val="left"/>
            </w:pPr>
            <w:r>
              <w:rPr>
                <w:rFonts w:ascii="Arial" w:cs="Arial" w:eastAsia="Arial" w:hAnsi="Arial"/>
                <w:b w:val="false"/>
                <w:bCs w:val="false"/>
                <w:color w:val="000000"/>
                <w:sz w:val="18"/>
                <w:szCs w:val="18"/>
              </w:rPr>
              <w:t xml:space="preserve">Auge (Vicky/dirección)</w:t>
            </w:r>
          </w:p>
        </w:tc>
        <w:tc>
          <w:tcPr>
            <w:tcW w:type="dxa" w:w="21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top"/>
          </w:tcPr>
          <w:p>
            <w:pPr>
              <w:jc w:val="left"/>
            </w:pPr>
            <w:r>
              <w:rPr>
                <w:rFonts w:ascii="Arial" w:cs="Arial" w:eastAsia="Arial" w:hAnsi="Arial"/>
                <w:b w:val="false"/>
                <w:bCs w:val="false"/>
                <w:color w:val="000000"/>
                <w:sz w:val="18"/>
                <w:szCs w:val="18"/>
              </w:rPr>
              <w:t xml:space="preserve">30 jun 2025</w:t>
            </w:r>
          </w:p>
        </w:tc>
      </w:tr>
      <w:tr>
        <w:tc>
          <w:tcPr>
            <w:tcW w:type="dxa" w:w="1200"/>
            <w:tcBorders>
              <w:top w:val="single" w:color="AAAAAA" w:sz="4"/>
              <w:left w:val="single" w:color="AAAAAA" w:sz="4"/>
              <w:bottom w:val="single" w:color="AAAAAA" w:sz="4"/>
              <w:right w:val="single" w:color="AAAAAA" w:sz="4"/>
            </w:tcBorders>
            <w:shd w:fill="EAF4EA" w:val="clear"/>
            <w:tcMar>
              <w:top w:type="dxa" w:w="80"/>
              <w:left w:type="dxa" w:w="150"/>
              <w:bottom w:type="dxa" w:w="80"/>
              <w:right w:type="dxa" w:w="150"/>
            </w:tcMar>
            <w:vAlign w:val="top"/>
          </w:tcPr>
          <w:p>
            <w:pPr>
              <w:jc w:val="center"/>
            </w:pPr>
            <w:r>
              <w:rPr>
                <w:rFonts w:ascii="Arial" w:cs="Arial" w:eastAsia="Arial" w:hAnsi="Arial"/>
                <w:b w:val="false"/>
                <w:bCs w:val="false"/>
                <w:color w:val="000000"/>
                <w:sz w:val="18"/>
                <w:szCs w:val="18"/>
              </w:rPr>
              <w:t xml:space="preserve">6</w:t>
            </w:r>
          </w:p>
        </w:tc>
        <w:tc>
          <w:tcPr>
            <w:tcW w:type="dxa" w:w="32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top"/>
          </w:tcPr>
          <w:p>
            <w:pPr>
              <w:jc w:val="left"/>
            </w:pPr>
            <w:r>
              <w:rPr>
                <w:rFonts w:ascii="Arial" w:cs="Arial" w:eastAsia="Arial" w:hAnsi="Arial"/>
                <w:b w:val="false"/>
                <w:bCs w:val="false"/>
                <w:color w:val="000000"/>
                <w:sz w:val="18"/>
                <w:szCs w:val="18"/>
              </w:rPr>
              <w:t xml:space="preserve">Revisar posibilidad de habilitar laboratorio presencial con 4–5 licencias compartidas; diseñar protocolo de limpieza de sesiones entre usuarios</w:t>
            </w:r>
          </w:p>
        </w:tc>
        <w:tc>
          <w:tcPr>
            <w:tcW w:type="dxa" w:w="28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top"/>
          </w:tcPr>
          <w:p>
            <w:pPr>
              <w:jc w:val="left"/>
            </w:pPr>
            <w:r>
              <w:rPr>
                <w:rFonts w:ascii="Arial" w:cs="Arial" w:eastAsia="Arial" w:hAnsi="Arial"/>
                <w:b w:val="false"/>
                <w:bCs w:val="false"/>
                <w:color w:val="000000"/>
                <w:sz w:val="18"/>
                <w:szCs w:val="18"/>
              </w:rPr>
              <w:t xml:space="preserve">Auge + Observatorio</w:t>
            </w:r>
          </w:p>
        </w:tc>
        <w:tc>
          <w:tcPr>
            <w:tcW w:type="dxa" w:w="21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top"/>
          </w:tcPr>
          <w:p>
            <w:pPr>
              <w:jc w:val="left"/>
            </w:pPr>
            <w:r>
              <w:rPr>
                <w:rFonts w:ascii="Arial" w:cs="Arial" w:eastAsia="Arial" w:hAnsi="Arial"/>
                <w:b w:val="false"/>
                <w:bCs w:val="false"/>
                <w:color w:val="000000"/>
                <w:sz w:val="18"/>
                <w:szCs w:val="18"/>
              </w:rPr>
              <w:t xml:space="preserve">31 jul 2025</w:t>
            </w:r>
          </w:p>
        </w:tc>
      </w:tr>
      <w:tr>
        <w:tc>
          <w:tcPr>
            <w:tcW w:type="dxa" w:w="1200"/>
            <w:tcBorders>
              <w:top w:val="single" w:color="AAAAAA" w:sz="4"/>
              <w:left w:val="single" w:color="AAAAAA" w:sz="4"/>
              <w:bottom w:val="single" w:color="AAAAAA" w:sz="4"/>
              <w:right w:val="single" w:color="AAAAAA" w:sz="4"/>
            </w:tcBorders>
            <w:shd w:fill="FEF9E7" w:val="clear"/>
            <w:tcMar>
              <w:top w:type="dxa" w:w="80"/>
              <w:left w:type="dxa" w:w="150"/>
              <w:bottom w:type="dxa" w:w="80"/>
              <w:right w:type="dxa" w:w="150"/>
            </w:tcMar>
            <w:vAlign w:val="top"/>
          </w:tcPr>
          <w:p>
            <w:pPr>
              <w:jc w:val="center"/>
            </w:pPr>
            <w:r>
              <w:rPr>
                <w:rFonts w:ascii="Arial" w:cs="Arial" w:eastAsia="Arial" w:hAnsi="Arial"/>
                <w:b w:val="false"/>
                <w:bCs w:val="false"/>
                <w:color w:val="000000"/>
                <w:sz w:val="18"/>
                <w:szCs w:val="18"/>
              </w:rPr>
              <w:t xml:space="preserve">7</w:t>
            </w:r>
          </w:p>
        </w:tc>
        <w:tc>
          <w:tcPr>
            <w:tcW w:type="dxa" w:w="32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top"/>
          </w:tcPr>
          <w:p>
            <w:pPr>
              <w:jc w:val="left"/>
            </w:pPr>
            <w:r>
              <w:rPr>
                <w:rFonts w:ascii="Arial" w:cs="Arial" w:eastAsia="Arial" w:hAnsi="Arial"/>
                <w:b w:val="false"/>
                <w:bCs w:val="false"/>
                <w:color w:val="000000"/>
                <w:sz w:val="18"/>
                <w:szCs w:val="18"/>
              </w:rPr>
              <w:t xml:space="preserve">Armonizar terminología en el sitio actual (reemplazar usos mixtos de 'modelo', 'programa', 'modelo metodológico') y unificar bajo nomenclatura acordada</w:t>
            </w:r>
          </w:p>
        </w:tc>
        <w:tc>
          <w:tcPr>
            <w:tcW w:type="dxa" w:w="28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top"/>
          </w:tcPr>
          <w:p>
            <w:pPr>
              <w:jc w:val="left"/>
            </w:pPr>
            <w:r>
              <w:rPr>
                <w:rFonts w:ascii="Arial" w:cs="Arial" w:eastAsia="Arial" w:hAnsi="Arial"/>
                <w:b w:val="false"/>
                <w:bCs w:val="false"/>
                <w:color w:val="000000"/>
                <w:sz w:val="18"/>
                <w:szCs w:val="18"/>
              </w:rPr>
              <w:t xml:space="preserve">Observatorio / Agustín</w:t>
            </w:r>
          </w:p>
        </w:tc>
        <w:tc>
          <w:tcPr>
            <w:tcW w:type="dxa" w:w="21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top"/>
          </w:tcPr>
          <w:p>
            <w:pPr>
              <w:jc w:val="left"/>
            </w:pPr>
            <w:r>
              <w:rPr>
                <w:rFonts w:ascii="Arial" w:cs="Arial" w:eastAsia="Arial" w:hAnsi="Arial"/>
                <w:b w:val="false"/>
                <w:bCs w:val="false"/>
                <w:color w:val="000000"/>
                <w:sz w:val="18"/>
                <w:szCs w:val="18"/>
              </w:rPr>
              <w:t xml:space="preserve">31 jul 2025</w:t>
            </w:r>
          </w:p>
        </w:tc>
      </w:tr>
      <w:tr>
        <w:tc>
          <w:tcPr>
            <w:tcW w:type="dxa" w:w="1200"/>
            <w:tcBorders>
              <w:top w:val="single" w:color="AAAAAA" w:sz="4"/>
              <w:left w:val="single" w:color="AAAAAA" w:sz="4"/>
              <w:bottom w:val="single" w:color="AAAAAA" w:sz="4"/>
              <w:right w:val="single" w:color="AAAAAA" w:sz="4"/>
            </w:tcBorders>
            <w:shd w:fill="FEF9E7" w:val="clear"/>
            <w:tcMar>
              <w:top w:type="dxa" w:w="80"/>
              <w:left w:type="dxa" w:w="150"/>
              <w:bottom w:type="dxa" w:w="80"/>
              <w:right w:type="dxa" w:w="150"/>
            </w:tcMar>
            <w:vAlign w:val="top"/>
          </w:tcPr>
          <w:p>
            <w:pPr>
              <w:jc w:val="center"/>
            </w:pPr>
            <w:r>
              <w:rPr>
                <w:rFonts w:ascii="Arial" w:cs="Arial" w:eastAsia="Arial" w:hAnsi="Arial"/>
                <w:b w:val="false"/>
                <w:bCs w:val="false"/>
                <w:color w:val="000000"/>
                <w:sz w:val="18"/>
                <w:szCs w:val="18"/>
              </w:rPr>
              <w:t xml:space="preserve">8</w:t>
            </w:r>
          </w:p>
        </w:tc>
        <w:tc>
          <w:tcPr>
            <w:tcW w:type="dxa" w:w="32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top"/>
          </w:tcPr>
          <w:p>
            <w:pPr>
              <w:jc w:val="left"/>
            </w:pPr>
            <w:r>
              <w:rPr>
                <w:rFonts w:ascii="Arial" w:cs="Arial" w:eastAsia="Arial" w:hAnsi="Arial"/>
                <w:b w:val="false"/>
                <w:bCs w:val="false"/>
                <w:color w:val="000000"/>
                <w:sz w:val="18"/>
                <w:szCs w:val="18"/>
              </w:rPr>
              <w:t xml:space="preserve">Incorporar texto introductorio por módulo y lista de chequeo con componentes y herramientas vistas</w:t>
            </w:r>
          </w:p>
        </w:tc>
        <w:tc>
          <w:tcPr>
            <w:tcW w:type="dxa" w:w="28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top"/>
          </w:tcPr>
          <w:p>
            <w:pPr>
              <w:jc w:val="left"/>
            </w:pPr>
            <w:r>
              <w:rPr>
                <w:rFonts w:ascii="Arial" w:cs="Arial" w:eastAsia="Arial" w:hAnsi="Arial"/>
                <w:b w:val="false"/>
                <w:bCs w:val="false"/>
                <w:color w:val="000000"/>
                <w:sz w:val="18"/>
                <w:szCs w:val="18"/>
              </w:rPr>
              <w:t xml:space="preserve">Observatorio / Agustín</w:t>
            </w:r>
          </w:p>
        </w:tc>
        <w:tc>
          <w:tcPr>
            <w:tcW w:type="dxa" w:w="21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top"/>
          </w:tcPr>
          <w:p>
            <w:pPr>
              <w:jc w:val="left"/>
            </w:pPr>
            <w:r>
              <w:rPr>
                <w:rFonts w:ascii="Arial" w:cs="Arial" w:eastAsia="Arial" w:hAnsi="Arial"/>
                <w:b w:val="false"/>
                <w:bCs w:val="false"/>
                <w:color w:val="000000"/>
                <w:sz w:val="18"/>
                <w:szCs w:val="18"/>
              </w:rPr>
              <w:t xml:space="preserve">31 ago 2025</w:t>
            </w:r>
          </w:p>
        </w:tc>
      </w:tr>
      <w:tr>
        <w:tc>
          <w:tcPr>
            <w:tcW w:type="dxa" w:w="1200"/>
            <w:tcBorders>
              <w:top w:val="single" w:color="AAAAAA" w:sz="4"/>
              <w:left w:val="single" w:color="AAAAAA" w:sz="4"/>
              <w:bottom w:val="single" w:color="AAAAAA" w:sz="4"/>
              <w:right w:val="single" w:color="AAAAAA" w:sz="4"/>
            </w:tcBorders>
            <w:shd w:fill="FEF9E7" w:val="clear"/>
            <w:tcMar>
              <w:top w:type="dxa" w:w="80"/>
              <w:left w:type="dxa" w:w="150"/>
              <w:bottom w:type="dxa" w:w="80"/>
              <w:right w:type="dxa" w:w="150"/>
            </w:tcMar>
            <w:vAlign w:val="top"/>
          </w:tcPr>
          <w:p>
            <w:pPr>
              <w:jc w:val="center"/>
            </w:pPr>
            <w:r>
              <w:rPr>
                <w:rFonts w:ascii="Arial" w:cs="Arial" w:eastAsia="Arial" w:hAnsi="Arial"/>
                <w:b w:val="false"/>
                <w:bCs w:val="false"/>
                <w:color w:val="000000"/>
                <w:sz w:val="18"/>
                <w:szCs w:val="18"/>
              </w:rPr>
              <w:t xml:space="preserve">9</w:t>
            </w:r>
          </w:p>
        </w:tc>
        <w:tc>
          <w:tcPr>
            <w:tcW w:type="dxa" w:w="32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top"/>
          </w:tcPr>
          <w:p>
            <w:pPr>
              <w:jc w:val="left"/>
            </w:pPr>
            <w:r>
              <w:rPr>
                <w:rFonts w:ascii="Arial" w:cs="Arial" w:eastAsia="Arial" w:hAnsi="Arial"/>
                <w:b w:val="false"/>
                <w:bCs w:val="false"/>
                <w:color w:val="000000"/>
                <w:sz w:val="18"/>
                <w:szCs w:val="18"/>
              </w:rPr>
              <w:t xml:space="preserve">Migrar GPTs y GEMs a cuentas institucionales (DIPROVID/Auge o Google Workspace UCR) y actualizar todos los vínculos del sitio web</w:t>
            </w:r>
          </w:p>
        </w:tc>
        <w:tc>
          <w:tcPr>
            <w:tcW w:type="dxa" w:w="28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top"/>
          </w:tcPr>
          <w:p>
            <w:pPr>
              <w:jc w:val="left"/>
            </w:pPr>
            <w:r>
              <w:rPr>
                <w:rFonts w:ascii="Arial" w:cs="Arial" w:eastAsia="Arial" w:hAnsi="Arial"/>
                <w:b w:val="false"/>
                <w:bCs w:val="false"/>
                <w:color w:val="000000"/>
                <w:sz w:val="18"/>
                <w:szCs w:val="18"/>
              </w:rPr>
              <w:t xml:space="preserve">Observatorio + DIPROVID</w:t>
            </w:r>
          </w:p>
        </w:tc>
        <w:tc>
          <w:tcPr>
            <w:tcW w:type="dxa" w:w="21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top"/>
          </w:tcPr>
          <w:p>
            <w:pPr>
              <w:jc w:val="left"/>
            </w:pPr>
            <w:r>
              <w:rPr>
                <w:rFonts w:ascii="Arial" w:cs="Arial" w:eastAsia="Arial" w:hAnsi="Arial"/>
                <w:b w:val="false"/>
                <w:bCs w:val="false"/>
                <w:color w:val="000000"/>
                <w:sz w:val="18"/>
                <w:szCs w:val="18"/>
              </w:rPr>
              <w:t xml:space="preserve">Oct 2025</w:t>
            </w:r>
          </w:p>
        </w:tc>
      </w:tr>
      <w:tr>
        <w:tc>
          <w:tcPr>
            <w:tcW w:type="dxa" w:w="1200"/>
            <w:tcBorders>
              <w:top w:val="single" w:color="AAAAAA" w:sz="4"/>
              <w:left w:val="single" w:color="AAAAAA" w:sz="4"/>
              <w:bottom w:val="single" w:color="AAAAAA" w:sz="4"/>
              <w:right w:val="single" w:color="AAAAAA" w:sz="4"/>
            </w:tcBorders>
            <w:shd w:fill="FDEDEC" w:val="clear"/>
            <w:tcMar>
              <w:top w:type="dxa" w:w="80"/>
              <w:left w:type="dxa" w:w="150"/>
              <w:bottom w:type="dxa" w:w="80"/>
              <w:right w:type="dxa" w:w="150"/>
            </w:tcMar>
            <w:vAlign w:val="top"/>
          </w:tcPr>
          <w:p>
            <w:pPr>
              <w:jc w:val="center"/>
            </w:pPr>
            <w:r>
              <w:rPr>
                <w:rFonts w:ascii="Arial" w:cs="Arial" w:eastAsia="Arial" w:hAnsi="Arial"/>
                <w:b w:val="false"/>
                <w:bCs w:val="false"/>
                <w:color w:val="000000"/>
                <w:sz w:val="18"/>
                <w:szCs w:val="18"/>
              </w:rPr>
              <w:t xml:space="preserve">10</w:t>
            </w:r>
          </w:p>
        </w:tc>
        <w:tc>
          <w:tcPr>
            <w:tcW w:type="dxa" w:w="32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top"/>
          </w:tcPr>
          <w:p>
            <w:pPr>
              <w:jc w:val="left"/>
            </w:pPr>
            <w:r>
              <w:rPr>
                <w:rFonts w:ascii="Arial" w:cs="Arial" w:eastAsia="Arial" w:hAnsi="Arial"/>
                <w:b w:val="false"/>
                <w:bCs w:val="false"/>
                <w:color w:val="000000"/>
                <w:sz w:val="18"/>
                <w:szCs w:val="18"/>
              </w:rPr>
              <w:t xml:space="preserve">Diseñar esquema de certificación para Toolkit 2 y modelo de pago/recuperación de costos para etapas avanzadas</w:t>
            </w:r>
          </w:p>
        </w:tc>
        <w:tc>
          <w:tcPr>
            <w:tcW w:type="dxa" w:w="28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top"/>
          </w:tcPr>
          <w:p>
            <w:pPr>
              <w:jc w:val="left"/>
            </w:pPr>
            <w:r>
              <w:rPr>
                <w:rFonts w:ascii="Arial" w:cs="Arial" w:eastAsia="Arial" w:hAnsi="Arial"/>
                <w:b w:val="false"/>
                <w:bCs w:val="false"/>
                <w:color w:val="000000"/>
                <w:sz w:val="18"/>
                <w:szCs w:val="18"/>
              </w:rPr>
              <w:t xml:space="preserve">Observatorio + DIPROVID</w:t>
            </w:r>
          </w:p>
        </w:tc>
        <w:tc>
          <w:tcPr>
            <w:tcW w:type="dxa" w:w="21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top"/>
          </w:tcPr>
          <w:p>
            <w:pPr>
              <w:jc w:val="left"/>
            </w:pPr>
            <w:r>
              <w:rPr>
                <w:rFonts w:ascii="Arial" w:cs="Arial" w:eastAsia="Arial" w:hAnsi="Arial"/>
                <w:b w:val="false"/>
                <w:bCs w:val="false"/>
                <w:color w:val="000000"/>
                <w:sz w:val="18"/>
                <w:szCs w:val="18"/>
              </w:rPr>
              <w:t xml:space="preserve">Nov 2025</w:t>
            </w:r>
          </w:p>
        </w:tc>
      </w:tr>
    </w:tbl>
    <w:p>
      <w:pPr>
        <w:spacing w:after="0" w:before="120"/>
      </w:pPr>
    </w:p>
    <w:p>
      <w:pPr>
        <w:pStyle w:val="Heading1"/>
        <w:spacing w:after="160" w:before="320"/>
      </w:pPr>
      <w:r>
        <w:rPr>
          <w:rFonts w:ascii="Arial" w:cs="Arial" w:eastAsia="Arial" w:hAnsi="Arial"/>
          <w:b/>
          <w:bCs/>
          <w:color w:val="003366"/>
          <w:sz w:val="28"/>
          <w:szCs w:val="28"/>
        </w:rPr>
        <w:t xml:space="preserve">6. Riesgos y Mitigaciones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3360"/>
        <w:gridCol w:w="2000"/>
      </w:tblGrid>
      <w:tr>
        <w:tc>
          <w:tcPr>
            <w:tcW w:type="dxa" w:w="2800"/>
            <w:tcBorders>
              <w:top w:val="single" w:color="AAAAAA" w:sz="4"/>
              <w:left w:val="single" w:color="AAAAAA" w:sz="4"/>
              <w:bottom w:val="single" w:color="AAAAAA" w:sz="4"/>
              <w:right w:val="single" w:color="AAAAAA" w:sz="4"/>
            </w:tcBorders>
            <w:shd w:fill="C0392B"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Riesgo</w:t>
            </w:r>
          </w:p>
        </w:tc>
        <w:tc>
          <w:tcPr>
            <w:tcW w:type="dxa" w:w="1200"/>
            <w:tcBorders>
              <w:top w:val="single" w:color="AAAAAA" w:sz="4"/>
              <w:left w:val="single" w:color="AAAAAA" w:sz="4"/>
              <w:bottom w:val="single" w:color="AAAAAA" w:sz="4"/>
              <w:right w:val="single" w:color="AAAAAA" w:sz="4"/>
            </w:tcBorders>
            <w:shd w:fill="C0392B"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Prob.</w:t>
            </w:r>
          </w:p>
        </w:tc>
        <w:tc>
          <w:tcPr>
            <w:tcW w:type="dxa" w:w="3360"/>
            <w:tcBorders>
              <w:top w:val="single" w:color="AAAAAA" w:sz="4"/>
              <w:left w:val="single" w:color="AAAAAA" w:sz="4"/>
              <w:bottom w:val="single" w:color="AAAAAA" w:sz="4"/>
              <w:right w:val="single" w:color="AAAAAA" w:sz="4"/>
            </w:tcBorders>
            <w:shd w:fill="C0392B"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Mitigación</w:t>
            </w:r>
          </w:p>
        </w:tc>
        <w:tc>
          <w:tcPr>
            <w:tcW w:type="dxa" w:w="2000"/>
            <w:tcBorders>
              <w:top w:val="single" w:color="AAAAAA" w:sz="4"/>
              <w:left w:val="single" w:color="AAAAAA" w:sz="4"/>
              <w:bottom w:val="single" w:color="AAAAAA" w:sz="4"/>
              <w:right w:val="single" w:color="AAAAAA" w:sz="4"/>
            </w:tcBorders>
            <w:shd w:fill="C0392B"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Propietario</w:t>
            </w:r>
          </w:p>
        </w:tc>
      </w:tr>
      <w:tr>
        <w:tc>
          <w:tcPr>
            <w:tcW w:type="dxa" w:w="28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top"/>
          </w:tcPr>
          <w:p>
            <w:pPr>
              <w:jc w:val="left"/>
            </w:pPr>
            <w:r>
              <w:rPr>
                <w:rFonts w:ascii="Arial" w:cs="Arial" w:eastAsia="Arial" w:hAnsi="Arial"/>
                <w:b w:val="false"/>
                <w:bCs w:val="false"/>
                <w:color w:val="000000"/>
                <w:sz w:val="18"/>
                <w:szCs w:val="18"/>
              </w:rPr>
              <w:t xml:space="preserve">No renovación de licencias antes de noviembre</w:t>
            </w:r>
          </w:p>
        </w:tc>
        <w:tc>
          <w:tcPr>
            <w:tcW w:type="dxa" w:w="1200"/>
            <w:tcBorders>
              <w:top w:val="single" w:color="AAAAAA" w:sz="4"/>
              <w:left w:val="single" w:color="AAAAAA" w:sz="4"/>
              <w:bottom w:val="single" w:color="AAAAAA" w:sz="4"/>
              <w:right w:val="single" w:color="AAAAAA" w:sz="4"/>
            </w:tcBorders>
            <w:shd w:fill="FDEDEC" w:val="clear"/>
            <w:tcMar>
              <w:top w:type="dxa" w:w="80"/>
              <w:left w:type="dxa" w:w="150"/>
              <w:bottom w:type="dxa" w:w="80"/>
              <w:right w:type="dxa" w:w="150"/>
            </w:tcMar>
            <w:vAlign w:val="top"/>
          </w:tcPr>
          <w:p>
            <w:pPr>
              <w:jc w:val="center"/>
            </w:pPr>
            <w:r>
              <w:rPr>
                <w:rFonts w:ascii="Arial" w:cs="Arial" w:eastAsia="Arial" w:hAnsi="Arial"/>
                <w:b w:val="false"/>
                <w:bCs w:val="false"/>
                <w:color w:val="000000"/>
                <w:sz w:val="18"/>
                <w:szCs w:val="18"/>
              </w:rPr>
              <w:t xml:space="preserve">Alta</w:t>
            </w:r>
          </w:p>
        </w:tc>
        <w:tc>
          <w:tcPr>
            <w:tcW w:type="dxa" w:w="33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top"/>
          </w:tcPr>
          <w:p>
            <w:pPr>
              <w:jc w:val="left"/>
            </w:pPr>
            <w:r>
              <w:rPr>
                <w:rFonts w:ascii="Arial" w:cs="Arial" w:eastAsia="Arial" w:hAnsi="Arial"/>
                <w:b w:val="false"/>
                <w:bCs w:val="false"/>
                <w:color w:val="000000"/>
                <w:sz w:val="18"/>
                <w:szCs w:val="18"/>
              </w:rPr>
              <w:t xml:space="preserve">Formalizar compromiso de Auge antes de agosto; iniciar proceso de compra institucional en septiembre</w:t>
            </w:r>
          </w:p>
        </w:tc>
        <w:tc>
          <w:tcPr>
            <w:tcW w:type="dxa" w:w="20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top"/>
          </w:tcPr>
          <w:p>
            <w:pPr>
              <w:jc w:val="left"/>
            </w:pPr>
            <w:r>
              <w:rPr>
                <w:rFonts w:ascii="Arial" w:cs="Arial" w:eastAsia="Arial" w:hAnsi="Arial"/>
                <w:b w:val="false"/>
                <w:bCs w:val="false"/>
                <w:color w:val="000000"/>
                <w:sz w:val="18"/>
                <w:szCs w:val="18"/>
              </w:rPr>
              <w:t xml:space="preserve">Auge + Observatorio</w:t>
            </w:r>
          </w:p>
        </w:tc>
      </w:tr>
      <w:tr>
        <w:tc>
          <w:tcPr>
            <w:tcW w:type="dxa" w:w="28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top"/>
          </w:tcPr>
          <w:p>
            <w:pPr>
              <w:jc w:val="left"/>
            </w:pPr>
            <w:r>
              <w:rPr>
                <w:rFonts w:ascii="Arial" w:cs="Arial" w:eastAsia="Arial" w:hAnsi="Arial"/>
                <w:b w:val="false"/>
                <w:bCs w:val="false"/>
                <w:color w:val="000000"/>
                <w:sz w:val="18"/>
                <w:szCs w:val="18"/>
              </w:rPr>
              <w:t xml:space="preserve">Pérdida de GPTs y assets digitales al no migrar</w:t>
            </w:r>
          </w:p>
        </w:tc>
        <w:tc>
          <w:tcPr>
            <w:tcW w:type="dxa" w:w="1200"/>
            <w:tcBorders>
              <w:top w:val="single" w:color="AAAAAA" w:sz="4"/>
              <w:left w:val="single" w:color="AAAAAA" w:sz="4"/>
              <w:bottom w:val="single" w:color="AAAAAA" w:sz="4"/>
              <w:right w:val="single" w:color="AAAAAA" w:sz="4"/>
            </w:tcBorders>
            <w:shd w:fill="FDEDEC" w:val="clear"/>
            <w:tcMar>
              <w:top w:type="dxa" w:w="80"/>
              <w:left w:type="dxa" w:w="150"/>
              <w:bottom w:type="dxa" w:w="80"/>
              <w:right w:type="dxa" w:w="150"/>
            </w:tcMar>
            <w:vAlign w:val="top"/>
          </w:tcPr>
          <w:p>
            <w:pPr>
              <w:jc w:val="center"/>
            </w:pPr>
            <w:r>
              <w:rPr>
                <w:rFonts w:ascii="Arial" w:cs="Arial" w:eastAsia="Arial" w:hAnsi="Arial"/>
                <w:b w:val="false"/>
                <w:bCs w:val="false"/>
                <w:color w:val="000000"/>
                <w:sz w:val="18"/>
                <w:szCs w:val="18"/>
              </w:rPr>
              <w:t xml:space="preserve">Alta</w:t>
            </w:r>
          </w:p>
        </w:tc>
        <w:tc>
          <w:tcPr>
            <w:tcW w:type="dxa" w:w="33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top"/>
          </w:tcPr>
          <w:p>
            <w:pPr>
              <w:jc w:val="left"/>
            </w:pPr>
            <w:r>
              <w:rPr>
                <w:rFonts w:ascii="Arial" w:cs="Arial" w:eastAsia="Arial" w:hAnsi="Arial"/>
                <w:b w:val="false"/>
                <w:bCs w:val="false"/>
                <w:color w:val="000000"/>
                <w:sz w:val="18"/>
                <w:szCs w:val="18"/>
              </w:rPr>
              <w:t xml:space="preserve">Migración a cuenta institucional como hito de Fase 2; documentar prompts y configuraciones en repositorio interno</w:t>
            </w:r>
          </w:p>
        </w:tc>
        <w:tc>
          <w:tcPr>
            <w:tcW w:type="dxa" w:w="20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top"/>
          </w:tcPr>
          <w:p>
            <w:pPr>
              <w:jc w:val="left"/>
            </w:pPr>
            <w:r>
              <w:rPr>
                <w:rFonts w:ascii="Arial" w:cs="Arial" w:eastAsia="Arial" w:hAnsi="Arial"/>
                <w:b w:val="false"/>
                <w:bCs w:val="false"/>
                <w:color w:val="000000"/>
                <w:sz w:val="18"/>
                <w:szCs w:val="18"/>
              </w:rPr>
              <w:t xml:space="preserve">Observatorio / Agustín</w:t>
            </w:r>
          </w:p>
        </w:tc>
      </w:tr>
      <w:tr>
        <w:tc>
          <w:tcPr>
            <w:tcW w:type="dxa" w:w="28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top"/>
          </w:tcPr>
          <w:p>
            <w:pPr>
              <w:jc w:val="left"/>
            </w:pPr>
            <w:r>
              <w:rPr>
                <w:rFonts w:ascii="Arial" w:cs="Arial" w:eastAsia="Arial" w:hAnsi="Arial"/>
                <w:b w:val="false"/>
                <w:bCs w:val="false"/>
                <w:color w:val="000000"/>
                <w:sz w:val="18"/>
                <w:szCs w:val="18"/>
              </w:rPr>
              <w:t xml:space="preserve">Toolkit 1 no adecuado al perfil real de emprendedores Auge</w:t>
            </w:r>
          </w:p>
        </w:tc>
        <w:tc>
          <w:tcPr>
            <w:tcW w:type="dxa" w:w="1200"/>
            <w:tcBorders>
              <w:top w:val="single" w:color="AAAAAA" w:sz="4"/>
              <w:left w:val="single" w:color="AAAAAA" w:sz="4"/>
              <w:bottom w:val="single" w:color="AAAAAA" w:sz="4"/>
              <w:right w:val="single" w:color="AAAAAA" w:sz="4"/>
            </w:tcBorders>
            <w:shd w:fill="FEF9E7" w:val="clear"/>
            <w:tcMar>
              <w:top w:type="dxa" w:w="80"/>
              <w:left w:type="dxa" w:w="150"/>
              <w:bottom w:type="dxa" w:w="80"/>
              <w:right w:type="dxa" w:w="150"/>
            </w:tcMar>
            <w:vAlign w:val="top"/>
          </w:tcPr>
          <w:p>
            <w:pPr>
              <w:jc w:val="center"/>
            </w:pPr>
            <w:r>
              <w:rPr>
                <w:rFonts w:ascii="Arial" w:cs="Arial" w:eastAsia="Arial" w:hAnsi="Arial"/>
                <w:b w:val="false"/>
                <w:bCs w:val="false"/>
                <w:color w:val="000000"/>
                <w:sz w:val="18"/>
                <w:szCs w:val="18"/>
              </w:rPr>
              <w:t xml:space="preserve">Media</w:t>
            </w:r>
          </w:p>
        </w:tc>
        <w:tc>
          <w:tcPr>
            <w:tcW w:type="dxa" w:w="33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top"/>
          </w:tcPr>
          <w:p>
            <w:pPr>
              <w:jc w:val="left"/>
            </w:pPr>
            <w:r>
              <w:rPr>
                <w:rFonts w:ascii="Arial" w:cs="Arial" w:eastAsia="Arial" w:hAnsi="Arial"/>
                <w:b w:val="false"/>
                <w:bCs w:val="false"/>
                <w:color w:val="000000"/>
                <w:sz w:val="18"/>
                <w:szCs w:val="18"/>
              </w:rPr>
              <w:t xml:space="preserve">Validar el diseño instruccional con sesión de co-creación con Luis, Cris y Tati antes de producir materiales definitivos</w:t>
            </w:r>
          </w:p>
        </w:tc>
        <w:tc>
          <w:tcPr>
            <w:tcW w:type="dxa" w:w="20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top"/>
          </w:tcPr>
          <w:p>
            <w:pPr>
              <w:jc w:val="left"/>
            </w:pPr>
            <w:r>
              <w:rPr>
                <w:rFonts w:ascii="Arial" w:cs="Arial" w:eastAsia="Arial" w:hAnsi="Arial"/>
                <w:b w:val="false"/>
                <w:bCs w:val="false"/>
                <w:color w:val="000000"/>
                <w:sz w:val="18"/>
                <w:szCs w:val="18"/>
              </w:rPr>
              <w:t xml:space="preserve">Observatorio + Auge</w:t>
            </w:r>
          </w:p>
        </w:tc>
      </w:tr>
      <w:tr>
        <w:tc>
          <w:tcPr>
            <w:tcW w:type="dxa" w:w="28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top"/>
          </w:tcPr>
          <w:p>
            <w:pPr>
              <w:jc w:val="left"/>
            </w:pPr>
            <w:r>
              <w:rPr>
                <w:rFonts w:ascii="Arial" w:cs="Arial" w:eastAsia="Arial" w:hAnsi="Arial"/>
                <w:b w:val="false"/>
                <w:bCs w:val="false"/>
                <w:color w:val="000000"/>
                <w:sz w:val="18"/>
                <w:szCs w:val="18"/>
              </w:rPr>
              <w:t xml:space="preserve">Baja adopción del laboratorio presencial</w:t>
            </w:r>
          </w:p>
        </w:tc>
        <w:tc>
          <w:tcPr>
            <w:tcW w:type="dxa" w:w="1200"/>
            <w:tcBorders>
              <w:top w:val="single" w:color="AAAAAA" w:sz="4"/>
              <w:left w:val="single" w:color="AAAAAA" w:sz="4"/>
              <w:bottom w:val="single" w:color="AAAAAA" w:sz="4"/>
              <w:right w:val="single" w:color="AAAAAA" w:sz="4"/>
            </w:tcBorders>
            <w:shd w:fill="FEF9E7" w:val="clear"/>
            <w:tcMar>
              <w:top w:type="dxa" w:w="80"/>
              <w:left w:type="dxa" w:w="150"/>
              <w:bottom w:type="dxa" w:w="80"/>
              <w:right w:type="dxa" w:w="150"/>
            </w:tcMar>
            <w:vAlign w:val="top"/>
          </w:tcPr>
          <w:p>
            <w:pPr>
              <w:jc w:val="center"/>
            </w:pPr>
            <w:r>
              <w:rPr>
                <w:rFonts w:ascii="Arial" w:cs="Arial" w:eastAsia="Arial" w:hAnsi="Arial"/>
                <w:b w:val="false"/>
                <w:bCs w:val="false"/>
                <w:color w:val="000000"/>
                <w:sz w:val="18"/>
                <w:szCs w:val="18"/>
              </w:rPr>
              <w:t xml:space="preserve">Media</w:t>
            </w:r>
          </w:p>
        </w:tc>
        <w:tc>
          <w:tcPr>
            <w:tcW w:type="dxa" w:w="33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top"/>
          </w:tcPr>
          <w:p>
            <w:pPr>
              <w:jc w:val="left"/>
            </w:pPr>
            <w:r>
              <w:rPr>
                <w:rFonts w:ascii="Arial" w:cs="Arial" w:eastAsia="Arial" w:hAnsi="Arial"/>
                <w:b w:val="false"/>
                <w:bCs w:val="false"/>
                <w:color w:val="000000"/>
                <w:sz w:val="18"/>
                <w:szCs w:val="18"/>
              </w:rPr>
              <w:t xml:space="preserve">Integrar el uso del laboratorio como actividad obligatoria en al menos una sesión del programa de Auge; designar monitor</w:t>
            </w:r>
          </w:p>
        </w:tc>
        <w:tc>
          <w:tcPr>
            <w:tcW w:type="dxa" w:w="20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top"/>
          </w:tcPr>
          <w:p>
            <w:pPr>
              <w:jc w:val="left"/>
            </w:pPr>
            <w:r>
              <w:rPr>
                <w:rFonts w:ascii="Arial" w:cs="Arial" w:eastAsia="Arial" w:hAnsi="Arial"/>
                <w:b w:val="false"/>
                <w:bCs w:val="false"/>
                <w:color w:val="000000"/>
                <w:sz w:val="18"/>
                <w:szCs w:val="18"/>
              </w:rPr>
              <w:t xml:space="preserve">Auge</w:t>
            </w:r>
          </w:p>
        </w:tc>
      </w:tr>
      <w:tr>
        <w:tc>
          <w:tcPr>
            <w:tcW w:type="dxa" w:w="28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top"/>
          </w:tcPr>
          <w:p>
            <w:pPr>
              <w:jc w:val="left"/>
            </w:pPr>
            <w:r>
              <w:rPr>
                <w:rFonts w:ascii="Arial" w:cs="Arial" w:eastAsia="Arial" w:hAnsi="Arial"/>
                <w:b w:val="false"/>
                <w:bCs w:val="false"/>
                <w:color w:val="000000"/>
                <w:sz w:val="18"/>
                <w:szCs w:val="18"/>
              </w:rPr>
              <w:t xml:space="preserve">Resistencia institucional a la certificación de Toolkit 2</w:t>
            </w:r>
          </w:p>
        </w:tc>
        <w:tc>
          <w:tcPr>
            <w:tcW w:type="dxa" w:w="1200"/>
            <w:tcBorders>
              <w:top w:val="single" w:color="AAAAAA" w:sz="4"/>
              <w:left w:val="single" w:color="AAAAAA" w:sz="4"/>
              <w:bottom w:val="single" w:color="AAAAAA" w:sz="4"/>
              <w:right w:val="single" w:color="AAAAAA" w:sz="4"/>
            </w:tcBorders>
            <w:shd w:fill="EAF4EA" w:val="clear"/>
            <w:tcMar>
              <w:top w:type="dxa" w:w="80"/>
              <w:left w:type="dxa" w:w="150"/>
              <w:bottom w:type="dxa" w:w="80"/>
              <w:right w:type="dxa" w:w="150"/>
            </w:tcMar>
            <w:vAlign w:val="top"/>
          </w:tcPr>
          <w:p>
            <w:pPr>
              <w:jc w:val="center"/>
            </w:pPr>
            <w:r>
              <w:rPr>
                <w:rFonts w:ascii="Arial" w:cs="Arial" w:eastAsia="Arial" w:hAnsi="Arial"/>
                <w:b w:val="false"/>
                <w:bCs w:val="false"/>
                <w:color w:val="000000"/>
                <w:sz w:val="18"/>
                <w:szCs w:val="18"/>
              </w:rPr>
              <w:t xml:space="preserve">Baja</w:t>
            </w:r>
          </w:p>
        </w:tc>
        <w:tc>
          <w:tcPr>
            <w:tcW w:type="dxa" w:w="33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top"/>
          </w:tcPr>
          <w:p>
            <w:pPr>
              <w:jc w:val="left"/>
            </w:pPr>
            <w:r>
              <w:rPr>
                <w:rFonts w:ascii="Arial" w:cs="Arial" w:eastAsia="Arial" w:hAnsi="Arial"/>
                <w:b w:val="false"/>
                <w:bCs w:val="false"/>
                <w:color w:val="000000"/>
                <w:sz w:val="18"/>
                <w:szCs w:val="18"/>
              </w:rPr>
              <w:t xml:space="preserve">Articular la certificación dentro del marco de acción social UCR (Proyecto ED-3698 u otro); documentar desde Fase 0</w:t>
            </w:r>
          </w:p>
        </w:tc>
        <w:tc>
          <w:tcPr>
            <w:tcW w:type="dxa" w:w="20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top"/>
          </w:tcPr>
          <w:p>
            <w:pPr>
              <w:jc w:val="left"/>
            </w:pPr>
            <w:r>
              <w:rPr>
                <w:rFonts w:ascii="Arial" w:cs="Arial" w:eastAsia="Arial" w:hAnsi="Arial"/>
                <w:b w:val="false"/>
                <w:bCs w:val="false"/>
                <w:color w:val="000000"/>
                <w:sz w:val="18"/>
                <w:szCs w:val="18"/>
              </w:rPr>
              <w:t xml:space="preserve">Observatorio / CIOdD</w:t>
            </w:r>
          </w:p>
        </w:tc>
      </w:tr>
    </w:tbl>
    <w:p>
      <w:pPr>
        <w:spacing w:after="0" w:before="120"/>
      </w:pPr>
    </w:p>
    <w:p>
      <w:pPr>
        <w:pBdr>
          <w:bottom w:val="single" w:color="003366" w:sz="6" w:space="1"/>
        </w:pBdr>
        <w:spacing w:after="120" w:before="120"/>
      </w:pPr>
    </w:p>
    <w:p>
      <w:pPr>
        <w:pStyle w:val="Heading1"/>
        <w:spacing w:after="160" w:before="320"/>
      </w:pPr>
      <w:r>
        <w:rPr>
          <w:rFonts w:ascii="Arial" w:cs="Arial" w:eastAsia="Arial" w:hAnsi="Arial"/>
          <w:b/>
          <w:bCs/>
          <w:color w:val="003366"/>
          <w:sz w:val="28"/>
          <w:szCs w:val="28"/>
        </w:rPr>
        <w:t xml:space="preserve">7. Nota Final</w:t>
      </w:r>
    </w:p>
    <w:p>
      <w:pPr>
        <w:spacing w:after="80" w:before="80"/>
      </w:pPr>
      <w:r>
        <w:rPr>
          <w:rFonts w:ascii="Arial" w:cs="Arial" w:eastAsia="Arial" w:hAnsi="Arial"/>
          <w:color w:val="424949"/>
          <w:sz w:val="20"/>
          <w:szCs w:val="20"/>
        </w:rPr>
        <w:t xml:space="preserve">Este plan de implementación no propone descartar el kit DIPROVID existente: propone complementarlo con una capa pre-operativa que lo hace relevante para un segmento de usuarios que hoy no encuentra punto de entrada. Los Módulos I–III del programa actual son sólidos y bien valorados; el esfuerzo de mejora se concentra en crear el contexto de llegada adecuado (Módulo 0 + Toolkit 1) y en asegurar la continuidad institucional de los activos ya construidos.</w:t>
      </w:r>
    </w:p>
    <w:p>
      <w:pPr>
        <w:spacing w:after="0" w:before="80"/>
      </w:pPr>
    </w:p>
    <w:p>
      <w:pPr>
        <w:spacing w:after="80" w:before="80"/>
      </w:pPr>
      <w:r>
        <w:rPr>
          <w:rFonts w:ascii="Arial" w:cs="Arial" w:eastAsia="Arial" w:hAnsi="Arial"/>
          <w:color w:val="424949"/>
          <w:sz w:val="20"/>
          <w:szCs w:val="20"/>
        </w:rPr>
        <w:t xml:space="preserve">La colaboración Auge–Observatorio representa una oportunidad para convertir un recurso digital de acceso libre en un programa estructurado con impacto medible en el ecosistema emprendedor costarricense, alineado con los mandatos de acción social de la UCR.</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4"/>
              <w:left w:val="single" w:color="2E86C1" w:sz="24"/>
              <w:bottom w:val="single" w:color="2E86C1" w:sz="4"/>
              <w:right w:val="single" w:color="2E86C1" w:sz="4"/>
            </w:tcBorders>
            <w:shd w:fill="E8F4FD" w:val="clear"/>
            <w:tcMar>
              <w:top w:type="dxa" w:w="140"/>
              <w:left w:type="dxa" w:w="200"/>
              <w:bottom w:type="dxa" w:w="140"/>
              <w:right w:type="dxa" w:w="200"/>
            </w:tcMar>
          </w:tcPr>
          <w:p>
            <w:r>
              <w:rPr>
                <w:rFonts w:ascii="Arial" w:cs="Arial" w:eastAsia="Arial" w:hAnsi="Arial"/>
                <w:i/>
                <w:iCs/>
                <w:color w:val="424949"/>
                <w:sz w:val="20"/>
                <w:szCs w:val="20"/>
              </w:rPr>
              <w:t xml:space="preserve">Para comentarios, ajustes o aprobación de este plan, dirigirse a Agustín Gómez Meléndez (CIOdD-UCR / OMiPYME-UNED) y a la dirección de Auge (Vicky).</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3366" w:sz="4" w:space="1"/>
      </w:pBdr>
      <w:spacing w:before="80"/>
      <w:jc w:val="center"/>
    </w:pPr>
    <w:r>
      <w:rPr>
        <w:rFonts w:ascii="Arial" w:cs="Arial" w:eastAsia="Arial" w:hAnsi="Arial"/>
        <w:color w:val="777777"/>
        <w:sz w:val="16"/>
        <w:szCs w:val="16"/>
      </w:rPr>
      <w:t xml:space="preserve">CIOdD–UCR | DIPROVID | Auge — Junio 2025    Pág. </w:t>
    </w:r>
    <w:r>
      <w:rPr>
        <w:rFonts w:ascii="Arial" w:cs="Arial" w:eastAsia="Arial" w:hAnsi="Arial"/>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3366" w:sz="4" w:space="1"/>
      </w:pBdr>
      <w:spacing w:after="80"/>
      <w:jc w:val="right"/>
    </w:pPr>
    <w:r>
      <w:rPr>
        <w:rFonts w:ascii="Arial" w:cs="Arial" w:eastAsia="Arial" w:hAnsi="Arial"/>
        <w:color w:val="777777"/>
        <w:sz w:val="16"/>
        <w:szCs w:val="16"/>
      </w:rPr>
      <w:t xml:space="preserve">Plan de Implementación: Caja de Herramientas IA MiPYME — Integración Auge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lvl w:ilvl="1" w15:tentative="1">
      <w:start w:val="1"/>
      <w:numFmt w:val="bullet"/>
      <w:lvlText w:val="◦"/>
      <w:lvlJc w:val="left"/>
      <w:pPr>
        <w:ind w:left="900" w:hanging="36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003366"/>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1A5276"/>
      <w:sz w:val="24"/>
      <w:szCs w:val="24"/>
    </w:rPr>
  </w:style>
  <w:style w:type="paragraph" w:styleId="Heading3">
    <w:name w:val="Heading 3"/>
    <w:basedOn w:val="Normal"/>
    <w:next w:val="Normal"/>
    <w:qFormat/>
    <w:pPr>
      <w:spacing w:after="80" w:before="160"/>
      <w:outlineLvl w:val="2"/>
    </w:pPr>
    <w:rPr>
      <w:rFonts w:ascii="Arial" w:cs="Arial" w:eastAsia="Arial" w:hAnsi="Arial"/>
      <w:b/>
      <w:bCs/>
      <w:color w:val="2E86C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2026-06-11T20:36:51.235Z</dcterms:created>
  <dcterms:modified xsi:type="dcterms:W3CDTF">2026-06-11T20:36:51.235Z</dcterms:modified>
</cp:coreProperties>
</file>

<file path=docProps/custom.xml><?xml version="1.0" encoding="utf-8"?>
<Properties xmlns="http://schemas.openxmlformats.org/officeDocument/2006/custom-properties" xmlns:vt="http://schemas.openxmlformats.org/officeDocument/2006/docPropsVTypes"/>
</file>