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2E5496"/>
          <w:sz w:val="22"/>
          <w:szCs w:val="22"/>
        </w:rPr>
        <w:t xml:space="preserve">CIOdD – DIPROVID · Universidad de Costa Rica</w:t>
      </w:r>
    </w:p>
    <w:p>
      <w:pPr>
        <w:pBdr>
          <w:bottom w:val="single" w:color="1F3864" w:sz="12" w:space="6"/>
        </w:pBdr>
        <w:spacing w:after="0" w:before="40"/>
      </w:pPr>
      <w:r>
        <w:t xml:space="preserve"/>
      </w:r>
    </w:p>
    <w:p>
      <w:pPr>
        <w:spacing w:after="120" w:before="320"/>
      </w:pPr>
      <w:r>
        <w:rPr>
          <w:b/>
          <w:bCs/>
          <w:color w:val="1F3864"/>
          <w:sz w:val="46"/>
          <w:szCs w:val="46"/>
        </w:rPr>
        <w:t xml:space="preserve">Auditoría de usabilidad y arquitectura de información</w:t>
      </w:r>
    </w:p>
    <w:p>
      <w:pPr>
        <w:spacing w:after="80"/>
      </w:pPr>
      <w:r>
        <w:rPr>
          <w:color w:val="333333"/>
          <w:sz w:val="30"/>
          <w:szCs w:val="30"/>
        </w:rPr>
        <w:t xml:space="preserve">Caja de Herramientas de Inteligencia Artificial para la MiPYME</w:t>
      </w:r>
    </w:p>
    <w:p>
      <w:pPr>
        <w:spacing w:after="360"/>
      </w:pPr>
      <w:r>
        <w:rPr>
          <w:i/>
          <w:iCs/>
          <w:color w:val="555555"/>
          <w:sz w:val="24"/>
          <w:szCs w:val="24"/>
        </w:rPr>
        <w:t xml:space="preserve">Recorrido cognitivo por perfil de estudiante y hoja de ruta de rediseño hacia un modelo MOOC, sin pérdida de rigor pedagógico, contenido ni funcionalidades</w:t>
      </w:r>
    </w:p>
    <w:p>
      <w:pPr>
        <w:spacing w:after="40"/>
      </w:pPr>
      <w:r>
        <w:rPr>
          <w:b/>
          <w:bCs/>
          <w:sz w:val="21"/>
          <w:szCs w:val="21"/>
        </w:rPr>
        <w:t xml:space="preserve">Objeto auditado: </w:t>
      </w:r>
      <w:hyperlink w:history="1" r:id="rIdhdfixmcgvgh-1_kyn1qbw">
        <w:r>
          <w:rPr>
            <w:rStyle w:val="Hyperlink"/>
            <w:sz w:val="21"/>
            <w:szCs w:val="21"/>
          </w:rPr>
          <w:t xml:space="preserve">agmelendez.github.io/cajadeherramientasparaemprendedores</w:t>
        </w:r>
      </w:hyperlink>
    </w:p>
    <w:p>
      <w:pPr>
        <w:spacing w:after="40" w:before="0" w:line="276"/>
      </w:pPr>
      <w:r>
        <w:rPr>
          <w:sz w:val="21"/>
          <w:szCs w:val="21"/>
        </w:rPr>
        <w:t xml:space="preserve">Naturaleza: curso autogestionado de adopción de IA · 12 semanas + Toolkit pre-operativo + diagnóstico de entrada</w:t>
      </w:r>
    </w:p>
    <w:p>
      <w:pPr>
        <w:spacing w:after="40" w:before="0" w:line="276"/>
      </w:pPr>
      <w:r>
        <w:rPr>
          <w:sz w:val="21"/>
          <w:szCs w:val="21"/>
        </w:rPr>
        <w:t xml:space="preserve">Tipo de evaluación: auditoría experta heurística con recorrido cognitivo basado en personas</w:t>
      </w:r>
    </w:p>
    <w:p>
      <w:pPr>
        <w:spacing w:after="40" w:before="0" w:line="276"/>
      </w:pPr>
      <w:r>
        <w:rPr>
          <w:sz w:val="21"/>
          <w:szCs w:val="21"/>
        </w:rPr>
        <w:t xml:space="preserve">Fecha: junio de 2026 · Versión 1.0 (línea base diagnóstica)</w:t>
      </w:r>
    </w:p>
    <w:p>
      <w:r>
        <w:br w:type="page"/>
      </w:r>
    </w:p>
    <w:p>
      <w:pPr>
        <w:pStyle w:val="Heading1"/>
      </w:pPr>
      <w:r>
        <w:t xml:space="preserve">Contenido</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before="0" w:line="276"/>
      </w:pPr>
      <w:r>
        <w:rPr>
          <w:b/>
          <w:bCs/>
        </w:rPr>
        <w:t xml:space="preserve">El hallazgo central de esta auditoría es una disociación: </w:t>
      </w:r>
      <w:r>
        <w:t xml:space="preserve">la calidad del contenido instruccional es notablemente alta —probablemente superior a la media de los recursos de capacitación en IA disponibles para el sector microempresarial costarricense—, pero esa calidad queda parcialmente neutralizada por una arquitectura de información que traslada al estudiante la totalidad de la carga de navegación, orientación y autorregulación. La retroalimentación que usted ha recibido (“el contenido está muy bien, pero la persona se pierde”) no describe un defecto de redacción ni de pedagogía: describe un defecto estructural de continente.</w:t>
      </w:r>
    </w:p>
    <w:p>
      <w:pPr>
        <w:spacing w:after="120" w:before="0" w:line="276"/>
      </w:pPr>
      <w:r>
        <w:t xml:space="preserve">El sitio está construido como una </w:t>
      </w:r>
      <w:r>
        <w:rPr>
          <w:b/>
          <w:bCs/>
        </w:rPr>
        <w:t xml:space="preserve">página única de desplazamiento infinito</w:t>
      </w:r>
      <w:r>
        <w:t xml:space="preserve"> (single-page application monolítica) que concatena, en un solo documento navegable por anclas, el diagnóstico de entrada, la metodología, los objetivos, el Toolkit pre-operativo de cuatro semanas y los tres módulos de doce semanas. Para un curso </w:t>
      </w:r>
      <w:r>
        <w:rPr>
          <w:i/>
          <w:iCs/>
        </w:rPr>
        <w:t xml:space="preserve">autogestionado</w:t>
      </w:r>
      <w:r>
        <w:t xml:space="preserve"> —es decir, uno que la persona recorre de forma intermitente durante tres meses o más, sin tutor que la reoriente— esta arquitectura es la decisión de diseño de mayor impacto negativo, porque rompe las dos condiciones que el propio modelo pedagógico presupone: la </w:t>
      </w:r>
      <w:r>
        <w:rPr>
          <w:b/>
          <w:bCs/>
        </w:rPr>
        <w:t xml:space="preserve">continuidad</w:t>
      </w:r>
      <w:r>
        <w:t xml:space="preserve"> (“¿dónde quedé?”) y la </w:t>
      </w:r>
      <w:r>
        <w:rPr>
          <w:b/>
          <w:bCs/>
        </w:rPr>
        <w:t xml:space="preserve">sensación de avance</w:t>
      </w:r>
      <w:r>
        <w:t xml:space="preserve"> (“¿cuánto me falta?”).</w:t>
      </w:r>
    </w:p>
    <w:p>
      <w:pPr>
        <w:spacing w:after="100" w:before="0" w:line="276"/>
      </w:pPr>
      <w:r>
        <w:rPr>
          <w:b/>
          <w:bCs/>
        </w:rPr>
        <w:t xml:space="preserve">En síntesis, la auditoría arroja cuatro conclusiones operativas:</w:t>
      </w:r>
    </w:p>
    <w:p>
      <w:pPr>
        <w:pStyle w:val="ListParagraph"/>
        <w:numPr>
          <w:ilvl w:val="0"/>
          <w:numId w:val="2"/>
        </w:numPr>
        <w:spacing w:after="80" w:line="268"/>
      </w:pPr>
      <w:r>
        <w:rPr>
          <w:b/>
          <w:bCs/>
        </w:rPr>
        <w:t xml:space="preserve">El problema no es de contenido, es de arquitectura de información y de gestión del estado de aprendizaje. </w:t>
      </w:r>
      <w:r>
        <w:t xml:space="preserve">Cualquier rediseño debe preservar íntegro el contenido y refactorizar el contenedor.</w:t>
      </w:r>
    </w:p>
    <w:p>
      <w:pPr>
        <w:pStyle w:val="ListParagraph"/>
        <w:numPr>
          <w:ilvl w:val="0"/>
          <w:numId w:val="2"/>
        </w:numPr>
        <w:spacing w:after="80" w:line="268"/>
      </w:pPr>
      <w:r>
        <w:rPr>
          <w:b/>
          <w:bCs/>
        </w:rPr>
        <w:t xml:space="preserve">La página única debe descomponerse en una estructura de tres niveles </w:t>
      </w:r>
      <w:r>
        <w:t xml:space="preserve">(panel del estudiante → módulo → lección), con una sola lección visible a la vez.</w:t>
      </w:r>
    </w:p>
    <w:p>
      <w:pPr>
        <w:pStyle w:val="ListParagraph"/>
        <w:numPr>
          <w:ilvl w:val="0"/>
          <w:numId w:val="2"/>
        </w:numPr>
        <w:spacing w:after="80" w:line="268"/>
      </w:pPr>
      <w:r>
        <w:rPr>
          <w:b/>
          <w:bCs/>
        </w:rPr>
        <w:t xml:space="preserve">El curso necesita memoria de progreso. </w:t>
      </w:r>
      <w:r>
        <w:t xml:space="preserve">Hoy no existe ningún mecanismo de “continuar donde quedé”, marcado de completado ni barra de avance; para un curso autogestionado esto no es un lujo, es un requisito funcional.</w:t>
      </w:r>
    </w:p>
    <w:p>
      <w:pPr>
        <w:pStyle w:val="ListParagraph"/>
        <w:numPr>
          <w:ilvl w:val="0"/>
          <w:numId w:val="2"/>
        </w:numPr>
        <w:spacing w:after="80" w:line="268"/>
      </w:pPr>
      <w:r>
        <w:rPr>
          <w:b/>
          <w:bCs/>
        </w:rPr>
        <w:t xml:space="preserve">Las tres personas-objetivo no recorren el mismo curso. </w:t>
      </w:r>
      <w:r>
        <w:t xml:space="preserve">El diseño lineal sirve razonablemente al perfil intermedio, sobrecarga al principiante absoluto y subutiliza al avanzado. El rediseño debe ofrecer sendas diferenciadas sobre un mismo cuerpo de contenido.</w:t>
      </w:r>
    </w:p>
    <w:p>
      <w:pPr>
        <w:spacing w:after="120" w:before="0" w:line="276"/>
      </w:pPr>
      <w:r>
        <w:t xml:space="preserve">La sección 7 propone una refactorización concreta que conserva sin alteración los activos pedagógicos distintivos del programa —el ciclo </w:t>
      </w:r>
      <w:r>
        <w:rPr>
          <w:b/>
          <w:bCs/>
        </w:rPr>
        <w:t xml:space="preserve">RHEC</w:t>
      </w:r>
      <w:r>
        <w:t xml:space="preserve">, el modelo de prompts </w:t>
      </w:r>
      <w:r>
        <w:rPr>
          <w:b/>
          <w:bCs/>
        </w:rPr>
        <w:t xml:space="preserve">CIFRCE</w:t>
      </w:r>
      <w:r>
        <w:t xml:space="preserve">, el principio </w:t>
      </w:r>
      <w:r>
        <w:rPr>
          <w:b/>
          <w:bCs/>
        </w:rPr>
        <w:t xml:space="preserve">Human-in-the-Loop</w:t>
      </w:r>
      <w:r>
        <w:t xml:space="preserve">, la regla 70/30, la rúbrica analítica y la matriz de alineación— y opera exclusivamente sobre la capa de navegación, estado e interacción. El rediseño es de continente, no de contenido.</w:t>
      </w:r>
    </w:p>
    <w:p>
      <w:pPr>
        <w:pBdr>
          <w:bottom w:val="single" w:color="2E5496" w:sz="6" w:space="1"/>
        </w:pBdr>
        <w:spacing w:after="160" w:before="60"/>
      </w:pPr>
      <w:r>
        <w:t xml:space="preserve"/>
      </w:r>
    </w:p>
    <w:p>
      <w:pPr>
        <w:pStyle w:val="Heading3"/>
      </w:pPr>
      <w:r>
        <w:t xml:space="preserve">Cuadro de severidad de los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100"/>
        <w:gridCol w:w="35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Categoría de hallazgo</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Sev.</w:t>
            </w:r>
          </w:p>
        </w:tc>
        <w:tc>
          <w:tcPr>
            <w:tcW w:type="dxa" w:w="35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Efecto dominante sobre el estudiante</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Arquitectura monolítica de página única</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Pérdida de orientación; abandono</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Ausencia de gestión de estado/progreso</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No puede retomar; sin sentido de avance</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Fragmentación hacia +30 recursos externos</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Se pierde fuera del sitio; no regresa</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Curva de dificultad discontinua entre módulos</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Frustración del principiante en Módulo II</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Doble esquema de numeración / redundancia / vocabulario</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Carga cognitiva extrínseca elevada</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Sin rutas diferenciadas por perfil ni “test-out”</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Aburre al avanzado; intimida al novato</w:t>
            </w:r>
          </w:p>
        </w:tc>
      </w:tr>
    </w:tbl>
    <w:p>
      <w:pPr>
        <w:spacing w:after="120" w:before="80" w:line="276"/>
      </w:pPr>
      <w:r>
        <w:rPr>
          <w:i/>
          <w:iCs/>
          <w:color w:val="666666"/>
          <w:sz w:val="18"/>
          <w:szCs w:val="18"/>
        </w:rPr>
        <w:t xml:space="preserve">Escala de severidad (adaptada de Nielsen): 4 = catastrófico, impide o desincentiva fuertemente la finalización; 3 = mayor, fricción seria y recurrente; 2 = menor; 1 = cosmético.</w:t>
      </w:r>
    </w:p>
    <w:p>
      <w:r>
        <w:br w:type="page"/>
      </w:r>
    </w:p>
    <w:p>
      <w:pPr>
        <w:pStyle w:val="Heading1"/>
      </w:pPr>
      <w:r>
        <w:t xml:space="preserve">2. Alcance, método y limitaciones</w:t>
      </w:r>
    </w:p>
    <w:p>
      <w:pPr>
        <w:pStyle w:val="Heading2"/>
      </w:pPr>
      <w:r>
        <w:t xml:space="preserve">2.1 Pregunta de auditoría</w:t>
      </w:r>
    </w:p>
    <w:p>
      <w:pPr>
        <w:spacing w:after="120" w:before="0" w:line="276"/>
      </w:pPr>
      <w:r>
        <w:t xml:space="preserve">La auditoría responde a una pregunta deliberadamente situada en la experiencia del usuario final y no en la del autor: </w:t>
      </w:r>
      <w:r>
        <w:rPr>
          <w:i/>
          <w:iCs/>
        </w:rPr>
        <w:t xml:space="preserve">“¿Qué le ocurre a una persona emprendedora —en cada uno de tres niveles de alfabetización digital— cuando intenta recorrer este curso sola, durante varias semanas, sin acompañamiento?”</w:t>
      </w:r>
      <w:r>
        <w:t xml:space="preserve"> El criterio de éxito no es la corrección del contenido (que se asume y se confirma alta), sino la probabilidad de que la persona </w:t>
      </w:r>
      <w:r>
        <w:rPr>
          <w:b/>
          <w:bCs/>
        </w:rPr>
        <w:t xml:space="preserve">inicie, no se pierda, retome y complete</w:t>
      </w:r>
      <w:r>
        <w:t xml:space="preserve">.</w:t>
      </w:r>
    </w:p>
    <w:p>
      <w:pPr>
        <w:pStyle w:val="Heading2"/>
      </w:pPr>
      <w:r>
        <w:t xml:space="preserve">2.2 Marcos de evaluación</w:t>
      </w:r>
    </w:p>
    <w:p>
      <w:pPr>
        <w:spacing w:after="100" w:before="0" w:line="276"/>
      </w:pPr>
      <w:r>
        <w:t xml:space="preserve">La evaluación triangula cuatro marcos consolidados:</w:t>
      </w:r>
    </w:p>
    <w:p>
      <w:pPr>
        <w:pStyle w:val="ListParagraph"/>
        <w:numPr>
          <w:ilvl w:val="0"/>
          <w:numId w:val="3"/>
        </w:numPr>
        <w:spacing w:after="80" w:line="268"/>
      </w:pPr>
      <w:r>
        <w:rPr>
          <w:b/>
          <w:bCs/>
        </w:rPr>
        <w:t xml:space="preserve">Heurísticas de usabilidad de Nielsen (1994). </w:t>
      </w:r>
      <w:r>
        <w:t xml:space="preserve">En particular: visibilidad del estado del sistema, control y libertad del usuario, consistencia y estándares, reconocimiento antes que recuerdo, y estética y diseño minimalista.</w:t>
      </w:r>
    </w:p>
    <w:p>
      <w:pPr>
        <w:pStyle w:val="ListParagraph"/>
        <w:numPr>
          <w:ilvl w:val="0"/>
          <w:numId w:val="3"/>
        </w:numPr>
        <w:spacing w:after="80" w:line="268"/>
      </w:pPr>
      <w:r>
        <w:rPr>
          <w:b/>
          <w:bCs/>
        </w:rPr>
        <w:t xml:space="preserve">Recorrido cognitivo basado en personas (cognitive walkthrough; Wharton et al., 1994). </w:t>
      </w:r>
      <w:r>
        <w:t xml:space="preserve">Se simula el viaje de tres personas-arquetipo, preguntando en cada paso si la persona sabrá qué hacer, lo encontrará y entenderá la respuesta del sistema.</w:t>
      </w:r>
    </w:p>
    <w:p>
      <w:pPr>
        <w:pStyle w:val="ListParagraph"/>
        <w:numPr>
          <w:ilvl w:val="0"/>
          <w:numId w:val="3"/>
        </w:numPr>
        <w:spacing w:after="80" w:line="268"/>
      </w:pPr>
      <w:r>
        <w:rPr>
          <w:b/>
          <w:bCs/>
        </w:rPr>
        <w:t xml:space="preserve">Teoría de la carga cognitiva (Sweller). </w:t>
      </w:r>
      <w:r>
        <w:t xml:space="preserve">Se distingue la carga intrínseca (inherente a aprender IA, deseable) de la carga extrínseca (impuesta por el diseño, a minimizar). Buena parte de los hallazgos son carga extrínseca evitable.</w:t>
      </w:r>
    </w:p>
    <w:p>
      <w:pPr>
        <w:pStyle w:val="ListParagraph"/>
        <w:numPr>
          <w:ilvl w:val="0"/>
          <w:numId w:val="3"/>
        </w:numPr>
        <w:spacing w:after="80" w:line="268"/>
      </w:pPr>
      <w:r>
        <w:rPr>
          <w:b/>
          <w:bCs/>
        </w:rPr>
        <w:t xml:space="preserve">Aprendizaje autorregulado (SRL; Zimmerman). </w:t>
      </w:r>
      <w:r>
        <w:t xml:space="preserve">Como el curso es autogestionado, las fases de planificación, automonitoreo y autoevaluación recaen en el estudiante; el entorno debe andamiarlas. Aquí está la brecha más severa.</w:t>
      </w:r>
    </w:p>
    <w:p>
      <w:pPr>
        <w:pStyle w:val="Heading2"/>
      </w:pPr>
      <w:r>
        <w:t xml:space="preserve">2.3 Limitaciones del alcance</w:t>
      </w:r>
    </w:p>
    <w:p>
      <w:pPr>
        <w:pStyle w:val="ListParagraph"/>
        <w:numPr>
          <w:ilvl w:val="0"/>
          <w:numId w:val="3"/>
        </w:numPr>
        <w:spacing w:after="80" w:line="268"/>
      </w:pPr>
      <w:r>
        <w:t xml:space="preserve">Se trata de una auditoría experta, no de una prueba de usabilidad con usuarios reales. Sus hallazgos son hipótesis fundamentadas y de alta probabilidad, no mediciones empíricas; el Anexo B propone el protocolo de validación con usuarios que debería seguir a este informe.</w:t>
      </w:r>
    </w:p>
    <w:p>
      <w:pPr>
        <w:pStyle w:val="ListParagraph"/>
        <w:numPr>
          <w:ilvl w:val="0"/>
          <w:numId w:val="3"/>
        </w:numPr>
        <w:spacing w:after="80" w:line="268"/>
      </w:pPr>
      <w:r>
        <w:t xml:space="preserve">El análisis se concentra en la capa de navegación, interacción y arquitectura. No audita la exactitud técnica de cada herramienta externa enlazada ni la vigencia de cada video.</w:t>
      </w:r>
    </w:p>
    <w:p>
      <w:pPr>
        <w:pStyle w:val="ListParagraph"/>
        <w:numPr>
          <w:ilvl w:val="0"/>
          <w:numId w:val="3"/>
        </w:numPr>
        <w:spacing w:after="80" w:line="268"/>
      </w:pPr>
      <w:r>
        <w:t xml:space="preserve">La recuperación automatizada del documento se truncó antes del final (secciones “Credenciales” y “Biblioteca de Recursos”). </w:t>
      </w:r>
      <w:r>
        <w:rPr>
          <w:b/>
          <w:bCs/>
        </w:rPr>
        <w:t xml:space="preserve">Ese truncamiento es, en sí mismo, un dato de la auditoría: </w:t>
      </w:r>
      <w:r>
        <w:t xml:space="preserve">la página es tan extensa que excede límites de procesamiento, lo que anticipa el costo que impone a un navegador móvil y a la atención humana.</w:t>
      </w:r>
    </w:p>
    <w:p>
      <w:r>
        <w:br w:type="page"/>
      </w:r>
    </w:p>
    <w:p>
      <w:pPr>
        <w:pStyle w:val="Heading1"/>
      </w:pPr>
      <w:r>
        <w:t xml:space="preserve">3. Las tres personas como instrumento de auditoría</w:t>
      </w:r>
    </w:p>
    <w:p>
      <w:pPr>
        <w:spacing w:after="120" w:before="0" w:line="276"/>
      </w:pPr>
      <w:r>
        <w:t xml:space="preserve">Los tres roles que usted definió no son segmentos de marketing: son </w:t>
      </w:r>
      <w:r>
        <w:rPr>
          <w:b/>
          <w:bCs/>
        </w:rPr>
        <w:t xml:space="preserve">instrumentos de prueba</w:t>
      </w:r>
      <w:r>
        <w:t xml:space="preserve">. Cada uno encarna un modelo mental de entrada distinto y, por tanto, expone fallos diferentes del mismo artefacto. La tabla siguiente fija el perfil, el modelo mental, el trabajo por hacer (jobs-to-be-done) y el punto de quiebre previsto que guiará el recorrido de la sección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2520"/>
        <w:gridCol w:w="2460"/>
        <w:gridCol w:w="3000"/>
      </w:tblGrid>
      <w:tr>
        <w:trPr>
          <w:tblHeader/>
        </w:trPr>
        <w:tc>
          <w:tcPr>
            <w:tcW w:type="dxa" w:w="13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Perfil</w:t>
            </w:r>
          </w:p>
        </w:tc>
        <w:tc>
          <w:tcPr>
            <w:tcW w:type="dxa" w:w="25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Modelo mental de entrada</w:t>
            </w:r>
          </w:p>
        </w:tc>
        <w:tc>
          <w:tcPr>
            <w:tcW w:type="dxa" w:w="24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Trabajo por hacer (JTBD)</w:t>
            </w:r>
          </w:p>
        </w:tc>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Punto de quiebre previsto</w:t>
            </w:r>
          </w:p>
        </w:tc>
      </w:tr>
      <w:tr>
        <w:tc>
          <w:tcPr>
            <w:tcW w:type="dxa" w:w="13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pPr>
            <w:r>
              <w:rPr>
                <w:b/>
                <w:bCs/>
                <w:sz w:val="19"/>
                <w:szCs w:val="19"/>
              </w:rPr>
              <w:t xml:space="preserve">Rol 1</w:t>
            </w:r>
          </w:p>
          <w:p>
            <w:pPr>
              <w:spacing w:after="0"/>
            </w:pPr>
            <w:r>
              <w:rPr>
                <w:color w:val="555555"/>
                <w:sz w:val="18"/>
                <w:szCs w:val="18"/>
              </w:rPr>
              <w:t xml:space="preserve">Cero tecnología, cero IA</w:t>
            </w:r>
          </w:p>
        </w:tc>
        <w:tc>
          <w:tcPr>
            <w:tcW w:type="dxa" w:w="25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“No soy de computadoras.” Teme equivocarse y romper algo. Asocia “inscribirse” con un trámite con pasos claros y un único botón.</w:t>
            </w:r>
          </w:p>
        </w:tc>
        <w:tc>
          <w:tcPr>
            <w:tcW w:type="dxa" w:w="2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Resolver un problema concreto de su negocio sin sentirse tonto ni exponerse. Necesita una sola acción siguiente, siempre visible.</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Se paraliza ante la pared de texto inicial y ante el vocabulario (LLM, no-code, trigger). Probable abandono en la primera sesión o en el Módulo II.</w:t>
            </w:r>
          </w:p>
        </w:tc>
      </w:tr>
      <w:tr>
        <w:tc>
          <w:tcPr>
            <w:tcW w:type="dxa" w:w="13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pPr>
            <w:r>
              <w:rPr>
                <w:b/>
                <w:bCs/>
                <w:sz w:val="19"/>
                <w:szCs w:val="19"/>
              </w:rPr>
              <w:t xml:space="preserve">Rol 2</w:t>
            </w:r>
          </w:p>
          <w:p>
            <w:pPr>
              <w:spacing w:after="0"/>
            </w:pPr>
            <w:r>
              <w:rPr>
                <w:color w:val="555555"/>
                <w:sz w:val="18"/>
                <w:szCs w:val="18"/>
              </w:rPr>
              <w:t xml:space="preserve">Tecnología sí, IA no</w:t>
            </w:r>
          </w:p>
        </w:tc>
        <w:tc>
          <w:tcPr>
            <w:tcW w:type="dxa" w:w="25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Maneja cuentas, formularios y hojas de cálculo con soltura. La novedad real para él es la IA, no la herramienta digital.</w:t>
            </w:r>
          </w:p>
        </w:tc>
        <w:tc>
          <w:tcPr>
            <w:tcW w:type="dxa" w:w="2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Llegar rápido a lo que no sabe (prompting, alucinaciones, HITL) y saltar lo que ya domina (crear cuentas, 2FA).</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Se impacienta con los pasos elementales obligatorios y con la imposibilidad de “saltar”. La densidad le resta, no le suma.</w:t>
            </w:r>
          </w:p>
        </w:tc>
      </w:tr>
      <w:tr>
        <w:tc>
          <w:tcPr>
            <w:tcW w:type="dxa" w:w="138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pPr>
            <w:r>
              <w:rPr>
                <w:b/>
                <w:bCs/>
                <w:sz w:val="19"/>
                <w:szCs w:val="19"/>
              </w:rPr>
              <w:t xml:space="preserve">Rol 3</w:t>
            </w:r>
          </w:p>
          <w:p>
            <w:pPr>
              <w:spacing w:after="0"/>
            </w:pPr>
            <w:r>
              <w:rPr>
                <w:color w:val="555555"/>
                <w:sz w:val="18"/>
                <w:szCs w:val="18"/>
              </w:rPr>
              <w:t xml:space="preserve">Tecnología + algo de IA</w:t>
            </w:r>
          </w:p>
        </w:tc>
        <w:tc>
          <w:tcPr>
            <w:tcW w:type="dxa" w:w="25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Ya usa ChatGPT con cierto criterio. Busca método, estructura y temas avanzados (automatización, ROI, prefactibilidad).</w:t>
            </w:r>
          </w:p>
        </w:tc>
        <w:tc>
          <w:tcPr>
            <w:tcW w:type="dxa" w:w="2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Validar/actualizar lo básico en minutos y profundizar en Módulos II y III. Quiere ir directo al valor.</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El recorrido lineal lo obliga a desplazarse por todo lo que ya sabe. Sin “test-out” ni ruta avanzada, percibe el curso como elemental.</w:t>
            </w:r>
          </w:p>
        </w:tc>
      </w:tr>
    </w:tbl>
    <w:p>
      <w:pPr>
        <w:spacing w:after="120" w:before="100" w:line="276"/>
      </w:pPr>
      <w:r>
        <w:rPr>
          <w:i/>
          <w:iCs/>
          <w:color w:val="444444"/>
        </w:rPr>
        <w:t xml:space="preserve">Lectura transversal: un mismo diseño lineal no puede ser óptimo para los tres a la vez. Hoy el curso está calibrado, de hecho, para un Rol 2 disciplinado. El Rol 1 es quien más se pierde —y es, presumiblemente, el de mayor valor social para un programa de transferencia de la UCR.</w:t>
      </w:r>
    </w:p>
    <w:p>
      <w:r>
        <w:br w:type="page"/>
      </w:r>
    </w:p>
    <w:p>
      <w:pPr>
        <w:pStyle w:val="Heading1"/>
      </w:pPr>
      <w:r>
        <w:t xml:space="preserve">4. Recorrido cognitivo por perfil</w:t>
      </w:r>
    </w:p>
    <w:p>
      <w:pPr>
        <w:pStyle w:val="Heading2"/>
      </w:pPr>
      <w:r>
        <w:t xml:space="preserve">4.1 Rol 1 — Empresario con cero conocimiento en tecnología e IA</w:t>
      </w:r>
    </w:p>
    <w:p>
      <w:pPr>
        <w:spacing w:after="100" w:before="0" w:line="276"/>
      </w:pPr>
      <w:r>
        <w:rPr>
          <w:b/>
          <w:bCs/>
        </w:rPr>
        <w:t xml:space="preserve">Viaje simulado y puntos de ruptura:</w:t>
      </w:r>
    </w:p>
    <w:p>
      <w:pPr>
        <w:pStyle w:val="ListParagraph"/>
        <w:numPr>
          <w:ilvl w:val="0"/>
          <w:numId w:val="3"/>
        </w:numPr>
        <w:spacing w:after="80" w:line="268"/>
      </w:pPr>
      <w:r>
        <w:rPr>
          <w:b/>
          <w:bCs/>
        </w:rPr>
        <w:t xml:space="preserve">Llegada (segundos 0–30). </w:t>
      </w:r>
      <w:r>
        <w:t xml:space="preserve">La portada presenta de inmediato un bloque conceptual denso (regla 70/30, atribución institucional de cuatro líneas, metodologías CIFRCE y RHEC). Para esta persona, el primer mensaje útil debería ser un único botón: “Empezar aquí”. En su lugar encuentra teoría sobre el método antes de poder actuar. Riesgo de rebote alto.</w:t>
      </w:r>
    </w:p>
    <w:p>
      <w:pPr>
        <w:pStyle w:val="ListParagraph"/>
        <w:numPr>
          <w:ilvl w:val="0"/>
          <w:numId w:val="3"/>
        </w:numPr>
        <w:spacing w:after="80" w:line="268"/>
      </w:pPr>
      <w:r>
        <w:rPr>
          <w:b/>
          <w:bCs/>
        </w:rPr>
        <w:t xml:space="preserve">Diagnóstico (Módulo 0). </w:t>
      </w:r>
      <w:r>
        <w:t xml:space="preserve">El cuestionario de tres preguntas es, paradójicamente, lo mejor diseñado para este perfil: es concreto, tangible y conversacional. El problema es lo que ocurre después: el resultado entrega un enlace ancla (“Ir a mi punto de partida”) que lo deposita en mitad de la misma página interminable, sin que el sistema “recuerde” su ruta ni se la marque visualmente en sesiones futuras.</w:t>
      </w:r>
    </w:p>
    <w:p>
      <w:pPr>
        <w:pStyle w:val="ListParagraph"/>
        <w:numPr>
          <w:ilvl w:val="0"/>
          <w:numId w:val="3"/>
        </w:numPr>
        <w:spacing w:after="80" w:line="268"/>
      </w:pPr>
      <w:r>
        <w:rPr>
          <w:b/>
          <w:bCs/>
        </w:rPr>
        <w:t xml:space="preserve">Vocabulario (Semana 1 en adelante). </w:t>
      </w:r>
      <w:r>
        <w:t xml:space="preserve">Términos como LLM, 2FA, no-code, trigger, router, API, few-shot, Brand Hub o webhook aparecen sin definición en el punto de uso o con la definición demasiado tardía. Cada término no explicado es una micro-interrupción que, acumulada, produce la sensación de “esto no es para mí”.</w:t>
      </w:r>
    </w:p>
    <w:p>
      <w:pPr>
        <w:pStyle w:val="ListParagraph"/>
        <w:numPr>
          <w:ilvl w:val="0"/>
          <w:numId w:val="3"/>
        </w:numPr>
        <w:spacing w:after="80" w:line="268"/>
      </w:pPr>
      <w:r>
        <w:rPr>
          <w:b/>
          <w:bCs/>
        </w:rPr>
        <w:t xml:space="preserve">El acantilado del Módulo II (Semanas 5–8). </w:t>
      </w:r>
      <w:r>
        <w:t xml:space="preserve">Aquí está la ruptura más grave. En la Semana 1 la persona apenas sostuvo “su primera conversación” con un chatbot; en la Semana 5 se le pide construir un escenario en Make.com con disparadores, mapeo de variables y manejador de errores, y en la Semana 7, insertar un módulo con la API de OpenAI dentro del flujo. La pendiente de dificultad es discontinua: pasa de “escribir en un chat” a “orquestar integraciones” sin peldaños intermedios suficientes. Para el Rol 1 este es el punto de abandono más probable.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2A2A" w:sz="1"/>
              <w:left w:val="single" w:color="9C2A2A" w:sz="18"/>
              <w:bottom w:val="single" w:color="9C2A2A" w:sz="1"/>
              <w:right w:val="single" w:color="9C2A2A" w:sz="1"/>
            </w:tcBorders>
            <w:shd w:fill="F2F5FA" w:val="clear"/>
            <w:tcMar>
              <w:top w:type="dxa" w:w="120"/>
              <w:left w:type="dxa" w:w="180"/>
              <w:bottom w:type="dxa" w:w="120"/>
              <w:right w:type="dxa" w:w="140"/>
            </w:tcMar>
          </w:tcPr>
          <w:p>
            <w:pPr>
              <w:spacing w:after="60"/>
            </w:pPr>
            <w:r>
              <w:rPr>
                <w:b/>
                <w:bCs/>
                <w:color w:val="9C2A2A"/>
                <w:sz w:val="20"/>
                <w:szCs w:val="20"/>
              </w:rPr>
              <w:t xml:space="preserve">Implicación de rediseño (Rol 1)</w:t>
            </w:r>
          </w:p>
          <w:p>
            <w:pPr>
              <w:spacing w:after="40" w:line="260"/>
            </w:pPr>
            <w:r>
              <w:rPr>
                <w:sz w:val="20"/>
                <w:szCs w:val="20"/>
              </w:rPr>
              <w:t xml:space="preserve">Necesita: un único punto de entrada accionable; “siguiente paso” siempre visible; glosario emergente en el punto de uso; y una rampa de dificultad con peldaños intermedios antes del Módulo II (por ejemplo, una automatización de un solo paso, plenamente guiada, con captura esperada en cada clic).</w:t>
            </w:r>
          </w:p>
        </w:tc>
      </w:tr>
    </w:tbl>
    <w:p>
      <w:pPr>
        <w:pStyle w:val="Heading2"/>
      </w:pPr>
      <w:r>
        <w:t xml:space="preserve">4.2 Rol 2 — Empresario que conoce de tecnología pero no de IA</w:t>
      </w:r>
    </w:p>
    <w:p>
      <w:pPr>
        <w:pStyle w:val="ListParagraph"/>
        <w:numPr>
          <w:ilvl w:val="0"/>
          <w:numId w:val="3"/>
        </w:numPr>
        <w:spacing w:after="80" w:line="268"/>
      </w:pPr>
      <w:r>
        <w:rPr>
          <w:b/>
          <w:bCs/>
        </w:rPr>
        <w:t xml:space="preserve">Llegada. </w:t>
      </w:r>
      <w:r>
        <w:t xml:space="preserve">Comprende la interfaz sin esfuerzo, pero la portada le dedica mucho espacio a tranquilizar al novato (“la IA no es magia”, “sin horarios fijos”) y poco a señalarle dónde está la novedad para él. Quiere un mapa, no una bienvenida.</w:t>
      </w:r>
    </w:p>
    <w:p>
      <w:pPr>
        <w:pStyle w:val="ListParagraph"/>
        <w:numPr>
          <w:ilvl w:val="0"/>
          <w:numId w:val="3"/>
        </w:numPr>
        <w:spacing w:after="80" w:line="268"/>
      </w:pPr>
      <w:r>
        <w:rPr>
          <w:b/>
          <w:bCs/>
        </w:rPr>
        <w:t xml:space="preserve">Fricción por obligatoriedad de lo elemental. </w:t>
      </w:r>
      <w:r>
        <w:t xml:space="preserve">La Semana 1 lo obliga a leer instrucciones para crear cuentas y activar 2FA —cosas que ya hace— sin opción de marcar “ya lo tengo” y avanzar. La ausencia de un mecanismo de test-out convierte su competencia en tedio.</w:t>
      </w:r>
    </w:p>
    <w:p>
      <w:pPr>
        <w:pStyle w:val="ListParagraph"/>
        <w:numPr>
          <w:ilvl w:val="0"/>
          <w:numId w:val="3"/>
        </w:numPr>
        <w:spacing w:after="80" w:line="268"/>
      </w:pPr>
      <w:r>
        <w:rPr>
          <w:b/>
          <w:bCs/>
        </w:rPr>
        <w:t xml:space="preserve">Donde sí encuentra valor. </w:t>
      </w:r>
      <w:r>
        <w:t xml:space="preserve">Los conceptos de alucinaciones, las cuatro propiedades de CIFRCE, el FODA socrático frente al estático y el principio HITL son exactamente su zona de aprendizaje. El problema es que están sepultados entre pasos que para él son ruido. La señal existe; la relación señal/ruido es baja para su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F06" w:sz="1"/>
              <w:left w:val="single" w:color="B45F06" w:sz="18"/>
              <w:bottom w:val="single" w:color="B45F06" w:sz="1"/>
              <w:right w:val="single" w:color="B45F06" w:sz="1"/>
            </w:tcBorders>
            <w:shd w:fill="F2F5FA" w:val="clear"/>
            <w:tcMar>
              <w:top w:type="dxa" w:w="120"/>
              <w:left w:type="dxa" w:w="180"/>
              <w:bottom w:type="dxa" w:w="120"/>
              <w:right w:type="dxa" w:w="140"/>
            </w:tcMar>
          </w:tcPr>
          <w:p>
            <w:pPr>
              <w:spacing w:after="60"/>
            </w:pPr>
            <w:r>
              <w:rPr>
                <w:b/>
                <w:bCs/>
                <w:color w:val="B45F06"/>
                <w:sz w:val="20"/>
                <w:szCs w:val="20"/>
              </w:rPr>
              <w:t xml:space="preserve">Implicación de rediseño (Rol 2)</w:t>
            </w:r>
          </w:p>
          <w:p>
            <w:pPr>
              <w:spacing w:after="40" w:line="260"/>
            </w:pPr>
            <w:r>
              <w:rPr>
                <w:sz w:val="20"/>
                <w:szCs w:val="20"/>
              </w:rPr>
              <w:t xml:space="preserve">Necesita: una senda “acelerada” que conserve los conceptos de IA y comprima la operativa básica en checklists colapsables marcables; y la posibilidad de declarar competencias ya adquiridas para no repetir lo conocido.</w:t>
            </w:r>
          </w:p>
        </w:tc>
      </w:tr>
    </w:tbl>
    <w:p>
      <w:pPr>
        <w:pStyle w:val="Heading2"/>
      </w:pPr>
      <w:r>
        <w:t xml:space="preserve">4.3 Rol 3 — Empresario que conoce de tecnología y algo de IA</w:t>
      </w:r>
    </w:p>
    <w:p>
      <w:pPr>
        <w:pStyle w:val="ListParagraph"/>
        <w:numPr>
          <w:ilvl w:val="0"/>
          <w:numId w:val="3"/>
        </w:numPr>
        <w:spacing w:after="80" w:line="268"/>
      </w:pPr>
      <w:r>
        <w:rPr>
          <w:b/>
          <w:bCs/>
        </w:rPr>
        <w:t xml:space="preserve">Diagnóstico desaprovechado. </w:t>
      </w:r>
      <w:r>
        <w:t xml:space="preserve">El Módulo 0 detecta correctamente que “integra la IA a flujos”, pero esa detección no se traduce en una experiencia distinta: el sistema no le abre una ruta avanzada ni le oculta lo elemental. El diagnóstico mide, pero no personaliza.</w:t>
      </w:r>
    </w:p>
    <w:p>
      <w:pPr>
        <w:pStyle w:val="ListParagraph"/>
        <w:numPr>
          <w:ilvl w:val="0"/>
          <w:numId w:val="3"/>
        </w:numPr>
        <w:spacing w:after="80" w:line="268"/>
      </w:pPr>
      <w:r>
        <w:rPr>
          <w:b/>
          <w:bCs/>
        </w:rPr>
        <w:t xml:space="preserve">Costo de desplazamiento. </w:t>
      </w:r>
      <w:r>
        <w:t xml:space="preserve">Para llegar a lo que le interesa (Make/n8n avanzado, ROI, prefactibilidad, AIDA) debe atravesar —visual y físicamente— las doce semanas en una sola página. El scroll es un impuesto cognitivo sobre alguien que venía motivado.</w:t>
      </w:r>
    </w:p>
    <w:p>
      <w:pPr>
        <w:pStyle w:val="ListParagraph"/>
        <w:numPr>
          <w:ilvl w:val="0"/>
          <w:numId w:val="3"/>
        </w:numPr>
        <w:spacing w:after="80" w:line="268"/>
      </w:pPr>
      <w:r>
        <w:rPr>
          <w:b/>
          <w:bCs/>
        </w:rPr>
        <w:t xml:space="preserve">Riesgo reputacional del programa. </w:t>
      </w:r>
      <w:r>
        <w:t xml:space="preserve">Si este perfil percibe el curso como “básico” por su forma, puede subestimar la profundidad real del contenido (que sí la tiene: la matriz Kolb–Bloom–Kapur, el tratamiento de sandboxes regulatorios, la Ley 8968). Es decir, la arquitectura está infravendiendo el rigor.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E" w:sz="1"/>
              <w:left w:val="single" w:color="2E6B3E" w:sz="18"/>
              <w:bottom w:val="single" w:color="2E6B3E" w:sz="1"/>
              <w:right w:val="single" w:color="2E6B3E" w:sz="1"/>
            </w:tcBorders>
            <w:shd w:fill="F2F5FA" w:val="clear"/>
            <w:tcMar>
              <w:top w:type="dxa" w:w="120"/>
              <w:left w:type="dxa" w:w="180"/>
              <w:bottom w:type="dxa" w:w="120"/>
              <w:right w:type="dxa" w:w="140"/>
            </w:tcMar>
          </w:tcPr>
          <w:p>
            <w:pPr>
              <w:spacing w:after="60"/>
            </w:pPr>
            <w:r>
              <w:rPr>
                <w:b/>
                <w:bCs/>
                <w:color w:val="2E6B3E"/>
                <w:sz w:val="20"/>
                <w:szCs w:val="20"/>
              </w:rPr>
              <w:t xml:space="preserve">Implicación de rediseño (Rol 3)</w:t>
            </w:r>
          </w:p>
          <w:p>
            <w:pPr>
              <w:spacing w:after="40" w:line="260"/>
            </w:pPr>
            <w:r>
              <w:rPr>
                <w:sz w:val="20"/>
                <w:szCs w:val="20"/>
              </w:rPr>
              <w:t xml:space="preserve">Necesita: una senda “profunda” que enlace directo a Módulos II–III, retos de extensión y la capa teórica avanzada como contenido de primera clase y no como “desplegable” enterrado.</w:t>
            </w:r>
          </w:p>
        </w:tc>
      </w:tr>
    </w:tbl>
    <w:p>
      <w:r>
        <w:br w:type="page"/>
      </w:r>
    </w:p>
    <w:p>
      <w:pPr>
        <w:pStyle w:val="Heading1"/>
      </w:pPr>
      <w:r>
        <w:t xml:space="preserve">5. Hallazgos consolidados (matriz heurística)</w:t>
      </w:r>
    </w:p>
    <w:p>
      <w:pPr>
        <w:spacing w:after="120" w:before="0" w:line="276"/>
      </w:pPr>
      <w:r>
        <w:t xml:space="preserve">Quince hallazgos, ordenados por severidad. La columna “Perfiles” indica a quién golpea con más fuerza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380"/>
        <w:gridCol w:w="2280"/>
        <w:gridCol w:w="720"/>
        <w:gridCol w:w="2360"/>
      </w:tblGrid>
      <w:tr>
        <w:trPr>
          <w:tblHeader/>
        </w:trPr>
        <w:tc>
          <w:tcPr>
            <w:tcW w:type="dxa" w:w="6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ID</w:t>
            </w:r>
          </w:p>
        </w:tc>
        <w:tc>
          <w:tcPr>
            <w:tcW w:type="dxa" w:w="33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Hallazgo</w:t>
            </w:r>
          </w:p>
        </w:tc>
        <w:tc>
          <w:tcPr>
            <w:tcW w:type="dxa" w:w="22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Heurística / principio vulnerado</w:t>
            </w:r>
          </w:p>
        </w:tc>
        <w:tc>
          <w:tcPr>
            <w:tcW w:type="dxa" w:w="7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Sev.</w:t>
            </w:r>
          </w:p>
        </w:tc>
        <w:tc>
          <w:tcPr>
            <w:tcW w:type="dxa" w:w="2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Perfiles</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H1</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Arquitectura monolítica de página única: todo el curso (Toolkit + 3 módulos + metodología) en un único scroll por anclas.</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Visibilidad del estado; reconocimiento antes que recuerdo; minimalismo.</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H2</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Ausencia de gestión de estado y progreso: sin “continuar donde quedé”, sin marcado de completado, sin barra de avance.</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Visibilidad del estado del sistema; SRL (automonitoreo).</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H3</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Fragmentación hacia +30 recursos externos (Canva, YouTube, Padlet, Forms, plantillas HTML, shares de Gemini) sin contenedor ni retorno.</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Control y libertad del usuario; consistencia.</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H4</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Curva de dificultad discontinua: salto de “primera conversación” (S1) a Make con API y manejo de errores (S5–S7) sin peldaños.</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Carga intrínseca mal secuenciada; andamiaje.</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9C2A2A"/>
                <w:sz w:val="20"/>
                <w:szCs w:val="20"/>
              </w:rPr>
              <w:t xml:space="preserve">4</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H5</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Doble esquema de numeración paralelo: Toolkit usa T1-S1…S4 y los módulos reinician en Semana 1…12.</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Consistencia y estándares.</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H6</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Redundancia masiva: la rúbrica analítica de 4 criterios se reimprime íntegra en cada una de las ~16 semanas.</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Minimalismo; carga extrínseca.</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H7</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Vocabulario técnico sin definición en el punto de uso ni glosario (LLM, trigger, router, API, few-shot, webhook).</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Lenguaje del usuario; reconocimiento.</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H8</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Diagnóstico (Mód. 0) sin persistencia ni ruta accionable: entrega un ancla, no una experiencia personalizada y recordada.</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Flexibilidad; SRL (planificación).</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H9</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Sin rutas diferenciadas por perfil ni mecanismo de “test-out” para declarar competencias ya adquiridas.</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Flexibilidad y eficiencia de uso.</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H10</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Contenido pedagógico encerrado en infografías PNG (texto como imagen): inaccesible para lectores de pantalla, no buscable, pesado en móvil.</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Accesibilidad (WCAG); rendimiento.</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H11</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Tablas de 4–5 columnas repetidas, ilegibles en pantalla de teléfono (público MIPYME mayoritariamente móvil).</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Diseño responsive; accesibilidad.</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B45F06"/>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H12</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Un único muro de Padlet recibe las ~16 actividades de “Compartir”, sin estructura por semana.</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Reconocimiento; organización de la información.</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7F6000"/>
                <w:sz w:val="20"/>
                <w:szCs w:val="20"/>
              </w:rPr>
              <w:t xml:space="preserve">2</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H13</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Sin estimación de tiempo/esfuerzo por semana (más allá de porcentajes), clave para planificar en un curso autogestionado.</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Visibilidad del estado; SRL.</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7F6000"/>
                <w:sz w:val="20"/>
                <w:szCs w:val="20"/>
              </w:rPr>
              <w:t xml:space="preserve">2</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H14</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Credencial prometida (menú “Credenciales”) sin un circuito visible de evidencia–revisión–emisión que cierre el bucle motivacional.</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Cierre y recompensa; motivación.</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7F6000"/>
                <w:sz w:val="20"/>
                <w:szCs w:val="20"/>
              </w:rPr>
              <w:t xml:space="preserve">2</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1·2·3</w:t>
            </w:r>
          </w:p>
        </w:tc>
      </w:tr>
      <w:tr>
        <w:tc>
          <w:tcPr>
            <w:tcW w:type="dxa" w:w="6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sz w:val="19"/>
                <w:szCs w:val="19"/>
              </w:rPr>
              <w:t xml:space="preserve">H15</w:t>
            </w:r>
          </w:p>
        </w:tc>
        <w:tc>
          <w:tcPr>
            <w:tcW w:type="dxa" w:w="33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Inconsistencia de metadatos: canonical y URL real difieren (cajaherramientaspymes vs. cajadeherramientasparaemprendedores).</w:t>
            </w:r>
          </w:p>
        </w:tc>
        <w:tc>
          <w:tcPr>
            <w:tcW w:type="dxa" w:w="22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Consistencia técnica; SEO/compartir.</w:t>
            </w:r>
          </w:p>
        </w:tc>
        <w:tc>
          <w:tcPr>
            <w:tcW w:type="dxa" w:w="7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jc w:val="center"/>
            </w:pPr>
            <w:r>
              <w:rPr>
                <w:b/>
                <w:bCs/>
                <w:color w:val="555555"/>
                <w:sz w:val="20"/>
                <w:szCs w:val="20"/>
              </w:rPr>
              <w:t xml:space="preserve">1</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w:t>
            </w:r>
          </w:p>
        </w:tc>
      </w:tr>
    </w:tbl>
    <w:p>
      <w:r>
        <w:br w:type="page"/>
      </w:r>
    </w:p>
    <w:p>
      <w:pPr>
        <w:pStyle w:val="Heading1"/>
      </w:pPr>
      <w:r>
        <w:t xml:space="preserve">6. El problema raíz: de “curso-documento” a “curso-entorno”</w:t>
      </w:r>
    </w:p>
    <w:p>
      <w:pPr>
        <w:spacing w:after="120" w:before="0" w:line="276"/>
      </w:pPr>
      <w:r>
        <w:t xml:space="preserve">Los quince hallazgos no son independientes: la mayoría son síntomas de una sola causa raíz. El sitio fue concebido, implícitamente, como un </w:t>
      </w:r>
      <w:r>
        <w:rPr>
          <w:b/>
          <w:bCs/>
        </w:rPr>
        <w:t xml:space="preserve">documento extenso y excelente que se puede navegar</w:t>
      </w:r>
      <w:r>
        <w:t xml:space="preserve"> —un “curso-documento”—, cuando lo que un proceso de aprendizaje autogestionado de doce semanas requiere es un </w:t>
      </w:r>
      <w:r>
        <w:rPr>
          <w:b/>
          <w:bCs/>
        </w:rPr>
        <w:t xml:space="preserve">entorno que gestione el recorrido de la persona</w:t>
      </w:r>
      <w:r>
        <w:t xml:space="preserve"> —un “curso-entorno”. La diferencia es ontológica, no estética.</w:t>
      </w:r>
    </w:p>
    <w:p>
      <w:pPr>
        <w:spacing w:after="100" w:before="0" w:line="276"/>
      </w:pPr>
      <w:r>
        <w:t xml:space="preserve">Un documento optimiza para la lectura completa y secuencial de un lector presente que no se va. Un entorno de aprendizaje optimiza para sesiones intermitentes de un estudiante que se ausenta y regresa, y por eso debe responder en todo momento a tres preguntas que el documento ignora:</w:t>
      </w:r>
    </w:p>
    <w:p>
      <w:pPr>
        <w:pStyle w:val="ListParagraph"/>
        <w:numPr>
          <w:ilvl w:val="0"/>
          <w:numId w:val="2"/>
        </w:numPr>
        <w:spacing w:after="80" w:line="268"/>
      </w:pPr>
      <w:r>
        <w:t xml:space="preserve">¿Dónde estoy y cuánto he avanzado? (estado y progreso)</w:t>
      </w:r>
    </w:p>
    <w:p>
      <w:pPr>
        <w:pStyle w:val="ListParagraph"/>
        <w:numPr>
          <w:ilvl w:val="0"/>
          <w:numId w:val="2"/>
        </w:numPr>
        <w:spacing w:after="80" w:line="268"/>
      </w:pPr>
      <w:r>
        <w:t xml:space="preserve">¿Qué debo hacer exactamente ahora? (acción siguiente única)</w:t>
      </w:r>
    </w:p>
    <w:p>
      <w:pPr>
        <w:pStyle w:val="ListParagraph"/>
        <w:numPr>
          <w:ilvl w:val="0"/>
          <w:numId w:val="2"/>
        </w:numPr>
        <w:spacing w:after="80" w:line="268"/>
      </w:pPr>
      <w:r>
        <w:t xml:space="preserve">¿Cómo retomo lo que dejé la semana pasada? (memoria y continuidad)</w:t>
      </w:r>
    </w:p>
    <w:p>
      <w:pPr>
        <w:spacing w:after="120" w:before="80" w:line="276"/>
      </w:pPr>
      <w:r>
        <w:rPr>
          <w:i/>
          <w:iCs/>
          <w:color w:val="444444"/>
        </w:rPr>
        <w:t xml:space="preserve">El contenido del programa ya es de nivel de entorno; la carcasa todavía es de nivel de documento. Todo el rediseño de la sección 7 consiste en elevar la carcasa a la altura del contenido.</w:t>
      </w:r>
    </w:p>
    <w:p>
      <w:r>
        <w:br w:type="page"/>
      </w:r>
    </w:p>
    <w:p>
      <w:pPr>
        <w:pStyle w:val="Heading1"/>
      </w:pPr>
      <w:r>
        <w:t xml:space="preserve">7. Propuesta de rediseño hacia un modelo MOOC</w:t>
      </w:r>
    </w:p>
    <w:p>
      <w:pPr>
        <w:spacing w:after="140" w:before="0" w:line="276"/>
      </w:pPr>
      <w:r>
        <w:t xml:space="preserve">Nueve intervenciones. Ninguna altera el contenido ni elimina funcionalidades: lo reorganizan, lo dotan de memoria y lo hacen navegable a la escala de una persona que aprende sola.</w:t>
      </w:r>
    </w:p>
    <w:p>
      <w:pPr>
        <w:pStyle w:val="Heading2"/>
      </w:pPr>
      <w:r>
        <w:t xml:space="preserve">7.1 Nueva arquitectura de información: tres niveles, una lección a la vez</w:t>
      </w:r>
    </w:p>
    <w:p>
      <w:pPr>
        <w:spacing w:after="100" w:before="0" w:line="276"/>
      </w:pPr>
      <w:r>
        <w:t xml:space="preserve">Descomponer la página única en una jerarquía de tres niveles, con una sola unidad de contenido visible en cada momento:</w:t>
      </w:r>
    </w:p>
    <w:p>
      <w:pPr>
        <w:pStyle w:val="ListParagraph"/>
        <w:numPr>
          <w:ilvl w:val="0"/>
          <w:numId w:val="3"/>
        </w:numPr>
        <w:spacing w:after="80" w:line="268"/>
      </w:pPr>
      <w:r>
        <w:rPr>
          <w:b/>
          <w:bCs/>
        </w:rPr>
        <w:t xml:space="preserve">Nivel 1 — Panel del estudiante (home). </w:t>
      </w:r>
      <w:r>
        <w:t xml:space="preserve">Punto de entrada único. Muestra la ruta personalizada, la barra de progreso global, el botón “Continuar” hacia la próxima lección pendiente y el acceso al diagnóstico. Una sola decisión dominante en pantalla.</w:t>
      </w:r>
    </w:p>
    <w:p>
      <w:pPr>
        <w:pStyle w:val="ListParagraph"/>
        <w:numPr>
          <w:ilvl w:val="0"/>
          <w:numId w:val="3"/>
        </w:numPr>
        <w:spacing w:after="80" w:line="268"/>
      </w:pPr>
      <w:r>
        <w:rPr>
          <w:b/>
          <w:bCs/>
        </w:rPr>
        <w:t xml:space="preserve">Nivel 2 — Vista de módulo. </w:t>
      </w:r>
      <w:r>
        <w:t xml:space="preserve">Lista de las semanas del módulo con su estado (bloqueada / disponible / en curso / completada), objetivo y entregable de cada una, y progreso del módulo.</w:t>
      </w:r>
    </w:p>
    <w:p>
      <w:pPr>
        <w:pStyle w:val="ListParagraph"/>
        <w:numPr>
          <w:ilvl w:val="0"/>
          <w:numId w:val="3"/>
        </w:numPr>
        <w:spacing w:after="80" w:line="268"/>
      </w:pPr>
      <w:r>
        <w:rPr>
          <w:b/>
          <w:bCs/>
        </w:rPr>
        <w:t xml:space="preserve">Nivel 3 — Lección (la semana). </w:t>
      </w:r>
      <w:r>
        <w:t xml:space="preserve">Una única semana ocupa toda la pantalla, con su ciclo RHEC. Navegación lineal explícita “‹ Anterior · Siguiente ›” y “marcar como completada”. El scroll se reduce de “todo el curso” a “una semana”.</w:t>
      </w:r>
    </w:p>
    <w:p>
      <w:pPr>
        <w:spacing w:after="120" w:before="60" w:line="276"/>
      </w:pPr>
      <w:r>
        <w:rPr>
          <w:i/>
          <w:iCs/>
          <w:color w:val="555555"/>
          <w:sz w:val="20"/>
          <w:szCs w:val="20"/>
        </w:rPr>
        <w:t xml:space="preserve">Implementación pragmática: dado que el sitio es estático (GitHub Pages), cada lección puede ser una página independiente, o bien mantenerse una SPA donde JavaScript muestre/oculte una lección por vez. Ambas rutas son viables sin backend.</w:t>
      </w:r>
    </w:p>
    <w:p>
      <w:pPr>
        <w:pStyle w:val="Heading2"/>
      </w:pPr>
      <w:r>
        <w:t xml:space="preserve">7.2 Plantilla canónica única de lección</w:t>
      </w:r>
    </w:p>
    <w:p>
      <w:pPr>
        <w:spacing w:after="100" w:before="0" w:line="276"/>
      </w:pPr>
      <w:r>
        <w:t xml:space="preserve">Hoy cada semana repite, con variaciones, la misma estructura y reimprime la rúbrica completa (H6). Definir una sola plantilla, idéntica en las 16 lecciones, reduce la carga extrínseca y vuelve el curso predecible —el estudiante aprende la interfaz una vez:</w:t>
      </w:r>
    </w:p>
    <w:p>
      <w:pPr>
        <w:pStyle w:val="ListParagraph"/>
        <w:numPr>
          <w:ilvl w:val="0"/>
          <w:numId w:val="3"/>
        </w:numPr>
        <w:spacing w:after="80" w:line="268"/>
      </w:pPr>
      <w:r>
        <w:t xml:space="preserve">Encabezado fijo: módulo · semana N de 12 · objetivo de la semana · tiempo estimado · entregable.</w:t>
      </w:r>
    </w:p>
    <w:p>
      <w:pPr>
        <w:pStyle w:val="ListParagraph"/>
        <w:numPr>
          <w:ilvl w:val="0"/>
          <w:numId w:val="3"/>
        </w:numPr>
        <w:spacing w:after="80" w:line="268"/>
      </w:pPr>
      <w:r>
        <w:t xml:space="preserve">Cuerpo RHEC en pestañas o acordeón: Reto → Hacer → Entender → Compartir. Una fase abierta a la vez; el estudiante avanza fase por fase en lugar de enfrentar todo el texto de golpe.</w:t>
      </w:r>
    </w:p>
    <w:p>
      <w:pPr>
        <w:pStyle w:val="ListParagraph"/>
        <w:numPr>
          <w:ilvl w:val="0"/>
          <w:numId w:val="3"/>
        </w:numPr>
        <w:spacing w:after="80" w:line="268"/>
      </w:pPr>
      <w:r>
        <w:t xml:space="preserve">Rúbrica: enlace o panel colapsable “Ver rúbrica del entregable” que invoca una única rúbrica canónica, no 16 copias incrustadas.</w:t>
      </w:r>
    </w:p>
    <w:p>
      <w:pPr>
        <w:pStyle w:val="ListParagraph"/>
        <w:numPr>
          <w:ilvl w:val="0"/>
          <w:numId w:val="3"/>
        </w:numPr>
        <w:spacing w:after="80" w:line="268"/>
      </w:pPr>
      <w:r>
        <w:t xml:space="preserve">Pie fijo: “Marcar como completada” + navegación Anterior/Siguiente + enlace a la lección de Compartir.</w:t>
      </w:r>
    </w:p>
    <w:p>
      <w:pPr>
        <w:pStyle w:val="Heading2"/>
      </w:pPr>
      <w:r>
        <w:t xml:space="preserve">7.3 Gestión de estado y progreso (la pieza ausente más crítica)</w:t>
      </w:r>
    </w:p>
    <w:p>
      <w:pPr>
        <w:spacing w:after="100" w:before="0" w:line="276"/>
      </w:pPr>
      <w:r>
        <w:t xml:space="preserve">Introducir memoria de aprendizaje del lado del cliente (localStorage), sin necesidad de cuentas ni servidor:</w:t>
      </w:r>
    </w:p>
    <w:p>
      <w:pPr>
        <w:pStyle w:val="ListParagraph"/>
        <w:numPr>
          <w:ilvl w:val="0"/>
          <w:numId w:val="3"/>
        </w:numPr>
        <w:spacing w:after="80" w:line="268"/>
      </w:pPr>
      <w:r>
        <w:t xml:space="preserve">Marcado de lecciones completadas, persistente entre sesiones y dispositivos del mismo navegador.</w:t>
      </w:r>
    </w:p>
    <w:p>
      <w:pPr>
        <w:pStyle w:val="ListParagraph"/>
        <w:numPr>
          <w:ilvl w:val="0"/>
          <w:numId w:val="3"/>
        </w:numPr>
        <w:spacing w:after="80" w:line="268"/>
      </w:pPr>
      <w:r>
        <w:t xml:space="preserve">Botón “Continuar” en el panel que lleva exactamente a la próxima lección pendiente: responde a “¿dónde quedé?” en un clic.</w:t>
      </w:r>
    </w:p>
    <w:p>
      <w:pPr>
        <w:pStyle w:val="ListParagraph"/>
        <w:numPr>
          <w:ilvl w:val="0"/>
          <w:numId w:val="3"/>
        </w:numPr>
        <w:spacing w:after="80" w:line="268"/>
      </w:pPr>
      <w:r>
        <w:t xml:space="preserve">Barras de progreso por módulo y global, visibles siempre: responden a “¿cuánto me falta?” y sostienen la motivación.</w:t>
      </w:r>
    </w:p>
    <w:p>
      <w:pPr>
        <w:pStyle w:val="ListParagraph"/>
        <w:numPr>
          <w:ilvl w:val="0"/>
          <w:numId w:val="3"/>
        </w:numPr>
        <w:spacing w:after="80" w:line="268"/>
      </w:pPr>
      <w:r>
        <w:t xml:space="preserve">Casilleros de entregable por semana (la persona anota el enlace a su evidencia) que alimentan, al final, una vista de “portafolio” para la credencial.</w:t>
      </w:r>
    </w:p>
    <w:p>
      <w:pPr>
        <w:spacing w:after="120" w:before="60" w:line="276"/>
      </w:pPr>
      <w:r>
        <w:rPr>
          <w:i/>
          <w:iCs/>
          <w:color w:val="555555"/>
          <w:sz w:val="20"/>
          <w:szCs w:val="20"/>
        </w:rPr>
        <w:t xml:space="preserve">Nota: localStorage es la vía adecuada para un sitio estático; si en el futuro se desea progreso multidispositivo real o emisión formal de credenciales, se valoraría una capa ligera de autenticación.</w:t>
      </w:r>
    </w:p>
    <w:p>
      <w:pPr>
        <w:pStyle w:val="Heading2"/>
      </w:pPr>
      <w:r>
        <w:t xml:space="preserve">7.4 Onboarding y diagnóstico persistente</w:t>
      </w:r>
    </w:p>
    <w:p>
      <w:pPr>
        <w:pStyle w:val="ListParagraph"/>
        <w:numPr>
          <w:ilvl w:val="0"/>
          <w:numId w:val="3"/>
        </w:numPr>
        <w:spacing w:after="80" w:line="268"/>
      </w:pPr>
      <w:r>
        <w:t xml:space="preserve">Conservar el cuestionario de tres preguntas (es un acierto), pero guardar su resultado y traducirlo en una ruta marcada visualmente y recordada en cada visita.</w:t>
      </w:r>
    </w:p>
    <w:p>
      <w:pPr>
        <w:pStyle w:val="ListParagraph"/>
        <w:numPr>
          <w:ilvl w:val="0"/>
          <w:numId w:val="3"/>
        </w:numPr>
        <w:spacing w:after="80" w:line="268"/>
      </w:pPr>
      <w:r>
        <w:t xml:space="preserve">El resultado deja de ser un ancla y pasa a configurar el panel: resalta el punto de partida, atenúa lo no recomendado y propone la primera acción concreta.</w:t>
      </w:r>
    </w:p>
    <w:p>
      <w:pPr>
        <w:pStyle w:val="Heading2"/>
      </w:pPr>
      <w:r>
        <w:t xml:space="preserve">7.5 Tres sendas sobre un mismo contenido</w:t>
      </w:r>
    </w:p>
    <w:p>
      <w:pPr>
        <w:spacing w:after="100" w:before="0" w:line="276"/>
      </w:pPr>
      <w:r>
        <w:t xml:space="preserve">La intervención que resuelve directamente la consigna de las tres personas. Una misma base de contenido, tres recorridos sugeridos (no muros: el curso completo sigue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Senda</w:t>
            </w:r>
          </w:p>
        </w:tc>
        <w:tc>
          <w:tcPr>
            <w:tcW w:type="dxa" w:w="393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Para quién</w:t>
            </w:r>
          </w:p>
        </w:tc>
        <w:tc>
          <w:tcPr>
            <w:tcW w:type="dxa" w:w="393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Qué cambia respecto del recorrido lineal</w:t>
            </w:r>
          </w:p>
        </w:tc>
      </w:tr>
      <w:tr>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52"/>
            </w:pPr>
            <w:r>
              <w:rPr>
                <w:b/>
                <w:bCs/>
                <w:sz w:val="19"/>
                <w:szCs w:val="19"/>
              </w:rPr>
              <w:t xml:space="preserve">Guiada</w:t>
            </w:r>
          </w:p>
        </w:tc>
        <w:tc>
          <w:tcPr>
            <w:tcW w:type="dxa" w:w="39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Rol 1 — cero tech/IA</w:t>
            </w:r>
          </w:p>
        </w:tc>
        <w:tc>
          <w:tcPr>
            <w:tcW w:type="dxa" w:w="39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Glosario emergente activado; peldaños intermedios antes del Módulo II; “siguiente paso” único siempre visible; lenguaje aún más llano en los encabezados.</w:t>
            </w:r>
          </w:p>
        </w:tc>
      </w:tr>
      <w:tr>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52"/>
            </w:pPr>
            <w:r>
              <w:rPr>
                <w:b/>
                <w:bCs/>
                <w:sz w:val="19"/>
                <w:szCs w:val="19"/>
              </w:rPr>
              <w:t xml:space="preserve">Acelerada</w:t>
            </w:r>
          </w:p>
        </w:tc>
        <w:tc>
          <w:tcPr>
            <w:tcW w:type="dxa" w:w="39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Rol 2 — tech sí, IA no</w:t>
            </w:r>
          </w:p>
        </w:tc>
        <w:tc>
          <w:tcPr>
            <w:tcW w:type="dxa" w:w="39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Operativa básica (cuentas, 2FA) en checklists colapsables marcables; conceptos de IA en primer plano; test-out para declarar lo ya sabido.</w:t>
            </w:r>
          </w:p>
        </w:tc>
      </w:tr>
      <w:tr>
        <w:tc>
          <w:tcPr>
            <w:tcW w:type="dxa" w:w="15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52"/>
            </w:pPr>
            <w:r>
              <w:rPr>
                <w:b/>
                <w:bCs/>
                <w:sz w:val="19"/>
                <w:szCs w:val="19"/>
              </w:rPr>
              <w:t xml:space="preserve">Profunda</w:t>
            </w:r>
          </w:p>
        </w:tc>
        <w:tc>
          <w:tcPr>
            <w:tcW w:type="dxa" w:w="39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Rol 3 — tech + algo de IA</w:t>
            </w:r>
          </w:p>
        </w:tc>
        <w:tc>
          <w:tcPr>
            <w:tcW w:type="dxa" w:w="39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Acceso directo a Módulos II–III; capa teórica avanzada (Kolb–Bloom–Kapur, sandboxes) como contenido de primera clase; retos de extensión.</w:t>
            </w:r>
          </w:p>
        </w:tc>
      </w:tr>
    </w:tbl>
    <w:p>
      <w:pPr>
        <w:pStyle w:val="Heading2"/>
      </w:pPr>
      <w:r>
        <w:t xml:space="preserve">7.6 Consolidación de los recursos externos</w:t>
      </w:r>
    </w:p>
    <w:p>
      <w:pPr>
        <w:pStyle w:val="ListParagraph"/>
        <w:numPr>
          <w:ilvl w:val="0"/>
          <w:numId w:val="3"/>
        </w:numPr>
        <w:spacing w:after="80" w:line="268"/>
      </w:pPr>
      <w:r>
        <w:t xml:space="preserve">Crear una Biblioteca interna única, organizada por módulo y semana, como índice de todos los videos, plantillas y enlaces, en lugar de dispersarlos al pie de cada sección.</w:t>
      </w:r>
    </w:p>
    <w:p>
      <w:pPr>
        <w:pStyle w:val="ListParagraph"/>
        <w:numPr>
          <w:ilvl w:val="0"/>
          <w:numId w:val="3"/>
        </w:numPr>
        <w:spacing w:after="80" w:line="268"/>
      </w:pPr>
      <w:r>
        <w:t xml:space="preserve">Abrir los recursos externos en pestaña nueva con una migaja de retorno clara (“‹ Volver a la Semana 5”), de modo que la persona nunca quede varada fuera del curso.</w:t>
      </w:r>
    </w:p>
    <w:p>
      <w:pPr>
        <w:pStyle w:val="ListParagraph"/>
        <w:numPr>
          <w:ilvl w:val="0"/>
          <w:numId w:val="3"/>
        </w:numPr>
        <w:spacing w:after="80" w:line="268"/>
      </w:pPr>
      <w:r>
        <w:t xml:space="preserve">Unificar las plantillas y rúbricas (hoy páginas HTML sueltas) bajo un mismo patrón visual y de navegación que el resto del sitio.</w:t>
      </w:r>
    </w:p>
    <w:p>
      <w:pPr>
        <w:pStyle w:val="Heading2"/>
      </w:pPr>
      <w:r>
        <w:t xml:space="preserve">7.7 Reducción de la carga cognitiva extrínseca</w:t>
      </w:r>
    </w:p>
    <w:p>
      <w:pPr>
        <w:pStyle w:val="ListParagraph"/>
        <w:numPr>
          <w:ilvl w:val="0"/>
          <w:numId w:val="3"/>
        </w:numPr>
        <w:spacing w:after="80" w:line="268"/>
      </w:pPr>
      <w:r>
        <w:t xml:space="preserve">Rúbrica canónica única (elimina H6) referenciada desde cada lección.</w:t>
      </w:r>
    </w:p>
    <w:p>
      <w:pPr>
        <w:pStyle w:val="ListParagraph"/>
        <w:numPr>
          <w:ilvl w:val="0"/>
          <w:numId w:val="3"/>
        </w:numPr>
        <w:spacing w:after="80" w:line="268"/>
      </w:pPr>
      <w:r>
        <w:t xml:space="preserve">Numeración unificada (elimina H5): renombrar el Toolkit como </w:t>
      </w:r>
      <w:r>
        <w:rPr>
          <w:b/>
          <w:bCs/>
        </w:rPr>
        <w:t xml:space="preserve">Semanas 0.1–0.4</w:t>
      </w:r>
      <w:r>
        <w:t xml:space="preserve"> o “Semanas A–D”, de modo que exista una sola línea temporal legible. Ver Anexo A.</w:t>
      </w:r>
    </w:p>
    <w:p>
      <w:pPr>
        <w:pStyle w:val="ListParagraph"/>
        <w:numPr>
          <w:ilvl w:val="0"/>
          <w:numId w:val="3"/>
        </w:numPr>
        <w:spacing w:after="80" w:line="268"/>
      </w:pPr>
      <w:r>
        <w:t xml:space="preserve">Glosario emergente: cada término técnico, en su primera aparición, abre una definición breve al pasar el cursor o tocar, sin abandonar la lección (atiende H7).</w:t>
      </w:r>
    </w:p>
    <w:p>
      <w:pPr>
        <w:pStyle w:val="Heading2"/>
      </w:pPr>
      <w:r>
        <w:t xml:space="preserve">7.8 Diseño móvil y accesibilidad</w:t>
      </w:r>
    </w:p>
    <w:p>
      <w:pPr>
        <w:pStyle w:val="ListParagraph"/>
        <w:numPr>
          <w:ilvl w:val="0"/>
          <w:numId w:val="3"/>
        </w:numPr>
        <w:spacing w:after="80" w:line="268"/>
      </w:pPr>
      <w:r>
        <w:rPr>
          <w:b/>
          <w:bCs/>
        </w:rPr>
        <w:t xml:space="preserve">Liberar el texto de las infografías (H10): </w:t>
      </w:r>
      <w:r>
        <w:t xml:space="preserve">acompañar cada PNG con su contenido en HTML real (o, como mínimo, un texto alternativo extenso y una transcripción), para hacerlo buscable, accesible a lectores de pantalla y legible en móvil.</w:t>
      </w:r>
    </w:p>
    <w:p>
      <w:pPr>
        <w:pStyle w:val="ListParagraph"/>
        <w:numPr>
          <w:ilvl w:val="0"/>
          <w:numId w:val="3"/>
        </w:numPr>
        <w:spacing w:after="80" w:line="268"/>
      </w:pPr>
      <w:r>
        <w:rPr>
          <w:b/>
          <w:bCs/>
        </w:rPr>
        <w:t xml:space="preserve">Tablas responsivas (H11): </w:t>
      </w:r>
      <w:r>
        <w:t xml:space="preserve">convertir las tablas de 4–5 columnas en tarjetas apiladas en pantallas pequeñas; el público MIPYME accede mayoritariamente desde el teléfono.</w:t>
      </w:r>
    </w:p>
    <w:p>
      <w:pPr>
        <w:pStyle w:val="ListParagraph"/>
        <w:numPr>
          <w:ilvl w:val="0"/>
          <w:numId w:val="3"/>
        </w:numPr>
        <w:spacing w:after="80" w:line="268"/>
      </w:pPr>
      <w:r>
        <w:t xml:space="preserve">Verificar contraste, tamaño de toque y orden de foco conforme a WCAG 2.1 AA.</w:t>
      </w:r>
    </w:p>
    <w:p>
      <w:pPr>
        <w:pStyle w:val="Heading2"/>
      </w:pPr>
      <w:r>
        <w:t xml:space="preserve">7.9 Cierre del bucle motivacional y credencial</w:t>
      </w:r>
    </w:p>
    <w:p>
      <w:pPr>
        <w:pStyle w:val="ListParagraph"/>
        <w:numPr>
          <w:ilvl w:val="0"/>
          <w:numId w:val="3"/>
        </w:numPr>
        <w:spacing w:after="80" w:line="268"/>
      </w:pPr>
      <w:r>
        <w:t xml:space="preserve">Hacer visible el circuito evidencia → autoevaluación con rúbrica → registro en portafolio → credencial, de modo que el menú “Credenciales” (H14) tenga un camino tangible que lo respalde.</w:t>
      </w:r>
    </w:p>
    <w:p>
      <w:pPr>
        <w:pStyle w:val="ListParagraph"/>
        <w:numPr>
          <w:ilvl w:val="0"/>
          <w:numId w:val="3"/>
        </w:numPr>
        <w:spacing w:after="80" w:line="268"/>
      </w:pPr>
      <w:r>
        <w:t xml:space="preserve">Micro-reconocimientos por módulo completado (insignia o hito en el panel) que sostengan el avance en un curso largo y sin tutor.</w:t>
      </w:r>
    </w:p>
    <w:p>
      <w:pPr>
        <w:pStyle w:val="ListParagraph"/>
        <w:numPr>
          <w:ilvl w:val="0"/>
          <w:numId w:val="3"/>
        </w:numPr>
        <w:spacing w:after="80" w:line="268"/>
      </w:pPr>
      <w:r>
        <w:t xml:space="preserve">Estimación de tiempo por semana (H13) en el encabezado de cada lección, para que la persona pueda planificar sus sesiones.</w:t>
      </w:r>
    </w:p>
    <w:p>
      <w:r>
        <w:br w:type="page"/>
      </w:r>
    </w:p>
    <w:p>
      <w:pPr>
        <w:pStyle w:val="Heading1"/>
      </w:pPr>
      <w:r>
        <w:t xml:space="preserve">8. Priorización: hoja de ruta por olas (impacto × esfuerzo)</w:t>
      </w:r>
    </w:p>
    <w:p>
      <w:pPr>
        <w:spacing w:after="120" w:before="0" w:line="276"/>
      </w:pPr>
      <w:r>
        <w:t xml:space="preserve">Secuencia recomendada en tres olas. La Ola 1 entrega la mayor reducción de “pérdida” con el menor esfuerzo; la Ola 2 es la refactorización estructural; la Ola 3 diferencia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1020"/>
        <w:gridCol w:w="1020"/>
        <w:gridCol w:w="30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Ola</w:t>
            </w:r>
          </w:p>
        </w:tc>
        <w:tc>
          <w:tcPr>
            <w:tcW w:type="dxa" w:w="3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Intervención</w:t>
            </w:r>
          </w:p>
        </w:tc>
        <w:tc>
          <w:tcPr>
            <w:tcW w:type="dxa" w:w="10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Impacto</w:t>
            </w:r>
          </w:p>
        </w:tc>
        <w:tc>
          <w:tcPr>
            <w:tcW w:type="dxa" w:w="10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Esfuerzo</w:t>
            </w:r>
          </w:p>
        </w:tc>
        <w:tc>
          <w:tcPr>
            <w:tcW w:type="dxa" w:w="30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Hallazgos que resuelve</w:t>
            </w:r>
          </w:p>
        </w:tc>
      </w:tr>
      <w:tr>
        <w:tc>
          <w:tcPr>
            <w:tcW w:type="dxa" w:w="9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sz w:val="19"/>
                <w:szCs w:val="19"/>
              </w:rPr>
              <w:t xml:space="preserve">1</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Estado y progreso (localStorage): completado, “Continuar”, barras de avance.</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Muy 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H2, H13</w:t>
            </w:r>
          </w:p>
        </w:tc>
      </w:tr>
      <w:tr>
        <w:tc>
          <w:tcPr>
            <w:tcW w:type="dxa" w:w="9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sz w:val="19"/>
                <w:szCs w:val="19"/>
              </w:rPr>
              <w:t xml:space="preserve">1</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Plantilla canónica de lección + rúbrica única + RHEC en pestañas.</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H6, parte de H1</w:t>
            </w:r>
          </w:p>
        </w:tc>
      </w:tr>
      <w:tr>
        <w:tc>
          <w:tcPr>
            <w:tcW w:type="dxa" w:w="9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sz w:val="19"/>
                <w:szCs w:val="19"/>
              </w:rPr>
              <w:t xml:space="preserve">1</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Numeración unificada y glosario emergente.</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Bajo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H5, H7</w:t>
            </w:r>
          </w:p>
        </w:tc>
      </w:tr>
      <w:tr>
        <w:tc>
          <w:tcPr>
            <w:tcW w:type="dxa" w:w="9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sz w:val="19"/>
                <w:szCs w:val="19"/>
              </w:rPr>
              <w:t xml:space="preserve">1</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Estimaciones de tiempo por semana.</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Bajo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H13</w:t>
            </w:r>
          </w:p>
        </w:tc>
      </w:tr>
      <w:tr>
        <w:tc>
          <w:tcPr>
            <w:tcW w:type="dxa" w:w="9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sz w:val="19"/>
                <w:szCs w:val="19"/>
              </w:rPr>
              <w:t xml:space="preserve">2</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Descomposición de la página única en tres niveles (panel → módulo → lección).</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Muy 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H1, H3</w:t>
            </w:r>
          </w:p>
        </w:tc>
      </w:tr>
      <w:tr>
        <w:tc>
          <w:tcPr>
            <w:tcW w:type="dxa" w:w="9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sz w:val="19"/>
                <w:szCs w:val="19"/>
              </w:rPr>
              <w:t xml:space="preserve">2</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Diagnóstico persistente que configura el panel.</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H8</w:t>
            </w:r>
          </w:p>
        </w:tc>
      </w:tr>
      <w:tr>
        <w:tc>
          <w:tcPr>
            <w:tcW w:type="dxa" w:w="9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sz w:val="19"/>
                <w:szCs w:val="19"/>
              </w:rPr>
              <w:t xml:space="preserve">2</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Biblioteca interna + migajas de retorno para recursos externos.</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H3</w:t>
            </w:r>
          </w:p>
        </w:tc>
      </w:tr>
      <w:tr>
        <w:tc>
          <w:tcPr>
            <w:tcW w:type="dxa" w:w="9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sz w:val="19"/>
                <w:szCs w:val="19"/>
              </w:rPr>
              <w:t xml:space="preserve">2</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Liberar texto de infografías + tablas responsivas.</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H10, H11</w:t>
            </w:r>
          </w:p>
        </w:tc>
      </w:tr>
      <w:tr>
        <w:tc>
          <w:tcPr>
            <w:tcW w:type="dxa" w:w="9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vAlign w:val="center"/>
          </w:tcPr>
          <w:p>
            <w:pPr>
              <w:spacing w:after="0" w:line="252"/>
              <w:jc w:val="center"/>
            </w:pPr>
            <w:r>
              <w:rPr>
                <w:b/>
                <w:bCs/>
                <w:sz w:val="19"/>
                <w:szCs w:val="19"/>
              </w:rPr>
              <w:t xml:space="preserve">3</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Tres sendas por perfil (Guiada / Acelerada / Profunda) + test-out.</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Muy 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H4, H9</w:t>
            </w:r>
          </w:p>
        </w:tc>
      </w:tr>
      <w:tr>
        <w:tc>
          <w:tcPr>
            <w:tcW w:type="dxa" w:w="9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vAlign w:val="center"/>
          </w:tcPr>
          <w:p>
            <w:pPr>
              <w:spacing w:after="0" w:line="252"/>
              <w:jc w:val="center"/>
            </w:pPr>
            <w:r>
              <w:rPr>
                <w:b/>
                <w:bCs/>
                <w:sz w:val="19"/>
                <w:szCs w:val="19"/>
              </w:rPr>
              <w:t xml:space="preserve">3</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Peldaños intermedios de dificultad antes del Módulo II.</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Alto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H4</w:t>
            </w:r>
          </w:p>
        </w:tc>
      </w:tr>
      <w:tr>
        <w:tc>
          <w:tcPr>
            <w:tcW w:type="dxa" w:w="9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vAlign w:val="center"/>
          </w:tcPr>
          <w:p>
            <w:pPr>
              <w:spacing w:after="0" w:line="252"/>
              <w:jc w:val="center"/>
            </w:pPr>
            <w:r>
              <w:rPr>
                <w:b/>
                <w:bCs/>
                <w:sz w:val="19"/>
                <w:szCs w:val="19"/>
              </w:rPr>
              <w:t xml:space="preserve">3</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Circuito de evidencia–portafolio–credencial + micro-reconocimientos.</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Medio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H14</w:t>
            </w:r>
          </w:p>
        </w:tc>
      </w:tr>
      <w:tr>
        <w:tc>
          <w:tcPr>
            <w:tcW w:type="dxa" w:w="9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vAlign w:val="center"/>
          </w:tcPr>
          <w:p>
            <w:pPr>
              <w:spacing w:after="0" w:line="252"/>
              <w:jc w:val="center"/>
            </w:pPr>
            <w:r>
              <w:rPr>
                <w:b/>
                <w:bCs/>
                <w:sz w:val="19"/>
                <w:szCs w:val="19"/>
              </w:rPr>
              <w:t xml:space="preserve">3</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Estructurar Compartir por semana; corregir metadatos canonical.</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Bajo</w:t>
            </w:r>
          </w:p>
        </w:tc>
        <w:tc>
          <w:tcPr>
            <w:tcW w:type="dxa" w:w="10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Bajo</w:t>
            </w:r>
          </w:p>
        </w:tc>
        <w:tc>
          <w:tcPr>
            <w:tcW w:type="dxa" w:w="3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sz w:val="19"/>
                <w:szCs w:val="19"/>
              </w:rPr>
              <w:t xml:space="preserve">H12, H15</w:t>
            </w:r>
          </w:p>
        </w:tc>
      </w:tr>
    </w:tbl>
    <w:p>
      <w:pPr>
        <w:spacing w:after="120" w:before="80" w:line="276"/>
      </w:pPr>
      <w:r>
        <w:rPr>
          <w:i/>
          <w:iCs/>
          <w:color w:val="555555"/>
          <w:sz w:val="20"/>
          <w:szCs w:val="20"/>
        </w:rPr>
        <w:t xml:space="preserve">Criterio de secuenciación: la Ola 1 puede implementarse sobre la página única actual sin reescribir la arquitectura, comprando tiempo y demostrando valor antes de la refactorización mayor de la Ola 2.</w:t>
      </w:r>
    </w:p>
    <w:p>
      <w:r>
        <w:br w:type="page"/>
      </w:r>
    </w:p>
    <w:p>
      <w:pPr>
        <w:pStyle w:val="Heading1"/>
      </w:pPr>
      <w:r>
        <w:t xml:space="preserve">9. Qué preservar intacto</w:t>
      </w:r>
    </w:p>
    <w:p>
      <w:pPr>
        <w:spacing w:after="120" w:before="0" w:line="276"/>
      </w:pPr>
      <w:r>
        <w:t xml:space="preserve">Esta auditoría es deliberadamente asimétrica: critica con dureza el continente porque el contenido lo merece. Los siguientes activos son la razón por la que el rediseño vale la pena, y no deben tocarse en su sustancia:</w:t>
      </w:r>
    </w:p>
    <w:p>
      <w:pPr>
        <w:pStyle w:val="ListParagraph"/>
        <w:numPr>
          <w:ilvl w:val="0"/>
          <w:numId w:val="3"/>
        </w:numPr>
        <w:spacing w:after="80" w:line="268"/>
      </w:pPr>
      <w:r>
        <w:rPr>
          <w:b/>
          <w:bCs/>
        </w:rPr>
        <w:t xml:space="preserve">El ciclo RHEC </w:t>
      </w:r>
      <w:r>
        <w:t xml:space="preserve">(Reto–Hacer–Entender–Compartir) y su fundamento Kolb–Bloom–Kapur. Invertir la práctica antes que la teoría está bien argumentado y es un diferenciador real.</w:t>
      </w:r>
    </w:p>
    <w:p>
      <w:pPr>
        <w:pStyle w:val="ListParagraph"/>
        <w:numPr>
          <w:ilvl w:val="0"/>
          <w:numId w:val="3"/>
        </w:numPr>
        <w:spacing w:after="80" w:line="268"/>
      </w:pPr>
      <w:r>
        <w:rPr>
          <w:b/>
          <w:bCs/>
        </w:rPr>
        <w:t xml:space="preserve">El modelo CIFRCE </w:t>
      </w:r>
      <w:r>
        <w:t xml:space="preserve">y su introducción gradual (C+I primero; F, R, CE después). Es un andamiaje de prompting sobresaliente.</w:t>
      </w:r>
    </w:p>
    <w:p>
      <w:pPr>
        <w:pStyle w:val="ListParagraph"/>
        <w:numPr>
          <w:ilvl w:val="0"/>
          <w:numId w:val="3"/>
        </w:numPr>
        <w:spacing w:after="80" w:line="268"/>
      </w:pPr>
      <w:r>
        <w:rPr>
          <w:b/>
          <w:bCs/>
        </w:rPr>
        <w:t xml:space="preserve">El principio Human-in-the-Loop </w:t>
      </w:r>
      <w:r>
        <w:t xml:space="preserve">aplicado de forma transversal y anclado a la Ley 8968. Da identidad ética al programa.</w:t>
      </w:r>
    </w:p>
    <w:p>
      <w:pPr>
        <w:pStyle w:val="ListParagraph"/>
        <w:numPr>
          <w:ilvl w:val="0"/>
          <w:numId w:val="3"/>
        </w:numPr>
        <w:spacing w:after="80" w:line="268"/>
      </w:pPr>
      <w:r>
        <w:rPr>
          <w:b/>
          <w:bCs/>
        </w:rPr>
        <w:t xml:space="preserve">La regla 70/30 y la lógica “primero el proceso, después la IA”. </w:t>
      </w:r>
      <w:r>
        <w:t xml:space="preserve">Es el corazón conceptual y debe seguir siendo visible.</w:t>
      </w:r>
    </w:p>
    <w:p>
      <w:pPr>
        <w:pStyle w:val="ListParagraph"/>
        <w:numPr>
          <w:ilvl w:val="0"/>
          <w:numId w:val="3"/>
        </w:numPr>
        <w:spacing w:after="80" w:line="268"/>
      </w:pPr>
      <w:r>
        <w:rPr>
          <w:b/>
          <w:bCs/>
        </w:rPr>
        <w:t xml:space="preserve">La rúbrica analítica de cuatro criterios y la matriz de alineación pedagógica. </w:t>
      </w:r>
      <w:r>
        <w:t xml:space="preserve">Aportan rigor evaluativo; el problema era su repetición, no su existencia.</w:t>
      </w:r>
    </w:p>
    <w:p>
      <w:pPr>
        <w:pStyle w:val="ListParagraph"/>
        <w:numPr>
          <w:ilvl w:val="0"/>
          <w:numId w:val="3"/>
        </w:numPr>
        <w:spacing w:after="80" w:line="268"/>
      </w:pPr>
      <w:r>
        <w:rPr>
          <w:b/>
          <w:bCs/>
        </w:rPr>
        <w:t xml:space="preserve">El énfasis recurrente en privacidad, anonimización y transparencia de contenido sintético. </w:t>
      </w:r>
      <w:r>
        <w:t xml:space="preserve">Es un sello de responsabilidad coherente con la misión de la UCR.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8"/>
              <w:bottom w:val="single" w:color="2E5496" w:sz="1"/>
              <w:right w:val="single" w:color="2E5496" w:sz="1"/>
            </w:tcBorders>
            <w:shd w:fill="F2F5FA" w:val="clear"/>
            <w:tcMar>
              <w:top w:type="dxa" w:w="120"/>
              <w:left w:type="dxa" w:w="180"/>
              <w:bottom w:type="dxa" w:w="120"/>
              <w:right w:type="dxa" w:w="140"/>
            </w:tcMar>
          </w:tcPr>
          <w:p>
            <w:pPr>
              <w:spacing w:after="60"/>
            </w:pPr>
            <w:r>
              <w:rPr>
                <w:b/>
                <w:bCs/>
                <w:color w:val="2E5496"/>
                <w:sz w:val="20"/>
                <w:szCs w:val="20"/>
              </w:rPr>
              <w:t xml:space="preserve">Mensaje para el equipo de desarrollo</w:t>
            </w:r>
          </w:p>
          <w:p>
            <w:pPr>
              <w:spacing w:after="40" w:line="260"/>
            </w:pPr>
            <w:r>
              <w:rPr>
                <w:sz w:val="20"/>
                <w:szCs w:val="20"/>
              </w:rPr>
              <w:t xml:space="preserve">El rediseño no “simplifica el curso” en el sentido de empobrecerlo. Reduce la carga extrínseca (la que impone el diseño) para liberar capacidad cognitiva hacia la carga intrínseca (aprender IA, que es el objetivo). Menos fricción de navegación = más profundidad de aprendizaje. Rigor y sencillez no están en conflicto: la sencillez de la interfaz es precondición del rigor del contenido.</w:t>
            </w:r>
          </w:p>
        </w:tc>
      </w:tr>
    </w:tbl>
    <w:p>
      <w:r>
        <w:br w:type="page"/>
      </w:r>
    </w:p>
    <w:p>
      <w:pPr>
        <w:pStyle w:val="Heading1"/>
      </w:pPr>
      <w:r>
        <w:t xml:space="preserve">Anexo A. Mapa de numeración unificado propuesto</w:t>
      </w:r>
    </w:p>
    <w:p>
      <w:pPr>
        <w:spacing w:after="120" w:before="0" w:line="276"/>
      </w:pPr>
      <w:r>
        <w:t xml:space="preserve">Propuesta para eliminar el doble esquema (H5) y ofrecer una sola línea temporal legible de principio a fin.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Numeración actual</w:t>
            </w:r>
          </w:p>
        </w:tc>
        <w:tc>
          <w:tcPr>
            <w:tcW w:type="dxa" w:w="31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Numeración propuesta</w:t>
            </w:r>
          </w:p>
        </w:tc>
        <w:tc>
          <w:tcPr>
            <w:tcW w:type="dxa" w:w="31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jc w:val="left"/>
            </w:pPr>
            <w:r>
              <w:rPr>
                <w:b/>
                <w:bCs/>
                <w:color w:val="FFFFFF"/>
                <w:sz w:val="19"/>
                <w:szCs w:val="19"/>
              </w:rPr>
              <w:t xml:space="preserve">Etiqueta visible sugerida</w:t>
            </w:r>
          </w:p>
        </w:tc>
      </w:tr>
      <w:t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Módulo 0: Diagnóstico</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sz w:val="19"/>
                <w:szCs w:val="19"/>
              </w:rPr>
              <w:t xml:space="preserve">Paso 0</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“Empieza aquí: encuentra tu ruta”</w:t>
            </w:r>
          </w:p>
        </w:tc>
      </w:tr>
      <w:t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Toolkit 1 · T1-S1…T1-S4</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sz w:val="19"/>
                <w:szCs w:val="19"/>
              </w:rPr>
              <w:t xml:space="preserve">Semanas 0.1 – 0.4</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“Pre-operativo (opcional según ruta)”</w:t>
            </w:r>
          </w:p>
        </w:tc>
      </w:tr>
      <w:t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Módulo I · Semana 1…4</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sz w:val="19"/>
                <w:szCs w:val="19"/>
              </w:rPr>
              <w:t xml:space="preserve">Semanas 1 – 4</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“Diagnóstico con IA”</w:t>
            </w:r>
          </w:p>
        </w:tc>
      </w:tr>
      <w:t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Módulo II · Semana 5…8</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sz w:val="19"/>
                <w:szCs w:val="19"/>
              </w:rPr>
              <w:t xml:space="preserve">Semanas 5 – 8</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“Automatización”</w:t>
            </w:r>
          </w:p>
        </w:tc>
      </w:tr>
      <w:t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Módulo III · Semana 9…12</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sz w:val="19"/>
                <w:szCs w:val="19"/>
              </w:rPr>
              <w:t xml:space="preserve">Semanas 9 – 12</w:t>
            </w: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“Comercialización”</w:t>
            </w:r>
          </w:p>
        </w:tc>
      </w:tr>
    </w:tbl>
    <w:p>
      <w:pPr>
        <w:spacing w:after="120" w:before="80" w:line="276"/>
      </w:pPr>
      <w:r>
        <w:rPr>
          <w:i/>
          <w:iCs/>
          <w:color w:val="555555"/>
          <w:sz w:val="20"/>
          <w:szCs w:val="20"/>
        </w:rPr>
        <w:t xml:space="preserve">Así, el contador “Semana N” es monótono y el estudiante siempre sabe cuánto del total ha recorrido, sin reinicios que rompan la percepción de avance.</w:t>
      </w:r>
    </w:p>
    <w:p>
      <w:r>
        <w:br w:type="page"/>
      </w:r>
    </w:p>
    <w:p>
      <w:pPr>
        <w:pStyle w:val="Heading1"/>
      </w:pPr>
      <w:r>
        <w:t xml:space="preserve">Anexo B. Protocolo de validación post-rediseño</w:t>
      </w:r>
    </w:p>
    <w:p>
      <w:pPr>
        <w:spacing w:after="120" w:before="0" w:line="276"/>
      </w:pPr>
      <w:r>
        <w:t xml:space="preserve">Esta auditoría es experta; sus hipótesis deben confirmarse con usuarios reales antes de dar por buena cualquier iteración. Protocolo mínimo sugerido:</w:t>
      </w:r>
    </w:p>
    <w:p>
      <w:pPr>
        <w:pStyle w:val="Heading3"/>
      </w:pPr>
      <w:r>
        <w:t xml:space="preserve">B.1 Prueba de usabilidad moderada con tres perfiles</w:t>
      </w:r>
    </w:p>
    <w:p>
      <w:pPr>
        <w:pStyle w:val="ListParagraph"/>
        <w:numPr>
          <w:ilvl w:val="0"/>
          <w:numId w:val="3"/>
        </w:numPr>
        <w:spacing w:after="80" w:line="268"/>
      </w:pPr>
      <w:r>
        <w:t xml:space="preserve">Reclutar al menos 3 participantes por rol (9 en total), representativos del público MIPYME costarricense, con dispositivos propios (incluido teléfono).</w:t>
      </w:r>
    </w:p>
    <w:p>
      <w:pPr>
        <w:pStyle w:val="ListParagraph"/>
        <w:numPr>
          <w:ilvl w:val="0"/>
          <w:numId w:val="3"/>
        </w:numPr>
        <w:spacing w:after="80" w:line="268"/>
      </w:pPr>
      <w:r>
        <w:t xml:space="preserve">Tareas críticas a observar: (1) encontrar su punto de partida tras el diagnóstico; (2) completar una lección y marcarla; (3) cerrar el navegador y retomar “donde quedó”; (4) localizar una plantilla y volver a la lección; (5) completar el primer flujo de automatización.</w:t>
      </w:r>
    </w:p>
    <w:p>
      <w:pPr>
        <w:pStyle w:val="ListParagraph"/>
        <w:numPr>
          <w:ilvl w:val="0"/>
          <w:numId w:val="3"/>
        </w:numPr>
        <w:spacing w:after="80" w:line="268"/>
      </w:pPr>
      <w:r>
        <w:t xml:space="preserve">Métricas: tasa de éxito por tarea, tiempo en tarea, número de “pérdidas” (momentos de desorientación verbalizados), y SUS (System Usability Scale) al cierre.</w:t>
      </w:r>
    </w:p>
    <w:p>
      <w:pPr>
        <w:pStyle w:val="Heading3"/>
      </w:pPr>
      <w:r>
        <w:t xml:space="preserve">B.2 Reevaluación heurística</w:t>
      </w:r>
    </w:p>
    <w:p>
      <w:pPr>
        <w:pStyle w:val="ListParagraph"/>
        <w:numPr>
          <w:ilvl w:val="0"/>
          <w:numId w:val="3"/>
        </w:numPr>
        <w:spacing w:after="80" w:line="268"/>
      </w:pPr>
      <w:r>
        <w:t xml:space="preserve">Repetir la matriz de la sección 5 sobre el prototipo y verificar el descenso de severidad de H1–H4.</w:t>
      </w:r>
    </w:p>
    <w:p>
      <w:pPr>
        <w:pStyle w:val="Heading3"/>
      </w:pPr>
      <w:r>
        <w:t xml:space="preserve">B.3 Criterios de aceptación</w:t>
      </w:r>
    </w:p>
    <w:p>
      <w:pPr>
        <w:pStyle w:val="ListParagraph"/>
        <w:numPr>
          <w:ilvl w:val="0"/>
          <w:numId w:val="3"/>
        </w:numPr>
        <w:spacing w:after="80" w:line="268"/>
      </w:pPr>
      <w:r>
        <w:t xml:space="preserve">Un participante de Rol 1 que abandona la sesión puede retomar la lección correcta en ≤ 2 clics.</w:t>
      </w:r>
    </w:p>
    <w:p>
      <w:pPr>
        <w:pStyle w:val="ListParagraph"/>
        <w:numPr>
          <w:ilvl w:val="0"/>
          <w:numId w:val="3"/>
        </w:numPr>
        <w:spacing w:after="80" w:line="268"/>
      </w:pPr>
      <w:r>
        <w:t xml:space="preserve">Ningún participante verbaliza “no sé dónde estoy” más de una vez por sesión.</w:t>
      </w:r>
    </w:p>
    <w:p>
      <w:pPr>
        <w:pStyle w:val="ListParagraph"/>
        <w:numPr>
          <w:ilvl w:val="0"/>
          <w:numId w:val="3"/>
        </w:numPr>
        <w:spacing w:after="80" w:line="268"/>
      </w:pPr>
      <w:r>
        <w:t xml:space="preserve">SUS promedio ≥ 75 en los tres perfiles.</w:t>
      </w:r>
    </w:p>
    <w:p>
      <w:pPr>
        <w:pBdr>
          <w:bottom w:val="single" w:color="2E5496" w:sz="6" w:space="1"/>
        </w:pBdr>
        <w:spacing w:after="160" w:before="60"/>
      </w:pPr>
      <w:r>
        <w:t xml:space="preserve"/>
      </w:r>
    </w:p>
    <w:p>
      <w:pPr>
        <w:spacing w:after="120" w:before="0" w:line="276"/>
      </w:pPr>
      <w:r>
        <w:rPr>
          <w:i/>
          <w:iCs/>
          <w:color w:val="777777"/>
          <w:sz w:val="19"/>
          <w:szCs w:val="19"/>
        </w:rPr>
        <w:t xml:space="preserve">Fin del informe. Versión 1.0 — línea base diagnóstica para el rediseño. Documento preparado para iteración con el equipo de desarrollo del programa.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CIOdD – DIPROVID · UCR    |    </w:t>
    </w: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2"/>
      </w:pBdr>
      <w:spacing w:after="0"/>
    </w:pPr>
    <w:r>
      <w:rPr>
        <w:color w:val="888888"/>
        <w:sz w:val="16"/>
        <w:szCs w:val="16"/>
      </w:rPr>
      <w:t xml:space="preserve">Auditoría UX · Caja de Herramientas de IA para la MiPYME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4"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9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dfixmcgvgh-1_kyn1qbw" Type="http://schemas.openxmlformats.org/officeDocument/2006/relationships/hyperlink" Target="https://agmelendez.github.io/cajadeherramientasparaemprendedor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usabilidad y arquitectura de información — Caja de Herramientas de IA para la MiPYME</dc:title>
  <dc:creator>CIOdD – DIPROVID, UCR</dc:creator>
  <cp:lastModifiedBy>Un-named</cp:lastModifiedBy>
  <cp:revision>1</cp:revision>
  <dcterms:created xsi:type="dcterms:W3CDTF">2026-06-22T21:18:25.358Z</dcterms:created>
  <dcterms:modified xsi:type="dcterms:W3CDTF">2026-06-22T21:18:25.358Z</dcterms:modified>
</cp:coreProperties>
</file>

<file path=docProps/custom.xml><?xml version="1.0" encoding="utf-8"?>
<Properties xmlns="http://schemas.openxmlformats.org/officeDocument/2006/custom-properties" xmlns:vt="http://schemas.openxmlformats.org/officeDocument/2006/docPropsVTypes"/>
</file>