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60" w:before="0"/>
        <w:jc w:val="center"/>
      </w:pPr>
      <w:r>
        <w:rPr>
          <w:rFonts w:ascii="Arial" w:cs="Arial" w:eastAsia="Arial" w:hAnsi="Arial"/>
          <w:b/>
          <w:bCs/>
          <w:color w:val="003087"/>
          <w:sz w:val="28"/>
          <w:szCs w:val="28"/>
        </w:rPr>
        <w:t xml:space="preserve">UNIVERSIDAD DE COSTA RICA</w:t>
      </w:r>
    </w:p>
    <w:p>
      <w:pPr>
        <w:spacing w:after="40" w:before="0"/>
        <w:jc w:val="center"/>
      </w:pPr>
      <w:r>
        <w:rPr>
          <w:rFonts w:ascii="Arial" w:cs="Arial" w:eastAsia="Arial" w:hAnsi="Arial"/>
          <w:color w:val="4A4A4A"/>
          <w:sz w:val="22"/>
          <w:szCs w:val="22"/>
        </w:rPr>
        <w:t xml:space="preserve">Centro de Investigación Observatorio del Desarrollo (CIOdD)</w:t>
      </w:r>
    </w:p>
    <w:p>
      <w:pPr>
        <w:spacing w:after="400" w:before="0"/>
        <w:jc w:val="center"/>
      </w:pPr>
      <w:r>
        <w:rPr>
          <w:rFonts w:ascii="Arial" w:cs="Arial" w:eastAsia="Arial" w:hAnsi="Arial"/>
          <w:color w:val="4A4A4A"/>
          <w:sz w:val="22"/>
          <w:szCs w:val="22"/>
        </w:rPr>
        <w:t xml:space="preserve">Programa de Difusión, Promoción y Vinculación con la Transferencia (DiproviT)</w:t>
      </w:r>
    </w:p>
    <w:p>
      <w:pPr>
        <w:spacing w:after="160" w:before="0"/>
        <w:jc w:val="center"/>
      </w:pPr>
      <w:r>
        <w:rPr>
          <w:rFonts w:ascii="Arial" w:cs="Arial" w:eastAsia="Arial" w:hAnsi="Arial"/>
          <w:b/>
          <w:bCs/>
          <w:color w:val="003087"/>
          <w:sz w:val="52"/>
          <w:szCs w:val="52"/>
        </w:rPr>
        <w:t xml:space="preserve">FUNDAMENTACIÓN METODOLÓGICA</w:t>
      </w:r>
    </w:p>
    <w:p>
      <w:pPr>
        <w:spacing w:after="80" w:before="0"/>
        <w:jc w:val="center"/>
      </w:pPr>
      <w:r>
        <w:rPr>
          <w:rFonts w:ascii="Arial" w:cs="Arial" w:eastAsia="Arial" w:hAnsi="Arial"/>
          <w:b w:val="false"/>
          <w:bCs w:val="false"/>
          <w:color w:val="C6A642"/>
          <w:sz w:val="36"/>
          <w:szCs w:val="36"/>
        </w:rPr>
        <w:t xml:space="preserve">El Modelo Pedagógico Práctico-Teórico 70/30</w:t>
      </w:r>
    </w:p>
    <w:p>
      <w:pPr>
        <w:spacing w:after="320" w:before="0"/>
        <w:jc w:val="center"/>
      </w:pPr>
      <w:r>
        <w:rPr>
          <w:rFonts w:ascii="Arial" w:cs="Arial" w:eastAsia="Arial" w:hAnsi="Arial"/>
          <w:color w:val="4A4A4A"/>
          <w:sz w:val="28"/>
          <w:szCs w:val="28"/>
        </w:rPr>
        <w:t xml:space="preserve">para la Formación en Inteligencia Artificial de Personas Microempresarias</w:t>
      </w:r>
    </w:p>
    <w:p>
      <w:pPr>
        <w:pBdr>
          <w:bottom w:val="single" w:color="C6A642" w:sz="4" w:space="1"/>
        </w:pBdr>
        <w:spacing w:after="120" w:before="120"/>
      </w:pPr>
    </w:p>
    <w:p>
      <w:pPr>
        <w:spacing w:after="80" w:before="200"/>
        <w:jc w:val="center"/>
      </w:pPr>
      <w:r>
        <w:rPr>
          <w:rFonts w:ascii="Arial" w:cs="Arial" w:eastAsia="Arial" w:hAnsi="Arial"/>
          <w:b/>
          <w:bCs/>
          <w:color w:val="003087"/>
          <w:sz w:val="24"/>
          <w:szCs w:val="24"/>
        </w:rPr>
        <w:t xml:space="preserve">Caja de Herramientas IA para la MiPYME</w:t>
      </w:r>
    </w:p>
    <w:p>
      <w:pPr>
        <w:spacing w:after="320" w:before="0"/>
        <w:jc w:val="center"/>
      </w:pPr>
      <w:r>
        <w:rPr>
          <w:rFonts w:ascii="Arial" w:cs="Arial" w:eastAsia="Arial" w:hAnsi="Arial"/>
          <w:i/>
          <w:iCs/>
          <w:color w:val="0070C0"/>
          <w:sz w:val="20"/>
          <w:szCs w:val="20"/>
        </w:rPr>
        <w:t xml:space="preserve">https://agmelendez.github.io/cajadeherramientasparaemprendedores/</w:t>
      </w:r>
    </w:p>
    <w:p>
      <w:pPr>
        <w:spacing w:after="40" w:before="0"/>
        <w:jc w:val="center"/>
      </w:pPr>
      <w:r>
        <w:rPr>
          <w:rFonts w:ascii="Arial" w:cs="Arial" w:eastAsia="Arial" w:hAnsi="Arial"/>
          <w:b/>
          <w:bCs/>
          <w:color w:val="4A4A4A"/>
          <w:sz w:val="22"/>
          <w:szCs w:val="22"/>
        </w:rPr>
        <w:t xml:space="preserve">Documento de Trabajo – Versión 2.0 | Junio 2026</w:t>
      </w:r>
    </w:p>
    <w:p>
      <w:pPr>
        <w:spacing w:after="0" w:before="0"/>
        <w:jc w:val="center"/>
      </w:pPr>
      <w:r>
        <w:rPr>
          <w:rFonts w:ascii="Arial" w:cs="Arial" w:eastAsia="Arial" w:hAnsi="Arial"/>
          <w:color w:val="4A4A4A"/>
          <w:sz w:val="20"/>
          <w:szCs w:val="20"/>
        </w:rPr>
        <w:t xml:space="preserve">Proyecto de Acción Social ED-3698</w:t>
      </w:r>
    </w:p>
    <w:p>
      <w:pPr>
        <w:spacing w:after="0" w:before="0"/>
      </w:pPr>
      <w:r>
        <w:br w:type="page"/>
      </w:r>
    </w:p>
    <w:p>
      <w:pPr>
        <w:pStyle w:val="Heading1"/>
      </w:pPr>
      <w:r>
        <w:rPr>
          <w:rFonts w:ascii="Arial" w:cs="Arial" w:eastAsia="Arial" w:hAnsi="Arial"/>
          <w:b/>
          <w:bCs/>
          <w:color w:val="003087"/>
          <w:sz w:val="36"/>
          <w:szCs w:val="36"/>
        </w:rPr>
        <w:t xml:space="preserve">Resumen</w:t>
      </w:r>
    </w:p>
    <w:p>
      <w:pPr>
        <w:spacing w:after="80" w:before="80" w:line="320"/>
        <w:jc w:val="both"/>
      </w:pPr>
      <w:r>
        <w:rPr>
          <w:rFonts w:ascii="Arial" w:cs="Arial" w:eastAsia="Arial" w:hAnsi="Arial"/>
          <w:color w:val="4A4A4A"/>
          <w:sz w:val="22"/>
          <w:szCs w:val="22"/>
        </w:rPr>
        <w:t xml:space="preserve">El presente documento establece la fundamentación epistemológica, pedagógica y metodológica del modelo de formación Práctico-Teórico 70/30 del programa "Caja de Herramientas de Inteligencia Artificial para la MiPYME" de la Universidad de Costa Rica (CIOdD–DiproviT, Proyecto ED-3698), cuya implementación activa se encuentra en https://agmelendez.github.io/cajadeherramientasparaemprendedores/</w:t>
      </w:r>
    </w:p>
    <w:p>
      <w:pPr>
        <w:spacing w:after="80" w:before="80" w:line="320"/>
        <w:jc w:val="both"/>
      </w:pPr>
      <w:r>
        <w:rPr>
          <w:rFonts w:ascii="Arial" w:cs="Arial" w:eastAsia="Arial" w:hAnsi="Arial"/>
          <w:color w:val="4A4A4A"/>
          <w:sz w:val="22"/>
          <w:szCs w:val="22"/>
        </w:rPr>
        <w:t xml:space="preserve">Esta versión 2.0 actualiza la fundamentación original (v1.0, febrero 2026) para reflejar la arquitectura pedagógica efectivamente desplegada en el sitio: un programa autogestionado de 12 semanas distribuidas en tres módulos progresivos —Diagnóstico con IA, Automatización de Procesos, y Contenido y Comercialización—, precedidos por un Módulo 0 de diagnóstico de entrada y un Toolkit Pre-Operativo de cuatro semanas.</w:t>
      </w:r>
    </w:p>
    <w:p>
      <w:pPr>
        <w:spacing w:after="80" w:before="80" w:line="320"/>
        <w:jc w:val="both"/>
      </w:pPr>
      <w:r>
        <w:rPr>
          <w:rFonts w:ascii="Arial" w:cs="Arial" w:eastAsia="Arial" w:hAnsi="Arial"/>
          <w:color w:val="4A4A4A"/>
          <w:sz w:val="22"/>
          <w:szCs w:val="22"/>
        </w:rPr>
        <w:t xml:space="preserve">Se formalizan tres constructos originales que articulan la propuesta: (1) el Modelo CIFRCE (Contexto–Instrucción–Formato–Restricciones–Criterios de Éxito), marco estructurado para la ingeniería de prompts en contextos empresariales; (2) el Ciclo Pedagógico RHEC (Reto–Hacer–Entender–Compartir), secuencia instruccional cíclica que invierte la lógica expositiva tradicional; y (3) el principio Human-in-the-Loop como eje ético transversal. El modelo converge seis tradiciones teóricas: aprendizaje experiencial (Kolb, 1984), fracaso productivo (Kapur, 2008; 2016), construccionismo (Papert, 1991), andragogía (Knowles et al., 2015), teoría de carga cognitiva (Sweller, 1988) y microaprendizaje (Hug &amp; Friesen, 2007).</w:t>
      </w:r>
    </w:p>
    <w:p>
      <w:pPr>
        <w:spacing w:after="80" w:before="80" w:line="320"/>
        <w:jc w:val="both"/>
      </w:pPr>
      <w:r>
        <w:rPr>
          <w:rFonts w:ascii="Arial" w:cs="Arial" w:eastAsia="Arial" w:hAnsi="Arial"/>
          <w:b/>
          <w:bCs/>
          <w:i w:val="false"/>
          <w:iCs w:val="false"/>
          <w:color w:val="4A4A4A"/>
          <w:sz w:val="22"/>
          <w:szCs w:val="22"/>
        </w:rPr>
        <w:t xml:space="preserve">Palabras clave: </w:t>
      </w:r>
      <w:r>
        <w:rPr>
          <w:rFonts w:ascii="Arial" w:cs="Arial" w:eastAsia="Arial" w:hAnsi="Arial"/>
          <w:b w:val="false"/>
          <w:bCs w:val="false"/>
          <w:i/>
          <w:iCs/>
          <w:color w:val="4A4A4A"/>
          <w:sz w:val="22"/>
          <w:szCs w:val="22"/>
        </w:rPr>
        <w:t xml:space="preserve">ingeniería de prompts, diseño instruccional, formación empresarial, inteligencia artificial, microaprendizaje, aprendizaje experiencial, MiPYME, educación de adultos, Human-in-the-Loop, Costa Rica.</w:t>
      </w:r>
    </w:p>
    <w:p>
      <w:pPr>
        <w:spacing w:after="0" w:before="0"/>
      </w:pPr>
      <w:r>
        <w:br w:type="page"/>
      </w:r>
    </w:p>
    <w:p>
      <w:pPr>
        <w:pStyle w:val="Heading1"/>
      </w:pPr>
      <w:r>
        <w:rPr>
          <w:rFonts w:ascii="Arial" w:cs="Arial" w:eastAsia="Arial" w:hAnsi="Arial"/>
          <w:b/>
          <w:bCs/>
          <w:color w:val="003087"/>
          <w:sz w:val="36"/>
          <w:szCs w:val="36"/>
        </w:rPr>
        <w:t xml:space="preserve">1. El problema epistemológico: la inadecuación del modelo expositivo</w:t>
      </w:r>
    </w:p>
    <w:p>
      <w:pPr>
        <w:pStyle w:val="Heading2"/>
      </w:pPr>
      <w:r>
        <w:rPr>
          <w:rFonts w:ascii="Arial" w:cs="Arial" w:eastAsia="Arial" w:hAnsi="Arial"/>
          <w:b/>
          <w:bCs/>
          <w:color w:val="003087"/>
          <w:sz w:val="28"/>
          <w:szCs w:val="28"/>
        </w:rPr>
        <w:t xml:space="preserve">1.1 Diagnóstico de la tensión estructural</w:t>
      </w:r>
    </w:p>
    <w:p>
      <w:pPr>
        <w:spacing w:after="80" w:before="80" w:line="320"/>
        <w:jc w:val="both"/>
      </w:pPr>
      <w:r>
        <w:rPr>
          <w:rFonts w:ascii="Arial" w:cs="Arial" w:eastAsia="Arial" w:hAnsi="Arial"/>
          <w:color w:val="4A4A4A"/>
          <w:sz w:val="22"/>
          <w:szCs w:val="22"/>
        </w:rPr>
        <w:t xml:space="preserve">La formación tecnológica para personas adultas trabajadoras enfrenta una tensión epistemológica no resuelta en la mayoría de los diseños instruccionales contemporáneos: la colisión entre la lógica disciplinar del contenido —que privilegia la fundamentación conceptual como prerrequisito de la aplicación— y la lógica pragmática del aprendiz —que demanda aplicabilidad inmediata como condición de motivación y permanencia—. Esta tensión es particularmente aguda cuando el aprendiz es un microempresario cuyo tiempo de formación compite directamente con necesidades operativas urgentes de su negocio.</w:t>
      </w:r>
    </w:p>
    <w:p>
      <w:pPr>
        <w:spacing w:after="80" w:before="80" w:line="320"/>
        <w:jc w:val="both"/>
      </w:pPr>
      <w:r>
        <w:rPr>
          <w:rFonts w:ascii="Arial" w:cs="Arial" w:eastAsia="Arial" w:hAnsi="Arial"/>
          <w:color w:val="4A4A4A"/>
          <w:sz w:val="22"/>
          <w:szCs w:val="22"/>
        </w:rPr>
        <w:t xml:space="preserve">La versión inicial de los contenidos del programa reproducía esta tensión: cada semana abría con bloques extensos de fundamentación teórica que precedían a las actividades prácticas. Aunque esta estructura es coherente con la tradición académica, resulta disfuncional para el público meta por tres razones convergentes:</w:t>
      </w:r>
    </w:p>
    <w:p>
      <w:pPr>
        <w:spacing w:after="80" w:before="100" w:line="320"/>
        <w:jc w:val="both"/>
      </w:pPr>
      <w:r>
        <w:rPr>
          <w:rFonts w:ascii="Arial" w:cs="Arial" w:eastAsia="Arial" w:hAnsi="Arial"/>
          <w:b/>
          <w:bCs/>
          <w:i w:val="false"/>
          <w:iCs w:val="false"/>
          <w:color w:val="4A4A4A"/>
          <w:sz w:val="22"/>
          <w:szCs w:val="22"/>
        </w:rPr>
        <w:t xml:space="preserve">Primera: sobrecarga cognitiva prematura. </w:t>
      </w:r>
      <w:r>
        <w:rPr>
          <w:rFonts w:ascii="Arial" w:cs="Arial" w:eastAsia="Arial" w:hAnsi="Arial"/>
          <w:b w:val="false"/>
          <w:bCs w:val="false"/>
          <w:i w:val="false"/>
          <w:iCs w:val="false"/>
          <w:color w:val="4A4A4A"/>
          <w:sz w:val="22"/>
          <w:szCs w:val="22"/>
        </w:rPr>
        <w:t xml:space="preserve">La teoría de carga cognitiva (Sweller, 1988; Sweller et al., 2011) establece que la memoria de trabajo tiene capacidad limitada para procesar información nueva. Cuando un microempresario sin formación técnica previa enfrenta extensas explicaciones sobre distribuciones de probabilidad antes de escribir su primer prompt, la carga extrínseca consume recursos cognitivos que deberían destinarse a la carga germinal (construcción de esquemas mentales aplicables).</w:t>
      </w:r>
    </w:p>
    <w:p>
      <w:pPr>
        <w:spacing w:after="80" w:before="80" w:line="320"/>
        <w:jc w:val="both"/>
      </w:pPr>
      <w:r>
        <w:rPr>
          <w:rFonts w:ascii="Arial" w:cs="Arial" w:eastAsia="Arial" w:hAnsi="Arial"/>
          <w:b/>
          <w:bCs/>
          <w:i w:val="false"/>
          <w:iCs w:val="false"/>
          <w:color w:val="4A4A4A"/>
          <w:sz w:val="22"/>
          <w:szCs w:val="22"/>
        </w:rPr>
        <w:t xml:space="preserve">Segunda: violación del principio andragógico de orientación a problemas. </w:t>
      </w:r>
      <w:r>
        <w:rPr>
          <w:rFonts w:ascii="Arial" w:cs="Arial" w:eastAsia="Arial" w:hAnsi="Arial"/>
          <w:b w:val="false"/>
          <w:bCs w:val="false"/>
          <w:i w:val="false"/>
          <w:iCs w:val="false"/>
          <w:color w:val="4A4A4A"/>
          <w:sz w:val="22"/>
          <w:szCs w:val="22"/>
        </w:rPr>
        <w:t xml:space="preserve">Knowles et al. (2015) identificaron que los adultos aprenden más eficazmente cuando perciben que el contenido resuelve un problema inmediato y reconocible. La exposición teórica previa a la experiencia práctica invierte esta lógica.</w:t>
      </w:r>
    </w:p>
    <w:p>
      <w:pPr>
        <w:spacing w:after="80" w:before="80" w:line="320"/>
        <w:jc w:val="both"/>
      </w:pPr>
      <w:r>
        <w:rPr>
          <w:rFonts w:ascii="Arial" w:cs="Arial" w:eastAsia="Arial" w:hAnsi="Arial"/>
          <w:b/>
          <w:bCs/>
          <w:i w:val="false"/>
          <w:iCs w:val="false"/>
          <w:color w:val="4A4A4A"/>
          <w:sz w:val="22"/>
          <w:szCs w:val="22"/>
        </w:rPr>
        <w:t xml:space="preserve">Tercera: incompatibilidad con las restricciones temporales del público meta. </w:t>
      </w:r>
      <w:r>
        <w:rPr>
          <w:rFonts w:ascii="Arial" w:cs="Arial" w:eastAsia="Arial" w:hAnsi="Arial"/>
          <w:b w:val="false"/>
          <w:bCs w:val="false"/>
          <w:i w:val="false"/>
          <w:iCs w:val="false"/>
          <w:color w:val="4A4A4A"/>
          <w:sz w:val="22"/>
          <w:szCs w:val="22"/>
        </w:rPr>
        <w:t xml:space="preserve">Un microempresario con 5-10 horas semanales disponibles que dedica las primeras horas a lectura teórica sin producir nada tangible para su negocio experimenta lo que Garrison (1997) denominó "disonancia entre expectativa y experiencia", generando deserción temprana.</w:t>
      </w:r>
    </w:p>
    <w:p>
      <w:pPr>
        <w:pStyle w:val="Heading2"/>
      </w:pPr>
      <w:r>
        <w:rPr>
          <w:rFonts w:ascii="Arial" w:cs="Arial" w:eastAsia="Arial" w:hAnsi="Arial"/>
          <w:b/>
          <w:bCs/>
          <w:color w:val="003087"/>
          <w:sz w:val="28"/>
          <w:szCs w:val="28"/>
        </w:rPr>
        <w:t xml:space="preserve">1.2 La inversión como solución: precedentes teóricos</w:t>
      </w:r>
    </w:p>
    <w:p>
      <w:pPr>
        <w:spacing w:after="80" w:before="80" w:line="320"/>
        <w:jc w:val="both"/>
      </w:pPr>
      <w:r>
        <w:rPr>
          <w:rFonts w:ascii="Arial" w:cs="Arial" w:eastAsia="Arial" w:hAnsi="Arial"/>
          <w:color w:val="4A4A4A"/>
          <w:sz w:val="22"/>
          <w:szCs w:val="22"/>
        </w:rPr>
        <w:t xml:space="preserve">La inversión de la secuencia teoría→práctica se inscribe en una tradición pedagógica robusta que incluye:</w:t>
      </w:r>
    </w:p>
    <w:p>
      <w:pPr>
        <w:spacing w:after="80" w:before="100" w:line="320"/>
        <w:jc w:val="both"/>
      </w:pPr>
      <w:r>
        <w:rPr>
          <w:rFonts w:ascii="Arial" w:cs="Arial" w:eastAsia="Arial" w:hAnsi="Arial"/>
          <w:b/>
          <w:bCs/>
          <w:i w:val="false"/>
          <w:iCs w:val="false"/>
          <w:color w:val="4A4A4A"/>
          <w:sz w:val="22"/>
          <w:szCs w:val="22"/>
        </w:rPr>
        <w:t xml:space="preserve">El aula invertida (flipped classroom). </w:t>
      </w:r>
      <w:r>
        <w:rPr>
          <w:rFonts w:ascii="Arial" w:cs="Arial" w:eastAsia="Arial" w:hAnsi="Arial"/>
          <w:b w:val="false"/>
          <w:bCs w:val="false"/>
          <w:i w:val="false"/>
          <w:iCs w:val="false"/>
          <w:color w:val="4A4A4A"/>
          <w:sz w:val="22"/>
          <w:szCs w:val="22"/>
        </w:rPr>
        <w:t xml:space="preserve">Bergmann y Sams (2012) sistematizaron el modelo de invertir la exposición teórica y la práctica. Meta-análisis posteriores (Låg &amp; Sæle, 2019; Strelan et al., 2020) confirmaron efectos positivos moderados en el rendimiento académico, con efectos más pronunciados en disciplinas aplicadas y en estudiantes con menor preparación previa —precisamente el perfil del programa—.</w:t>
      </w:r>
    </w:p>
    <w:p>
      <w:pPr>
        <w:spacing w:after="80" w:before="80" w:line="320"/>
        <w:jc w:val="both"/>
      </w:pPr>
      <w:r>
        <w:rPr>
          <w:rFonts w:ascii="Arial" w:cs="Arial" w:eastAsia="Arial" w:hAnsi="Arial"/>
          <w:b/>
          <w:bCs/>
          <w:i w:val="false"/>
          <w:iCs w:val="false"/>
          <w:color w:val="4A4A4A"/>
          <w:sz w:val="22"/>
          <w:szCs w:val="22"/>
        </w:rPr>
        <w:t xml:space="preserve">El fracaso productivo. </w:t>
      </w:r>
      <w:r>
        <w:rPr>
          <w:rFonts w:ascii="Arial" w:cs="Arial" w:eastAsia="Arial" w:hAnsi="Arial"/>
          <w:b w:val="false"/>
          <w:bCs w:val="false"/>
          <w:i w:val="false"/>
          <w:iCs w:val="false"/>
          <w:color w:val="4A4A4A"/>
          <w:sz w:val="22"/>
          <w:szCs w:val="22"/>
        </w:rPr>
        <w:t xml:space="preserve">Kapur (2008, 2016) demostró que los estudiantes que intentan resolver problemas complejos antes de recibir instrucción formal generan estructuras cognitivas más profundas y transferibles que aquellos que reciben instrucción primero. El intento inicial activa conocimientos previos, genera conciencia de vacíos y prepara al aprendiz para recibir la instrucción posterior con mayor receptividad.</w:t>
      </w:r>
    </w:p>
    <w:p>
      <w:pPr>
        <w:spacing w:after="80" w:before="80" w:line="320"/>
        <w:jc w:val="both"/>
      </w:pPr>
      <w:r>
        <w:rPr>
          <w:rFonts w:ascii="Arial" w:cs="Arial" w:eastAsia="Arial" w:hAnsi="Arial"/>
          <w:b/>
          <w:bCs/>
          <w:i w:val="false"/>
          <w:iCs w:val="false"/>
          <w:color w:val="4A4A4A"/>
          <w:sz w:val="22"/>
          <w:szCs w:val="22"/>
        </w:rPr>
        <w:t xml:space="preserve">El construccionismo. </w:t>
      </w:r>
      <w:r>
        <w:rPr>
          <w:rFonts w:ascii="Arial" w:cs="Arial" w:eastAsia="Arial" w:hAnsi="Arial"/>
          <w:b w:val="false"/>
          <w:bCs w:val="false"/>
          <w:i w:val="false"/>
          <w:iCs w:val="false"/>
          <w:color w:val="4A4A4A"/>
          <w:sz w:val="22"/>
          <w:szCs w:val="22"/>
        </w:rPr>
        <w:t xml:space="preserve">Papert (1991) argumentó que el aprendizaje más potente ocurre cuando el aprendiz construye un artefacto público. En el contexto del programa, estos artefactos son los entregables semanales (diagnósticos, automatizaciones, campañas) que el participante produce para su propio negocio.</w:t>
      </w:r>
    </w:p>
    <w:p>
      <w:pPr>
        <w:spacing w:after="80" w:before="80" w:line="320"/>
        <w:jc w:val="both"/>
      </w:pPr>
      <w:r>
        <w:rPr>
          <w:rFonts w:ascii="Arial" w:cs="Arial" w:eastAsia="Arial" w:hAnsi="Arial"/>
          <w:b/>
          <w:bCs/>
          <w:i w:val="false"/>
          <w:iCs w:val="false"/>
          <w:color w:val="4A4A4A"/>
          <w:sz w:val="22"/>
          <w:szCs w:val="22"/>
        </w:rPr>
        <w:t xml:space="preserve">El aprendizaje situado. </w:t>
      </w:r>
      <w:r>
        <w:rPr>
          <w:rFonts w:ascii="Arial" w:cs="Arial" w:eastAsia="Arial" w:hAnsi="Arial"/>
          <w:b w:val="false"/>
          <w:bCs w:val="false"/>
          <w:i w:val="false"/>
          <w:iCs w:val="false"/>
          <w:color w:val="4A4A4A"/>
          <w:sz w:val="22"/>
          <w:szCs w:val="22"/>
        </w:rPr>
        <w:t xml:space="preserve">Lave y Wenger (1991) establecieron que el conocimiento es inseparable del contexto en que se produce y aplica. La inversión 70/30 operacionaliza este principio: el negocio del participante no es un ejemplo ilustrativo sino el espacio primario de aprendizaje.</w:t>
      </w:r>
    </w:p>
    <w:p>
      <w:pPr>
        <w:spacing w:after="0" w:before="0"/>
      </w:pPr>
      <w:r>
        <w:br w:type="page"/>
      </w:r>
    </w:p>
    <w:p>
      <w:pPr>
        <w:pStyle w:val="Heading1"/>
      </w:pPr>
      <w:r>
        <w:rPr>
          <w:rFonts w:ascii="Arial" w:cs="Arial" w:eastAsia="Arial" w:hAnsi="Arial"/>
          <w:b/>
          <w:bCs/>
          <w:color w:val="003087"/>
          <w:sz w:val="36"/>
          <w:szCs w:val="36"/>
        </w:rPr>
        <w:t xml:space="preserve">2. El Modelo CIFRCE: Marco Formal para la Ingeniería de Prompts Empresariales</w:t>
      </w:r>
    </w:p>
    <w:p>
      <w:pPr>
        <w:pStyle w:val="Heading2"/>
      </w:pPr>
      <w:r>
        <w:rPr>
          <w:rFonts w:ascii="Arial" w:cs="Arial" w:eastAsia="Arial" w:hAnsi="Arial"/>
          <w:b/>
          <w:bCs/>
          <w:color w:val="003087"/>
          <w:sz w:val="28"/>
          <w:szCs w:val="28"/>
        </w:rPr>
        <w:t xml:space="preserve">2.1 Antecedentes y vacío en la literatura</w:t>
      </w:r>
    </w:p>
    <w:p>
      <w:pPr>
        <w:spacing w:after="80" w:before="80" w:line="320"/>
        <w:jc w:val="both"/>
      </w:pPr>
      <w:r>
        <w:rPr>
          <w:rFonts w:ascii="Arial" w:cs="Arial" w:eastAsia="Arial" w:hAnsi="Arial"/>
          <w:color w:val="4A4A4A"/>
          <w:sz w:val="22"/>
          <w:szCs w:val="22"/>
        </w:rPr>
        <w:t xml:space="preserve">La ingeniería de prompts se ha consolidado como una competencia emergente en la interacción humano-IA (Brown et al., 2020). Sin embargo, la literatura presenta un vacío: la mayoría de los marcos provienen de la práctica profesional y carecen de formalización teórica rigurosa orientada a usuarios no técnicos. White et al. (2023) propusieron un catálogo de patrones orientado a desarrolladores de software; Reynolds y McDonell (2021) exploraron la programación por prompts desde una perspectiva computacional. No existe, hasta donde esta revisión alcanza, un marco formal diseñado específicamente para enseñar ingeniería de prompts a personas sin formación técnica en contextos empresariales. El Modelo CIFRCE llena este vacío.</w:t>
      </w:r>
    </w:p>
    <w:p>
      <w:pPr>
        <w:pStyle w:val="Heading2"/>
      </w:pPr>
      <w:r>
        <w:rPr>
          <w:rFonts w:ascii="Arial" w:cs="Arial" w:eastAsia="Arial" w:hAnsi="Arial"/>
          <w:b/>
          <w:bCs/>
          <w:color w:val="003087"/>
          <w:sz w:val="28"/>
          <w:szCs w:val="28"/>
        </w:rPr>
        <w:t xml:space="preserve">2.2 Definición formal del Modelo CIFRCE</w:t>
      </w:r>
    </w:p>
    <w:p>
      <w:pPr>
        <w:spacing w:after="80" w:before="80" w:line="320"/>
        <w:jc w:val="both"/>
      </w:pPr>
      <w:r>
        <w:rPr>
          <w:rFonts w:ascii="Arial" w:cs="Arial" w:eastAsia="Arial" w:hAnsi="Arial"/>
          <w:color w:val="4A4A4A"/>
          <w:sz w:val="22"/>
          <w:szCs w:val="22"/>
        </w:rPr>
        <w:t xml:space="preserve">CIFRCE es un acrónimo mnemotécnico que designa los cinco componentes estructurales de un prompt efectivo en contextos empresariales:</w:t>
      </w:r>
    </w:p>
    <w:p>
      <w:pPr>
        <w:pBdr>
          <w:left w:val="single" w:color="C6A642" w:sz="8" w:space="10"/>
        </w:pBdr>
        <w:spacing w:after="100" w:before="100" w:line="320"/>
        <w:ind w:left="720" w:right="720"/>
        <w:jc w:val="both"/>
      </w:pPr>
      <w:r>
        <w:rPr>
          <w:rFonts w:ascii="Arial" w:cs="Arial" w:eastAsia="Arial" w:hAnsi="Arial"/>
          <w:i/>
          <w:iCs/>
          <w:color w:val="4A4A4A"/>
          <w:sz w:val="22"/>
          <w:szCs w:val="22"/>
        </w:rPr>
        <w:t xml:space="preserve">Un prompt empresarial efectivo es una instrucción natural dirigida a un modelo de lenguaje que especifica, de forma explícita o implícita, cinco dimensiones: el Contexto situacional del negocio, la Instrucción operativa que define la tarea, el Formato deseado del output, las Restricciones del mundo real que acotan la respuesta, y los Criterios de Éxito que permiten evaluar la utilidad del resultado.</w:t>
      </w:r>
    </w:p>
    <w:p>
      <w:pPr>
        <w:pStyle w:val="Heading2"/>
      </w:pPr>
      <w:r>
        <w:rPr>
          <w:rFonts w:ascii="Arial" w:cs="Arial" w:eastAsia="Arial" w:hAnsi="Arial"/>
          <w:b/>
          <w:bCs/>
          <w:color w:val="003087"/>
          <w:sz w:val="28"/>
          <w:szCs w:val="28"/>
        </w:rPr>
        <w:t xml:space="preserve">2.3 Componentes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360"/>
        <w:gridCol w:w="2000"/>
      </w:tblGrid>
      <w:tr>
        <w:tc>
          <w:tcPr>
            <w:tcW w:type="dxa" w:w="1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Componente</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Definición operativa</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Función cognitiva</w:t>
            </w:r>
          </w:p>
        </w:tc>
        <w:tc>
          <w:tcPr>
            <w:tcW w:type="dxa" w:w="23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Ejemplo contextualizado</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Aplicación en el sitio</w:t>
            </w:r>
          </w:p>
        </w:tc>
      </w:tr>
      <w:tr>
        <w:tc>
          <w:tcPr>
            <w:tcW w:type="dxa" w:w="1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C — Contexto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Información situacional del negocio: sector, tamaño, ubicación, estado actual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Activa subconjuntos específicos de la distribución de probabilidad del modelo (Reynolds &amp; McDonell, 2021)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"Soy propietaria de una soda en Alajuela con 2 empleados y ventas de ₡2.5M/mes"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Semana 2 (Módulo I): primer campo del prompt CIFRCE</w:t>
            </w:r>
          </w:p>
        </w:tc>
      </w:tr>
      <w:tr>
        <w:tc>
          <w:tcPr>
            <w:tcW w:type="dxa" w:w="1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I — Instrucción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Verbo de acción + objeto: define la tarea específica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Establece la función generativa: analizar, generar, comparar, evaluar (niveles de Bloom)</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"Generá una lista de 10 ideas para atraer nuevos clientes sin gastar más de ₡50.000/mes"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Práctica guiada S2: redacción explícita de los 5 componentes</w:t>
            </w:r>
          </w:p>
        </w:tc>
      </w:tr>
      <w:tr>
        <w:tc>
          <w:tcPr>
            <w:tcW w:type="dxa" w:w="1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F — Formato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Estructura, extensión y organización del output deseado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Reduce carga cognitiva del usuario al recibir información ya organizada (Sweller et al., 2011)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"Presentá cada idea en tabla con: Idea, Costo, Tiempo de implementación, Impacto"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Ejercicio Few-shot de la semana 2</w:t>
            </w:r>
          </w:p>
        </w:tc>
      </w:tr>
      <w:tr>
        <w:tc>
          <w:tcPr>
            <w:tcW w:type="dxa" w:w="1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R — Restricciones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Condiciones del mundo real: presupuesto, tiempo, recursos, prohibiciones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Filtro de pertinencia que elimina respuestas técnicamente correctas pero pragmáticamente inviables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"No incluyas estrategias con redes sociales pagadas. Enfocate en Alajuela centro."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Restricción explícita en prompts de todas las semanas del Módulo I</w:t>
            </w:r>
          </w:p>
        </w:tc>
      </w:tr>
      <w:tr>
        <w:tc>
          <w:tcPr>
            <w:tcW w:type="dxa" w:w="1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CE — Criterios de Éxito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Indicadores observables para evaluar si el output cumple su propósito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Introduce metacognición evaluativa: define ex ante qué constituye una respuesta útil (Wiggins, 1998)</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"Cada idea debe ser implementable esta semana con los recursos que ya tengo"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Lista de chequeo de cada módulo; entregables con criterios de suficiencia</w:t>
            </w:r>
          </w:p>
        </w:tc>
      </w:tr>
    </w:tbl>
    <w:p>
      <w:pPr>
        <w:spacing w:after="0" w:before="120"/>
      </w:pPr>
      <w:r>
        <w:t xml:space="preserve"/>
      </w:r>
    </w:p>
    <w:p>
      <w:pPr>
        <w:pStyle w:val="Heading2"/>
      </w:pPr>
      <w:r>
        <w:rPr>
          <w:rFonts w:ascii="Arial" w:cs="Arial" w:eastAsia="Arial" w:hAnsi="Arial"/>
          <w:b/>
          <w:bCs/>
          <w:color w:val="003087"/>
          <w:sz w:val="28"/>
          <w:szCs w:val="28"/>
        </w:rPr>
        <w:t xml:space="preserve">2.4 Propiedades formales del modelo</w:t>
      </w:r>
    </w:p>
    <w:p>
      <w:pPr>
        <w:spacing w:after="80" w:before="100" w:line="320"/>
        <w:jc w:val="both"/>
      </w:pPr>
      <w:r>
        <w:rPr>
          <w:rFonts w:ascii="Arial" w:cs="Arial" w:eastAsia="Arial" w:hAnsi="Arial"/>
          <w:b/>
          <w:bCs/>
          <w:i w:val="false"/>
          <w:iCs w:val="false"/>
          <w:color w:val="4A4A4A"/>
          <w:sz w:val="22"/>
          <w:szCs w:val="22"/>
        </w:rPr>
        <w:t xml:space="preserve">Completitud gradual. </w:t>
      </w:r>
      <w:r>
        <w:rPr>
          <w:rFonts w:ascii="Arial" w:cs="Arial" w:eastAsia="Arial" w:hAnsi="Arial"/>
          <w:b w:val="false"/>
          <w:bCs w:val="false"/>
          <w:i w:val="false"/>
          <w:iCs w:val="false"/>
          <w:color w:val="4A4A4A"/>
          <w:sz w:val="22"/>
          <w:szCs w:val="22"/>
        </w:rPr>
        <w:t xml:space="preserve">Los componentes operan en un gradiente de especificidad: C e I son condiciones necesarias; F, R y CE son refinamientos que incrementan progresivamente la calidad. En el sitio esto se refleja en la Semana 1 (solo C+I) avanzando hacia el prompt CIFRCE completo en la Semana 2.</w:t>
      </w:r>
    </w:p>
    <w:p>
      <w:pPr>
        <w:spacing w:after="80" w:before="80" w:line="320"/>
        <w:jc w:val="both"/>
      </w:pPr>
      <w:r>
        <w:rPr>
          <w:rFonts w:ascii="Arial" w:cs="Arial" w:eastAsia="Arial" w:hAnsi="Arial"/>
          <w:b/>
          <w:bCs/>
          <w:i w:val="false"/>
          <w:iCs w:val="false"/>
          <w:color w:val="4A4A4A"/>
          <w:sz w:val="22"/>
          <w:szCs w:val="22"/>
        </w:rPr>
        <w:t xml:space="preserve">Composicionalidad. </w:t>
      </w:r>
      <w:r>
        <w:rPr>
          <w:rFonts w:ascii="Arial" w:cs="Arial" w:eastAsia="Arial" w:hAnsi="Arial"/>
          <w:b w:val="false"/>
          <w:bCs w:val="false"/>
          <w:i w:val="false"/>
          <w:iCs w:val="false"/>
          <w:color w:val="4A4A4A"/>
          <w:sz w:val="22"/>
          <w:szCs w:val="22"/>
        </w:rPr>
        <w:t xml:space="preserve">Los componentes pueden combinarse en cualquier orden sintáctico. El modelo prescribe qué incluir, no cómo redactarlo, respetando la diversidad de estilos comunicativos del público meta.</w:t>
      </w:r>
    </w:p>
    <w:p>
      <w:pPr>
        <w:spacing w:after="80" w:before="80" w:line="320"/>
        <w:jc w:val="both"/>
      </w:pPr>
      <w:r>
        <w:rPr>
          <w:rFonts w:ascii="Arial" w:cs="Arial" w:eastAsia="Arial" w:hAnsi="Arial"/>
          <w:b/>
          <w:bCs/>
          <w:i w:val="false"/>
          <w:iCs w:val="false"/>
          <w:color w:val="4A4A4A"/>
          <w:sz w:val="22"/>
          <w:szCs w:val="22"/>
        </w:rPr>
        <w:t xml:space="preserve">Iterabilidad. </w:t>
      </w:r>
      <w:r>
        <w:rPr>
          <w:rFonts w:ascii="Arial" w:cs="Arial" w:eastAsia="Arial" w:hAnsi="Arial"/>
          <w:b w:val="false"/>
          <w:bCs w:val="false"/>
          <w:i w:val="false"/>
          <w:iCs w:val="false"/>
          <w:color w:val="4A4A4A"/>
          <w:sz w:val="22"/>
          <w:szCs w:val="22"/>
        </w:rPr>
        <w:t xml:space="preserve">CIFRCE se aplica no solo al prompt inicial sino a cada interacción de refinamiento. Esta propiedad fundamenta las técnicas de few-shot prompting y chain-of-thought presentes en la Semana 2 del sitio.</w:t>
      </w:r>
    </w:p>
    <w:p>
      <w:pPr>
        <w:spacing w:after="80" w:before="80" w:line="320"/>
        <w:jc w:val="both"/>
      </w:pPr>
      <w:r>
        <w:rPr>
          <w:rFonts w:ascii="Arial" w:cs="Arial" w:eastAsia="Arial" w:hAnsi="Arial"/>
          <w:b/>
          <w:bCs/>
          <w:i w:val="false"/>
          <w:iCs w:val="false"/>
          <w:color w:val="4A4A4A"/>
          <w:sz w:val="22"/>
          <w:szCs w:val="22"/>
        </w:rPr>
        <w:t xml:space="preserve">Doble función pedagógica. </w:t>
      </w:r>
      <w:r>
        <w:rPr>
          <w:rFonts w:ascii="Arial" w:cs="Arial" w:eastAsia="Arial" w:hAnsi="Arial"/>
          <w:b w:val="false"/>
          <w:bCs w:val="false"/>
          <w:i w:val="false"/>
          <w:iCs w:val="false"/>
          <w:color w:val="4A4A4A"/>
          <w:sz w:val="22"/>
          <w:szCs w:val="22"/>
        </w:rPr>
        <w:t xml:space="preserve">El proceso de construir un prompt CIFRCE tiene valor epistémico independiente del output: obliga al microempresario a articular explícitamente su contexto, definir lo que necesita y establecer criterios de calidad —una práctica reflexiva (Schon, 1983) que mejora la toma de decisiones empresariales con o sin IA—.</w:t>
      </w:r>
    </w:p>
    <w:p>
      <w:pPr>
        <w:spacing w:after="0" w:before="0"/>
      </w:pPr>
      <w:r>
        <w:br w:type="page"/>
      </w:r>
    </w:p>
    <w:p>
      <w:pPr>
        <w:pStyle w:val="Heading1"/>
      </w:pPr>
      <w:r>
        <w:rPr>
          <w:rFonts w:ascii="Arial" w:cs="Arial" w:eastAsia="Arial" w:hAnsi="Arial"/>
          <w:b/>
          <w:bCs/>
          <w:color w:val="003087"/>
          <w:sz w:val="36"/>
          <w:szCs w:val="36"/>
        </w:rPr>
        <w:t xml:space="preserve">3. El Ciclo Pedagógico RHEC: Fundamentación del Modelo Instruccional</w:t>
      </w:r>
    </w:p>
    <w:p>
      <w:pPr>
        <w:pStyle w:val="Heading2"/>
      </w:pPr>
      <w:r>
        <w:rPr>
          <w:rFonts w:ascii="Arial" w:cs="Arial" w:eastAsia="Arial" w:hAnsi="Arial"/>
          <w:b/>
          <w:bCs/>
          <w:color w:val="003087"/>
          <w:sz w:val="28"/>
          <w:szCs w:val="28"/>
        </w:rPr>
        <w:t xml:space="preserve">3.1 Definición formal</w:t>
      </w:r>
    </w:p>
    <w:p>
      <w:pPr>
        <w:pBdr>
          <w:left w:val="single" w:color="C6A642" w:sz="8" w:space="10"/>
        </w:pBdr>
        <w:spacing w:after="120" w:before="100" w:line="320"/>
        <w:ind w:left="720" w:right="720"/>
        <w:jc w:val="both"/>
      </w:pPr>
      <w:r>
        <w:rPr>
          <w:rFonts w:ascii="Arial" w:cs="Arial" w:eastAsia="Arial" w:hAnsi="Arial"/>
          <w:i/>
          <w:iCs/>
          <w:color w:val="4A4A4A"/>
          <w:sz w:val="22"/>
          <w:szCs w:val="22"/>
        </w:rPr>
        <w:t xml:space="preserve">Una unidad didáctica RHEC es un ciclo de aprendizaje en el cual (1) un desafío contextualizado moviliza al aprendiz, (2) la ejecución guiada produce un artefacto tangible, (3) la reflexión teórica contextualiza la experiencia vivida, y (4) la socialización con pares consolida y extiende el aprendizaje. La secuencia es prescriptiva: la fase práctica (Hacer) siempre precede a la fase teórica (Entender).</w:t>
      </w:r>
    </w:p>
    <w:p>
      <w:pPr>
        <w:pStyle w:val="Heading2"/>
      </w:pPr>
      <w:r>
        <w:rPr>
          <w:rFonts w:ascii="Arial" w:cs="Arial" w:eastAsia="Arial" w:hAnsi="Arial"/>
          <w:b/>
          <w:bCs/>
          <w:color w:val="003087"/>
          <w:sz w:val="28"/>
          <w:szCs w:val="28"/>
        </w:rPr>
        <w:t xml:space="preserve">3.2 Las cuatro fases y su implementación en 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760"/>
        <w:gridCol w:w="2760"/>
        <w:gridCol w:w="1640"/>
      </w:tblGrid>
      <w:tr>
        <w:tc>
          <w:tcPr>
            <w:tcW w:type="dxa" w:w="12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w:t>
            </w:r>
          </w:p>
        </w:tc>
        <w:tc>
          <w:tcPr>
            <w:tcW w:type="dxa" w:w="1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Peso</w:t>
            </w:r>
          </w:p>
        </w:tc>
        <w:tc>
          <w:tcPr>
            <w:tcW w:type="dxa" w:w="27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Fundamentación teórica</w:t>
            </w:r>
          </w:p>
        </w:tc>
        <w:tc>
          <w:tcPr>
            <w:tcW w:type="dxa" w:w="27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Formato pedagógico</w:t>
            </w:r>
          </w:p>
        </w:tc>
        <w:tc>
          <w:tcPr>
            <w:tcW w:type="dxa" w:w="164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Implementación en el sitio</w:t>
            </w:r>
          </w:p>
        </w:tc>
      </w:tr>
      <w:tr>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RETO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5%</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Activación de motivación intrínseca por relevancia percibida (Keller, 2010); problema como organizador del aprendizaje (Hmelo-Silver, 2004)</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Tarjeta visual de una página: descripción del reto en lenguaje directo, entregable esperado con criterios de suficiencia, tiempo estimado (máx. 15 min)</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Presente en cada semana: sección coloreada con título del reto y entregable claramente señalado</w:t>
            </w:r>
          </w:p>
        </w:tc>
      </w:tr>
      <w:tr>
        <w:tc>
          <w:tcPr>
            <w:tcW w:type="dxa" w:w="1200"/>
            <w:tcBorders>
              <w:top w:val="single" w:color="AAAAAA" w:sz="1"/>
              <w:left w:val="single" w:color="AAAAAA" w:sz="1"/>
              <w:bottom w:val="single" w:color="AAAAAA" w:sz="1"/>
              <w:right w:val="single" w:color="AAAAAA" w:sz="1"/>
            </w:tcBorders>
            <w:shd w:fill="C6A642"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HACER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65%</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Aprendizaje experiencial (Kolb, 1984); construccionismo—artefactos tangibles (Papert, 1991); ejemplo trabajado—worked example effect (Sweller, 1988)</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Video-tutoriales screencast ≤4 min por tarea atómica; instrucciones paso a paso numeradas; producción de entregables aplicados al negocio real</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Sección "Práctica Guiada" con pasos numerados y enlaces a herramientas; entregable definido al inicio</w:t>
            </w:r>
          </w:p>
        </w:tc>
      </w:tr>
      <w:tr>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ENTENDER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25%</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Fracaso productivo (Kapur, 2016); conceptualización abstracta post-experiencia (Kolb, 1984); microaprendizaje (Hug &amp; Friesen, 2007)</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Videos-concepto ≤4 min por principio; tono conversacional; referencias bibliográficas en sección opcional "Para Profundizar"</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Sección "Conceptos Clave" con explicaciones breves; enlaces a recursos de profundización (Gemini Shares, YouTube)</w:t>
            </w:r>
          </w:p>
        </w:tc>
      </w:tr>
      <w:tr>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COMPARTIR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5%</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Aprendizaje social (Bandura, 1977; Vygotsky, 1978); evaluación formativa entre pares (Black &amp; Wiliam, 1998)</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Publicación breve en foro o grupo de mensajería (WhatsApp/Telegram) con evidencia del artefacto + reflexión de 2-3 oraciones</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Sección "Compartir y Reflexionar" con pregunta reflexiva específica por semana</w:t>
            </w:r>
          </w:p>
        </w:tc>
      </w:tr>
    </w:tbl>
    <w:p>
      <w:pPr>
        <w:spacing w:after="0" w:before="120"/>
      </w:pPr>
      <w:r>
        <w:t xml:space="preserve"/>
      </w:r>
    </w:p>
    <w:p>
      <w:pPr>
        <w:pStyle w:val="Heading2"/>
      </w:pPr>
      <w:r>
        <w:rPr>
          <w:rFonts w:ascii="Arial" w:cs="Arial" w:eastAsia="Arial" w:hAnsi="Arial"/>
          <w:b/>
          <w:bCs/>
          <w:color w:val="003087"/>
          <w:sz w:val="28"/>
          <w:szCs w:val="28"/>
        </w:rPr>
        <w:t xml:space="preserve">3.3 Correspondencia RHEC con marcos teóricos establecidos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60"/>
        <w:gridCol w:w="1500"/>
        <w:gridCol w:w="1500"/>
      </w:tblGrid>
      <w:tr>
        <w:tc>
          <w:tcPr>
            <w:tcW w:type="dxa" w:w="15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 RHEC</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Kolb (1984)</w:t>
            </w:r>
          </w:p>
        </w:tc>
        <w:tc>
          <w:tcPr>
            <w:tcW w:type="dxa" w:w="28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Bloom Revisada (Anderson &amp; Krathwohl, 2001)</w:t>
            </w:r>
          </w:p>
        </w:tc>
        <w:tc>
          <w:tcPr>
            <w:tcW w:type="dxa" w:w="15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Kapur (2016)</w:t>
            </w:r>
          </w:p>
        </w:tc>
        <w:tc>
          <w:tcPr>
            <w:tcW w:type="dxa" w:w="15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Tiempo semanal</w:t>
            </w:r>
          </w:p>
        </w:tc>
      </w:tr>
      <w:tr>
        <w:tc>
          <w:tcPr>
            <w:tcW w:type="dxa" w:w="15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RETO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Experiencia concreta (activación)</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Recordar / Comprender (nivel activación)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Generación: activar conocimientos previos y detectar vacíos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~15 min</w:t>
            </w:r>
          </w:p>
        </w:tc>
      </w:tr>
      <w:tr>
        <w:tc>
          <w:tcPr>
            <w:tcW w:type="dxa" w:w="1500"/>
            <w:tcBorders>
              <w:top w:val="single" w:color="AAAAAA" w:sz="1"/>
              <w:left w:val="single" w:color="AAAAAA" w:sz="1"/>
              <w:bottom w:val="single" w:color="AAAAAA" w:sz="1"/>
              <w:right w:val="single" w:color="AAAAAA" w:sz="1"/>
            </w:tcBorders>
            <w:shd w:fill="C6A642"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HACER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Experimentación activa</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Aplicar / Analizar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Exploración: intento de solución guiada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~3-4 horas</w:t>
            </w:r>
          </w:p>
        </w:tc>
      </w:tr>
      <w:tr>
        <w:tc>
          <w:tcPr>
            <w:tcW w:type="dxa" w:w="15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ENTENDER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Conceptualización abstracta</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Analizar / Evaluar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Consolidación: instrucción que organiza las estructuras generadas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~1.5 horas</w:t>
            </w:r>
          </w:p>
        </w:tc>
      </w:tr>
      <w:tr>
        <w:tc>
          <w:tcPr>
            <w:tcW w:type="dxa" w:w="15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COMPARTIR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Observación reflexiva</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Evaluar / Crear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Transferencia: aplicación a nuevos contextos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~15 min</w:t>
            </w:r>
          </w:p>
        </w:tc>
      </w:tr>
    </w:tbl>
    <w:p>
      <w:pPr>
        <w:spacing w:after="0" w:before="120"/>
      </w:pPr>
      <w:r>
        <w:t xml:space="preserve"/>
      </w:r>
    </w:p>
    <w:p>
      <w:pPr>
        <w:spacing w:after="0" w:before="0"/>
      </w:pPr>
      <w:r>
        <w:br w:type="page"/>
      </w:r>
    </w:p>
    <w:p>
      <w:pPr>
        <w:pStyle w:val="Heading1"/>
      </w:pPr>
      <w:r>
        <w:rPr>
          <w:rFonts w:ascii="Arial" w:cs="Arial" w:eastAsia="Arial" w:hAnsi="Arial"/>
          <w:b/>
          <w:bCs/>
          <w:color w:val="003087"/>
          <w:sz w:val="36"/>
          <w:szCs w:val="36"/>
        </w:rPr>
        <w:t xml:space="preserve">4. Arquitectura del Programa: Estructura Modular del Sitio</w:t>
      </w:r>
    </w:p>
    <w:p>
      <w:pPr>
        <w:spacing w:after="80" w:before="80" w:line="320"/>
        <w:jc w:val="both"/>
      </w:pPr>
      <w:r>
        <w:rPr>
          <w:rFonts w:ascii="Arial" w:cs="Arial" w:eastAsia="Arial" w:hAnsi="Arial"/>
          <w:color w:val="4A4A4A"/>
          <w:sz w:val="22"/>
          <w:szCs w:val="22"/>
        </w:rPr>
        <w:t xml:space="preserve">Esta sección —ausente en la versión 1.0— documenta la arquitectura pedagógica concreta desplegada en el sitio web del programa, articulando la fundamentación metodológica de las secciones anteriores con la estructura curricular efectivamente implementada.</w:t>
      </w:r>
    </w:p>
    <w:p>
      <w:pPr>
        <w:pStyle w:val="Heading2"/>
      </w:pPr>
      <w:r>
        <w:rPr>
          <w:rFonts w:ascii="Arial" w:cs="Arial" w:eastAsia="Arial" w:hAnsi="Arial"/>
          <w:b/>
          <w:bCs/>
          <w:color w:val="003087"/>
          <w:sz w:val="28"/>
          <w:szCs w:val="28"/>
        </w:rPr>
        <w:t xml:space="preserve">4.1 Módulo 0: Diagnóstico de Entrada</w:t>
      </w:r>
    </w:p>
    <w:p>
      <w:pPr>
        <w:spacing w:after="80" w:before="80" w:line="320"/>
        <w:jc w:val="both"/>
      </w:pPr>
      <w:r>
        <w:rPr>
          <w:rFonts w:ascii="Arial" w:cs="Arial" w:eastAsia="Arial" w:hAnsi="Arial"/>
          <w:color w:val="4A4A4A"/>
          <w:sz w:val="22"/>
          <w:szCs w:val="22"/>
        </w:rPr>
        <w:t xml:space="preserve">El programa inicia con un diagnóstico adaptativo de tres preguntas que operacionaliza el principio andragógico de orientación a problemas (Knowles et al., 2015). El diagnóstico evalúa: (a) etapa de madurez del emprendimiento (idea → prototipo → ventas → negocio establecido), (b) urgencia operativa percibida (validación, finanzas, automatización, visibilidad), y (c) nivel de adopción tecnológica de IA. El algoritmo de derivación genera una ruta personalizada que puede iniciar en el Toolkit Pre-Operativo o directamente en el Módulo I, respetando la condición de aplicabilidad del Ciclo RHEC: que el aprendiz posea conocimiento tácito sobre su negocio que pueda activarse mediante el reto.</w:t>
      </w:r>
    </w:p>
    <w:p>
      <w:pPr>
        <w:pStyle w:val="Heading2"/>
      </w:pPr>
      <w:r>
        <w:rPr>
          <w:rFonts w:ascii="Arial" w:cs="Arial" w:eastAsia="Arial" w:hAnsi="Arial"/>
          <w:b/>
          <w:bCs/>
          <w:color w:val="003087"/>
          <w:sz w:val="28"/>
          <w:szCs w:val="28"/>
        </w:rPr>
        <w:t xml:space="preserve">4.2 Toolkit Pre-Operativo (Semanas T1-S1 a T1-S4)</w:t>
      </w:r>
    </w:p>
    <w:p>
      <w:pPr>
        <w:spacing w:after="80" w:before="80" w:line="320"/>
        <w:jc w:val="both"/>
      </w:pPr>
      <w:r>
        <w:rPr>
          <w:rFonts w:ascii="Arial" w:cs="Arial" w:eastAsia="Arial" w:hAnsi="Arial"/>
          <w:color w:val="4A4A4A"/>
          <w:sz w:val="22"/>
          <w:szCs w:val="22"/>
        </w:rPr>
        <w:t xml:space="preserve">El Toolkit Pre-Operativo atiende a emprendedores en etapas de idea o prototipo, para quienes los módulos principales presuponen condiciones de madurez empresarial aún no alcanzadas. Las cuatro semanas cubren: validación de tendencias de mercado (Google Trends, Exploding Topics), segmentación con Buyer Persona y Mapa de Empatía, diseño y análisis de encuesta de validación primaria, y construcción del Business Model Canvas mediante consultoría socrática con LLMs.</w:t>
      </w:r>
    </w:p>
    <w:p>
      <w:pPr>
        <w:spacing w:after="80" w:before="80" w:line="320"/>
        <w:jc w:val="both"/>
      </w:pPr>
      <w:r>
        <w:rPr>
          <w:rFonts w:ascii="Arial" w:cs="Arial" w:eastAsia="Arial" w:hAnsi="Arial"/>
          <w:color w:val="4A4A4A"/>
          <w:sz w:val="22"/>
          <w:szCs w:val="22"/>
        </w:rPr>
        <w:t xml:space="preserve">Esta estructura responde al postulado construccionista (Papert, 1991): cada semana produce un artefacto tangible —captura de tendencias, ficha de Buyer Persona, reporte cualitativo, canvas— que el participante puede utilizar inmediatamente en su negocio y que funciona como insumo acumulativo para los módulos posteriores.</w:t>
      </w:r>
    </w:p>
    <w:p>
      <w:pPr>
        <w:pStyle w:val="Heading2"/>
      </w:pPr>
      <w:r>
        <w:rPr>
          <w:rFonts w:ascii="Arial" w:cs="Arial" w:eastAsia="Arial" w:hAnsi="Arial"/>
          <w:b/>
          <w:bCs/>
          <w:color w:val="003087"/>
          <w:sz w:val="28"/>
          <w:szCs w:val="28"/>
        </w:rPr>
        <w:t xml:space="preserve">4.3 Módulo I: Diagnóstico Empresarial con IA (Semanas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60"/>
        <w:gridCol w:w="2000"/>
        <w:gridCol w:w="2000"/>
      </w:tblGrid>
      <w:tr>
        <w:tc>
          <w:tcPr>
            <w:tcW w:type="dxa" w:w="8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Semana</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Reto central</w:t>
            </w:r>
          </w:p>
        </w:tc>
        <w:tc>
          <w:tcPr>
            <w:tcW w:type="dxa" w:w="25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Práctica guiada (HACER)</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Conceptos clave (ENTENDER)</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Entregable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primera conversación productiva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Configuración de ChatGPT/Claude/Gemini con 2FA; primera descripción CIFRCE parcial del negocio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LLMs: predicción probabilística y alucinaciones; seguridad digital básica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Captura de conversación estructurando el negocio con IA</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De prompt mediocre a prompt poderoso</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Construcción del prompt CIFRCE completo; few-shot prompting; chain-of-thought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Mecánica estadística de reducción de ambigüedad; técnicas de role-play en LLMs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5 prompts CIFRCE optimizados para el negocio</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La radiografía de mi negocio</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FODA dinámico socrático; estado de resultados simplificado; análisis competitivo con Gemini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Margen bruto/neto; punto de equilibrio; análisis socrático vs FODA tradicional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Diagnóstico estratégico completo (FODA + finanzas básicas)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plan de acción de 90 días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Resumen ejecutivo IA-asistido; Matriz de Priorización IVU; cronograma con métricas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Estrategia como selección negativa; matriz IVU vs análisis costo-beneficio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Informe de Diagnóstico y Plan de Acción IA (5-8 pp.)</w:t>
            </w:r>
          </w:p>
        </w:tc>
      </w:tr>
    </w:tbl>
    <w:p>
      <w:pPr>
        <w:spacing w:after="0" w:before="120"/>
      </w:pPr>
      <w:r>
        <w:t xml:space="preserve"/>
      </w:r>
    </w:p>
    <w:p>
      <w:pPr>
        <w:pStyle w:val="Heading2"/>
      </w:pPr>
      <w:r>
        <w:rPr>
          <w:rFonts w:ascii="Arial" w:cs="Arial" w:eastAsia="Arial" w:hAnsi="Arial"/>
          <w:b/>
          <w:bCs/>
          <w:color w:val="003087"/>
          <w:sz w:val="28"/>
          <w:szCs w:val="28"/>
        </w:rPr>
        <w:t xml:space="preserve">4.4 Módulo II: Automatización de Procesos (Semanas 5-8)</w:t>
      </w:r>
    </w:p>
    <w:p>
      <w:pPr>
        <w:spacing w:after="80" w:before="80" w:line="320"/>
        <w:jc w:val="both"/>
      </w:pPr>
      <w:r>
        <w:rPr>
          <w:rFonts w:ascii="Arial" w:cs="Arial" w:eastAsia="Arial" w:hAnsi="Arial"/>
          <w:color w:val="4A4A4A"/>
          <w:sz w:val="22"/>
          <w:szCs w:val="22"/>
        </w:rPr>
        <w:t xml:space="preserve">El módulo de automatización se fundamenta en el principio de que la automatización solo tiene sentido cuando el proceso que se optimiza ya es comprendido —principio del andamiaje cognitivo (Vygotsky, 1978)—. Por ello, el módulo se ubica después de que el participante ha producido un diagnóstico y un plan de acción que identifican los procesos con mayor potencial de automatización.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60"/>
        <w:gridCol w:w="2000"/>
        <w:gridCol w:w="2000"/>
      </w:tblGrid>
      <w:tr>
        <w:tc>
          <w:tcPr>
            <w:tcW w:type="dxa" w:w="8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Semana</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Reto central</w:t>
            </w:r>
          </w:p>
        </w:tc>
        <w:tc>
          <w:tcPr>
            <w:tcW w:type="dxa" w:w="25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Práctica guiada (HACER)</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Conceptos clave (ENTENDER)</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Entregable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primer flujo automático</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Make.com: trigger Google Sheets → acción Gmail; manejo de errores con alert handler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Lógica no-code: trigger, acción, operaciones; optimización del plan gratuito (1.000 ops/mes)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Captura del escenario Make ejecutado exitosamente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chatbot de respuestas frecuentes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Árbol de decisiones en Make/n8n; filtros por palabras clave; protocolo de escalación humana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Balance humano-bot: IA gestiona volumen repetitivo, humano cierra ventas complejas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Diagrama del árbol y enlace de prueba del chatbot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7</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mini-CRM automático</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Google Sheets como CRM; clasificación IA-asistida de leads por prioridad (OpenAI/Gemini API en Make)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CRM como núcleo de ventas; pre-calificación automática de prospectos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Pipeline en Google Sheets llenado automáticamente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automatización en producción</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Pruebas con datos erróneos; ficha técnica del flujo; cálculo de ROI (horas×costo − licencias)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Justificación económica de la automatización; umbrales de viabilidad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Flujo documentado + análisis de ROI</w:t>
            </w:r>
          </w:p>
        </w:tc>
      </w:tr>
    </w:tbl>
    <w:p>
      <w:pPr>
        <w:spacing w:after="0" w:before="120"/>
      </w:pPr>
      <w:r>
        <w:t xml:space="preserve"/>
      </w:r>
    </w:p>
    <w:p>
      <w:pPr>
        <w:pStyle w:val="Heading2"/>
      </w:pPr>
      <w:r>
        <w:rPr>
          <w:rFonts w:ascii="Arial" w:cs="Arial" w:eastAsia="Arial" w:hAnsi="Arial"/>
          <w:b/>
          <w:bCs/>
          <w:color w:val="003087"/>
          <w:sz w:val="28"/>
          <w:szCs w:val="28"/>
        </w:rPr>
        <w:t xml:space="preserve">4.5 Módulo III: Contenido y Comercialización (Semanas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60"/>
        <w:gridCol w:w="2000"/>
        <w:gridCol w:w="2000"/>
      </w:tblGrid>
      <w:tr>
        <w:tc>
          <w:tcPr>
            <w:tcW w:type="dxa" w:w="8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Semana</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Reto central</w:t>
            </w:r>
          </w:p>
        </w:tc>
        <w:tc>
          <w:tcPr>
            <w:tcW w:type="dxa" w:w="25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Práctica guiada (HACER)</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Conceptos clave (ENTENDER)</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Entregable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9</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kit visual de marca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Paleta de colores/tipografía con LLM; Brand Hub de Canva; Canva Magic Design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Psicología del color en branding; consistencia visual como señal de confianza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Brand Kit + 5 plantillas para redes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primer video con IA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Guion AIDA con LLM; voz sintética Eleven Labs; edición CapCut con subtítulos automáticos; avatar opcional (HeyGen)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Ética en contenidos sintéticos: declaración de avatar/voz IA; derechos de imagen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Video de 30-60 seg publicable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¿Vale la pena invertir?</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Investigación de mercado con Gemini; proyección de flujo de caja 6 meses con LLM; punto de equilibrio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Prefactibilidad como filtro de errores sobre papel; análisis técnico, comercial y económico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Documento de prefactibilidad (2-3 pp.)</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Mi campaña de lanzamiento completa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Copys AIDA para redes/correo; funnel: anuncio→Forms→CRM→correo de bienvenida; plan 7 días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Framework AIDA como camino psicológico del cliente; integración de la campaña como condición de efectividad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Plan de campaña AIDA + activos digitales multimedia</w:t>
            </w:r>
          </w:p>
        </w:tc>
      </w:tr>
    </w:tbl>
    <w:p>
      <w:pPr>
        <w:spacing w:after="0" w:before="120"/>
      </w:pPr>
      <w:r>
        <w:t xml:space="preserve"/>
      </w:r>
    </w:p>
    <w:p>
      <w:pPr>
        <w:spacing w:after="0" w:before="0"/>
      </w:pPr>
      <w:r>
        <w:br w:type="page"/>
      </w:r>
    </w:p>
    <w:p>
      <w:pPr>
        <w:pStyle w:val="Heading1"/>
      </w:pPr>
      <w:r>
        <w:rPr>
          <w:rFonts w:ascii="Arial" w:cs="Arial" w:eastAsia="Arial" w:hAnsi="Arial"/>
          <w:b/>
          <w:bCs/>
          <w:color w:val="003087"/>
          <w:sz w:val="36"/>
          <w:szCs w:val="36"/>
        </w:rPr>
        <w:t xml:space="preserve">5. La Estrategia de Microcontenidización Audiovisual</w:t>
      </w:r>
    </w:p>
    <w:p>
      <w:pPr>
        <w:pStyle w:val="Heading2"/>
      </w:pPr>
      <w:r>
        <w:rPr>
          <w:rFonts w:ascii="Arial" w:cs="Arial" w:eastAsia="Arial" w:hAnsi="Arial"/>
          <w:b/>
          <w:bCs/>
          <w:color w:val="003087"/>
          <w:sz w:val="28"/>
          <w:szCs w:val="28"/>
        </w:rPr>
        <w:t xml:space="preserve">5.1 Fundamentos del microaprendizaje</w:t>
      </w:r>
    </w:p>
    <w:p>
      <w:pPr>
        <w:spacing w:after="80" w:before="80" w:line="320"/>
        <w:jc w:val="both"/>
      </w:pPr>
      <w:r>
        <w:rPr>
          <w:rFonts w:ascii="Arial" w:cs="Arial" w:eastAsia="Arial" w:hAnsi="Arial"/>
          <w:color w:val="4A4A4A"/>
          <w:sz w:val="22"/>
          <w:szCs w:val="22"/>
        </w:rPr>
        <w:t xml:space="preserve">El microaprendizaje se define como una estrategia instruccional que organiza el contenido en unidades breves, autónomas y enfocadas en un solo objetivo de aprendizaje, típicamente de 2 a 10 minutos (Hug &amp; Friesen, 2007; Giurgiu, 2017). Su eficacia se sustenta en tres mecanismos cognitivos:</w:t>
      </w:r>
    </w:p>
    <w:p>
      <w:pPr>
        <w:spacing w:after="80" w:before="100" w:line="320"/>
        <w:jc w:val="both"/>
      </w:pPr>
      <w:r>
        <w:rPr>
          <w:rFonts w:ascii="Arial" w:cs="Arial" w:eastAsia="Arial" w:hAnsi="Arial"/>
          <w:b/>
          <w:bCs/>
          <w:i w:val="false"/>
          <w:iCs w:val="false"/>
          <w:color w:val="4A4A4A"/>
          <w:sz w:val="22"/>
          <w:szCs w:val="22"/>
        </w:rPr>
        <w:t xml:space="preserve">Segmentación. </w:t>
      </w:r>
      <w:r>
        <w:rPr>
          <w:rFonts w:ascii="Arial" w:cs="Arial" w:eastAsia="Arial" w:hAnsi="Arial"/>
          <w:b w:val="false"/>
          <w:bCs w:val="false"/>
          <w:i w:val="false"/>
          <w:iCs w:val="false"/>
          <w:color w:val="4A4A4A"/>
          <w:sz w:val="22"/>
          <w:szCs w:val="22"/>
        </w:rPr>
        <w:t xml:space="preserve">Mayer (2009) demostró que las personas aprenden mejor cuando una lección compleja se presenta en segmentos manejables. La segmentación reduce la carga cognitiva al permitir que el aprendiz procese cada segmento antes de avanzar.</w:t>
      </w:r>
    </w:p>
    <w:p>
      <w:pPr>
        <w:spacing w:after="80" w:before="80" w:line="320"/>
        <w:jc w:val="both"/>
      </w:pPr>
      <w:r>
        <w:rPr>
          <w:rFonts w:ascii="Arial" w:cs="Arial" w:eastAsia="Arial" w:hAnsi="Arial"/>
          <w:b/>
          <w:bCs/>
          <w:i w:val="false"/>
          <w:iCs w:val="false"/>
          <w:color w:val="4A4A4A"/>
          <w:sz w:val="22"/>
          <w:szCs w:val="22"/>
        </w:rPr>
        <w:t xml:space="preserve">Práctica de recuperación. </w:t>
      </w:r>
      <w:r>
        <w:rPr>
          <w:rFonts w:ascii="Arial" w:cs="Arial" w:eastAsia="Arial" w:hAnsi="Arial"/>
          <w:b w:val="false"/>
          <w:bCs w:val="false"/>
          <w:i w:val="false"/>
          <w:iCs w:val="false"/>
          <w:color w:val="4A4A4A"/>
          <w:sz w:val="22"/>
          <w:szCs w:val="22"/>
        </w:rPr>
        <w:t xml:space="preserve">Roediger y Butler (2011) establecieron que el acto de recuperar información de la memoria —no la mera exposición repetida— es el mecanismo más potente de consolidación mnémica. Los videos breves seguidos de ejercicios prácticos fuerzan la recuperación inmediata.</w:t>
      </w:r>
    </w:p>
    <w:p>
      <w:pPr>
        <w:spacing w:after="80" w:before="80" w:line="320"/>
        <w:jc w:val="both"/>
      </w:pPr>
      <w:r>
        <w:rPr>
          <w:rFonts w:ascii="Arial" w:cs="Arial" w:eastAsia="Arial" w:hAnsi="Arial"/>
          <w:b/>
          <w:bCs/>
          <w:i w:val="false"/>
          <w:iCs w:val="false"/>
          <w:color w:val="4A4A4A"/>
          <w:sz w:val="22"/>
          <w:szCs w:val="22"/>
        </w:rPr>
        <w:t xml:space="preserve">Espaciamiento. </w:t>
      </w:r>
      <w:r>
        <w:rPr>
          <w:rFonts w:ascii="Arial" w:cs="Arial" w:eastAsia="Arial" w:hAnsi="Arial"/>
          <w:b w:val="false"/>
          <w:bCs w:val="false"/>
          <w:i w:val="false"/>
          <w:iCs w:val="false"/>
          <w:color w:val="4A4A4A"/>
          <w:sz w:val="22"/>
          <w:szCs w:val="22"/>
        </w:rPr>
        <w:t xml:space="preserve">Cepeda et al. (2006) confirmaron que distribuir el aprendizaje en sesiones cortas produce retención significativamente superior al estudio masificado. La estructura semanal del programa, con múltiples videos cortos distribuidos a lo largo de varios días, aprovecha este efecto.</w:t>
      </w:r>
    </w:p>
    <w:p>
      <w:pPr>
        <w:pStyle w:val="Heading2"/>
      </w:pPr>
      <w:r>
        <w:rPr>
          <w:rFonts w:ascii="Arial" w:cs="Arial" w:eastAsia="Arial" w:hAnsi="Arial"/>
          <w:b/>
          <w:bCs/>
          <w:color w:val="003087"/>
          <w:sz w:val="28"/>
          <w:szCs w:val="28"/>
        </w:rPr>
        <w:t xml:space="preserve">5.2 Tipología de recursos en el modelo 70/30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100"/>
        <w:gridCol w:w="2060"/>
        <w:gridCol w:w="1400"/>
        <w:gridCol w:w="1400"/>
      </w:tblGrid>
      <w:tr>
        <w:tc>
          <w:tcPr>
            <w:tcW w:type="dxa" w:w="1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Tipo de recurso</w:t>
            </w:r>
          </w:p>
        </w:tc>
        <w:tc>
          <w:tcPr>
            <w:tcW w:type="dxa" w:w="1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 RHEC</w:t>
            </w:r>
          </w:p>
        </w:tc>
        <w:tc>
          <w:tcPr>
            <w:tcW w:type="dxa" w:w="21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Función pedagógica</w:t>
            </w:r>
          </w:p>
        </w:tc>
        <w:tc>
          <w:tcPr>
            <w:tcW w:type="dxa" w:w="20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Formato técnico</w:t>
            </w:r>
          </w:p>
        </w:tc>
        <w:tc>
          <w:tcPr>
            <w:tcW w:type="dxa" w:w="1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Conocimiento</w:t>
            </w:r>
          </w:p>
        </w:tc>
        <w:tc>
          <w:tcPr>
            <w:tcW w:type="dxa" w:w="1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Proporción</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Video-Tutorial</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HACER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Enseñar a ejecutar una tarea específica paso a paso mediante el worked example effect</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Screencast con narración; tarea atómica única; máx. 4 min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Procedimental (saber-hacer)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~65% del contenido de video</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Video-Concepto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ENTENDER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Contextualizar el marco teórico que da sentido a la experiencia práctica previa</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Talking head o animación explicativa; tono conversacional; 1 concepto por video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Declarativo (saber-qué) y condicional (saber-cuándo)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~25% del contenido de video</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Video-Caso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RETO / COMPARTIR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Mostrar aplicación real en contexto MiPYME costarricense; modelado vicario (Bandura, 1977)</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Documental breve / entrevista; participante anonimizado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Condicional y metacognitivo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Complementario (Fase Beta)</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Infografía</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ENTENDER / RETO</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Síntesis visual de conceptos clave; ancla semántica del contenido de la semana</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Imagen estática de alta densidad informacional; accesible en el sitio y descargable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Declarativo y procedimental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1 por semana (actualmente implementada en el sitio)</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Asistente Virtual IA</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Todas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Soporte personalizado on-demand; modelado de interacción CIFRCE en vivo</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GEM (GPT/Gemini personalizado) entrenado en contenidos del programa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Procedimental y metacognitivo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Transversal a todo el programa</w:t>
            </w:r>
          </w:p>
        </w:tc>
      </w:tr>
    </w:tbl>
    <w:p>
      <w:pPr>
        <w:spacing w:after="0" w:before="120"/>
      </w:pPr>
      <w:r>
        <w:t xml:space="preserve"/>
      </w:r>
    </w:p>
    <w:p>
      <w:pPr>
        <w:pStyle w:val="Heading2"/>
      </w:pPr>
      <w:r>
        <w:rPr>
          <w:rFonts w:ascii="Arial" w:cs="Arial" w:eastAsia="Arial" w:hAnsi="Arial"/>
          <w:b/>
          <w:bCs/>
          <w:color w:val="003087"/>
          <w:sz w:val="28"/>
          <w:szCs w:val="28"/>
        </w:rPr>
        <w:t xml:space="preserve">5.3 La regla de los 4 minutos: fundamentación empírica</w:t>
      </w:r>
    </w:p>
    <w:p>
      <w:pPr>
        <w:spacing w:after="80" w:before="80" w:line="320"/>
        <w:jc w:val="both"/>
      </w:pPr>
      <w:r>
        <w:rPr>
          <w:rFonts w:ascii="Arial" w:cs="Arial" w:eastAsia="Arial" w:hAnsi="Arial"/>
          <w:color w:val="4A4A4A"/>
          <w:sz w:val="22"/>
          <w:szCs w:val="22"/>
        </w:rPr>
        <w:t xml:space="preserve">El límite de 4 minutos por video no es una decisión arbitraria sino una parametrización basada en evidencia empírica. Guo, Kim y Rubin (2014), en el estudio más extenso sobre engagement en video educativo (6.9 millones de sesiones en la plataforma edX), encontraron que: (a) la mediana de engagement cae abruptamente después de los 6 minutos; (b) los videos de menos de 6 minutos tienen tasas de finalización sustancialmente mayores; (c) los videos producidos informalmente (estilo Khan Academy con tableta digital) superan en engagement a las producciones profesionales de estudio. Para el público meta del programa —adultos sin formación académica, con atención fragmentada por demandas operativas— el umbral de 4 minutos aplica un margen conservador que maximiza la probabilidad de finalización.</w:t>
      </w:r>
    </w:p>
    <w:p>
      <w:pPr>
        <w:spacing w:after="0" w:before="0"/>
      </w:pPr>
      <w:r>
        <w:br w:type="page"/>
      </w:r>
    </w:p>
    <w:p>
      <w:pPr>
        <w:pStyle w:val="Heading1"/>
      </w:pPr>
      <w:r>
        <w:rPr>
          <w:rFonts w:ascii="Arial" w:cs="Arial" w:eastAsia="Arial" w:hAnsi="Arial"/>
          <w:b/>
          <w:bCs/>
          <w:color w:val="003087"/>
          <w:sz w:val="36"/>
          <w:szCs w:val="36"/>
        </w:rPr>
        <w:t xml:space="preserve">6. El Principio Human-in-the-Loop como Eje Ético Transversal</w:t>
      </w:r>
    </w:p>
    <w:p>
      <w:pPr>
        <w:spacing w:after="80" w:before="80" w:line="320"/>
        <w:jc w:val="both"/>
      </w:pPr>
      <w:r>
        <w:rPr>
          <w:rFonts w:ascii="Arial" w:cs="Arial" w:eastAsia="Arial" w:hAnsi="Arial"/>
          <w:color w:val="4A4A4A"/>
          <w:sz w:val="22"/>
          <w:szCs w:val="22"/>
        </w:rPr>
        <w:t xml:space="preserve">La versión 1.0 de la fundamentación no formalizaba el componente ético del programa. El sitio implementado introduce explícitamente el principio Human-in-the-Loop como tercer pilar metodológico, con igual jerarquía que el Modelo CIFRCE y el Ciclo RHEC.</w:t>
      </w:r>
    </w:p>
    <w:p>
      <w:pPr>
        <w:pStyle w:val="Heading2"/>
      </w:pPr>
      <w:r>
        <w:rPr>
          <w:rFonts w:ascii="Arial" w:cs="Arial" w:eastAsia="Arial" w:hAnsi="Arial"/>
          <w:b/>
          <w:bCs/>
          <w:color w:val="003087"/>
          <w:sz w:val="28"/>
          <w:szCs w:val="28"/>
        </w:rPr>
        <w:t xml:space="preserve">6.1 Definición y fundamento</w:t>
      </w:r>
    </w:p>
    <w:p>
      <w:pPr>
        <w:spacing w:after="80" w:before="80" w:line="320"/>
        <w:jc w:val="both"/>
      </w:pPr>
      <w:r>
        <w:rPr>
          <w:rFonts w:ascii="Arial" w:cs="Arial" w:eastAsia="Arial" w:hAnsi="Arial"/>
          <w:color w:val="4A4A4A"/>
          <w:sz w:val="22"/>
          <w:szCs w:val="22"/>
        </w:rPr>
        <w:t xml:space="preserve">El principio Human-in-the-Loop (HITL) establece que la IA propone y el humano dispone: toda salida generada por un sistema de IA debe pasar por el criterio evaluativo del operador humano antes de ser adoptada o ejecutada. En el contexto del programa, este principio se operacionaliza en tres dimensiones:</w:t>
      </w:r>
    </w:p>
    <w:p>
      <w:pPr>
        <w:pStyle w:val="ListParagraph"/>
        <w:numPr>
          <w:ilvl w:val="0"/>
          <w:numId w:val="2"/>
        </w:numPr>
        <w:spacing w:after="60" w:before="60" w:line="300"/>
      </w:pPr>
      <w:r>
        <w:rPr>
          <w:rFonts w:ascii="Arial" w:cs="Arial" w:eastAsia="Arial" w:hAnsi="Arial"/>
          <w:color w:val="4A4A4A"/>
          <w:sz w:val="22"/>
          <w:szCs w:val="22"/>
        </w:rPr>
        <w:t xml:space="preserve">Criterio empresarial: el microempresario evalúa la pertinencia contextual de cada output de IA a la luz de su conocimiento tácito del negocio, los datos locales y las relaciones con clientes —dimensiones que los modelos de lenguaje no pueden conocer por diseño—.</w:t>
      </w:r>
    </w:p>
    <w:p>
      <w:pPr>
        <w:pStyle w:val="ListParagraph"/>
        <w:numPr>
          <w:ilvl w:val="0"/>
          <w:numId w:val="2"/>
        </w:numPr>
        <w:spacing w:after="60" w:before="60" w:line="300"/>
      </w:pPr>
      <w:r>
        <w:rPr>
          <w:rFonts w:ascii="Arial" w:cs="Arial" w:eastAsia="Arial" w:hAnsi="Arial"/>
          <w:color w:val="4A4A4A"/>
          <w:sz w:val="22"/>
          <w:szCs w:val="22"/>
        </w:rPr>
        <w:t xml:space="preserve">Ética del contenido: se instruye explícitamente sobre la declaración de transparencia cuando se usan avatares o voces sintéticas (Semana 10), respeto a derechos de imagen, y limitaciones de los datos de entrenamiento de los modelos.</w:t>
      </w:r>
    </w:p>
    <w:p>
      <w:pPr>
        <w:pStyle w:val="ListParagraph"/>
        <w:numPr>
          <w:ilvl w:val="0"/>
          <w:numId w:val="2"/>
        </w:numPr>
        <w:spacing w:after="60" w:before="60" w:line="300"/>
      </w:pPr>
      <w:r>
        <w:rPr>
          <w:rFonts w:ascii="Arial" w:cs="Arial" w:eastAsia="Arial" w:hAnsi="Arial"/>
          <w:color w:val="4A4A4A"/>
          <w:sz w:val="22"/>
          <w:szCs w:val="22"/>
        </w:rPr>
        <w:t xml:space="preserve">Seguridad digital: la Semana 1 establece protocolos de higiene digital (2FA, control de datos sensibles, configuración de privacidad) como condición previa de toda interacción con herramientas de IA.</w:t>
      </w:r>
    </w:p>
    <w:p>
      <w:pPr>
        <w:pStyle w:val="Heading2"/>
      </w:pPr>
      <w:r>
        <w:rPr>
          <w:rFonts w:ascii="Arial" w:cs="Arial" w:eastAsia="Arial" w:hAnsi="Arial"/>
          <w:b/>
          <w:bCs/>
          <w:color w:val="003087"/>
          <w:sz w:val="28"/>
          <w:szCs w:val="28"/>
        </w:rPr>
        <w:t xml:space="preserve">6.2 Fundamentación en el marco costarricense</w:t>
      </w:r>
    </w:p>
    <w:p>
      <w:pPr>
        <w:spacing w:after="80" w:before="80" w:line="320"/>
        <w:jc w:val="both"/>
      </w:pPr>
      <w:r>
        <w:rPr>
          <w:rFonts w:ascii="Arial" w:cs="Arial" w:eastAsia="Arial" w:hAnsi="Arial"/>
          <w:color w:val="4A4A4A"/>
          <w:sz w:val="22"/>
          <w:szCs w:val="22"/>
        </w:rPr>
        <w:t xml:space="preserve">El principio HITL se alinea con el marco normativo emergente de IA en Costa Rica. La Política Nacional de Inteligencia Artificial (MICITT, 2023) y el proyecto de ley de regulación de IA en discusión en la Asamblea Legislativa plantean la responsabilidad humana como condición de legitimidad en el uso de sistemas autónomos. Asimismo, la Ley 8968 (Protección de la Persona frente al Tratamiento de sus Datos Personales) establece obligaciones que los microempresarios que usen IA deben conocer, en particular respecto al tratamiento de datos de sus clientes en plataformas de terceros.</w:t>
      </w:r>
    </w:p>
    <w:p>
      <w:pPr>
        <w:spacing w:after="0" w:before="0"/>
      </w:pPr>
      <w:r>
        <w:br w:type="page"/>
      </w:r>
    </w:p>
    <w:p>
      <w:pPr>
        <w:pStyle w:val="Heading1"/>
      </w:pPr>
      <w:r>
        <w:rPr>
          <w:rFonts w:ascii="Arial" w:cs="Arial" w:eastAsia="Arial" w:hAnsi="Arial"/>
          <w:b/>
          <w:bCs/>
          <w:color w:val="003087"/>
          <w:sz w:val="36"/>
          <w:szCs w:val="36"/>
        </w:rPr>
        <w:t xml:space="preserve">7. La Proporción 70/30: Justificación de la Distribución</w:t>
      </w:r>
    </w:p>
    <w:p>
      <w:pPr>
        <w:pStyle w:val="Heading2"/>
      </w:pPr>
      <w:r>
        <w:rPr>
          <w:rFonts w:ascii="Arial" w:cs="Arial" w:eastAsia="Arial" w:hAnsi="Arial"/>
          <w:b/>
          <w:bCs/>
          <w:color w:val="003087"/>
          <w:sz w:val="28"/>
          <w:szCs w:val="28"/>
        </w:rPr>
        <w:t xml:space="preserve">7.1 Origen conceptual</w:t>
      </w:r>
    </w:p>
    <w:p>
      <w:pPr>
        <w:spacing w:after="80" w:before="80" w:line="320"/>
        <w:jc w:val="both"/>
      </w:pPr>
      <w:r>
        <w:rPr>
          <w:rFonts w:ascii="Arial" w:cs="Arial" w:eastAsia="Arial" w:hAnsi="Arial"/>
          <w:color w:val="4A4A4A"/>
          <w:sz w:val="22"/>
          <w:szCs w:val="22"/>
        </w:rPr>
        <w:t xml:space="preserve">La proporción 70/30 (práctica/teoría) se inspira —aunque no replica mecánicamente— en el modelo 70-20-10 de Lombardo y Eichinger (1996), según el cual el desarrollo profesional efectivo proviene en un 70% de experiencias laborales desafiantes, en un 20% de relaciones de desarrollo y en un 10% de educación formal. Aunque la evidencia empírica directa para estas proporciones exactas es limitada (Clardy, 2018), el principio subyacente —que la mayor parte del aprendizaje profesional ocurre en la práctica— es consistente con décadas de investigación en aprendizaje organizacional (Eraut, 2004; Marsick &amp; Watkins, 2001).</w:t>
      </w:r>
    </w:p>
    <w:p>
      <w:pPr>
        <w:pStyle w:val="Heading2"/>
      </w:pPr>
      <w:r>
        <w:rPr>
          <w:rFonts w:ascii="Arial" w:cs="Arial" w:eastAsia="Arial" w:hAnsi="Arial"/>
          <w:b/>
          <w:bCs/>
          <w:color w:val="003087"/>
          <w:sz w:val="28"/>
          <w:szCs w:val="28"/>
        </w:rPr>
        <w:t xml:space="preserve">7.2 Operacionalización en el Ciclo RHEC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560"/>
        <w:gridCol w:w="2000"/>
        <w:gridCol w:w="1500"/>
        <w:gridCol w:w="1000"/>
      </w:tblGrid>
      <w:tr>
        <w:tc>
          <w:tcPr>
            <w:tcW w:type="dxa" w:w="14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w:t>
            </w:r>
          </w:p>
        </w:tc>
        <w:tc>
          <w:tcPr>
            <w:tcW w:type="dxa" w:w="9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Peso</w:t>
            </w:r>
          </w:p>
        </w:tc>
        <w:tc>
          <w:tcPr>
            <w:tcW w:type="dxa" w:w="256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Tipo de actividad</w:t>
            </w:r>
          </w:p>
        </w:tc>
        <w:tc>
          <w:tcPr>
            <w:tcW w:type="dxa" w:w="2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Tipo de conocimiento</w:t>
            </w:r>
          </w:p>
        </w:tc>
        <w:tc>
          <w:tcPr>
            <w:tcW w:type="dxa" w:w="15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Bloque</w:t>
            </w:r>
          </w:p>
        </w:tc>
        <w:tc>
          <w:tcPr>
            <w:tcW w:type="dxa" w:w="10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Tiempo aprox.</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RETO</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5%</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Lectura de tarjeta + activación de esquemas previos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Activación de previos</w:t>
            </w:r>
          </w:p>
        </w:tc>
        <w:tc>
          <w:tcPr>
            <w:tcW w:type="dxa" w:w="1500"/>
            <w:tcBorders>
              <w:top w:val="single" w:color="AAAAAA" w:sz="1"/>
              <w:left w:val="single" w:color="AAAAAA" w:sz="1"/>
              <w:bottom w:val="single" w:color="AAAAAA" w:sz="1"/>
              <w:right w:val="single" w:color="AAAAAA" w:sz="1"/>
            </w:tcBorders>
            <w:shd w:fill="C6A642"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70% PRÁCTICO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~15 min</w:t>
            </w:r>
          </w:p>
        </w:tc>
      </w:tr>
      <w:tr>
        <w:tc>
          <w:tcPr>
            <w:tcW w:type="dxa" w:w="1400"/>
            <w:tcBorders>
              <w:top w:val="single" w:color="AAAAAA" w:sz="1"/>
              <w:left w:val="single" w:color="AAAAAA" w:sz="1"/>
              <w:bottom w:val="single" w:color="AAAAAA" w:sz="1"/>
              <w:right w:val="single" w:color="AAAAAA" w:sz="1"/>
            </w:tcBorders>
            <w:shd w:fill="C6A642"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HACER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65%</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Video-tutoriales + ejercicios aplicados al negocio real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Procedimental (saber-hacer)</w:t>
            </w:r>
          </w:p>
        </w:tc>
        <w:tc>
          <w:tcPr>
            <w:tcW w:type="dxa" w:w="1500"/>
            <w:tcBorders>
              <w:top w:val="single" w:color="AAAAAA" w:sz="1"/>
              <w:left w:val="single" w:color="AAAAAA" w:sz="1"/>
              <w:bottom w:val="single" w:color="AAAAAA" w:sz="1"/>
              <w:right w:val="single" w:color="AAAAAA" w:sz="1"/>
            </w:tcBorders>
            <w:shd w:fill="C6A642"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70% PRÁCTICO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3-4 h</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ENTENDER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25%</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Videos-concepto + lectura opcional + infografía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Declarativo / condicional</w:t>
            </w:r>
          </w:p>
        </w:tc>
        <w:tc>
          <w:tcPr>
            <w:tcW w:type="dxa" w:w="1500"/>
            <w:tcBorders>
              <w:top w:val="single" w:color="AAAAAA" w:sz="1"/>
              <w:left w:val="single" w:color="AAAAAA" w:sz="1"/>
              <w:bottom w:val="single" w:color="AAAAAA" w:sz="1"/>
              <w:right w:val="single" w:color="AAAAAA" w:sz="1"/>
            </w:tcBorders>
            <w:shd w:fill="00308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30% TEÓRICO</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~1.5 h</w:t>
            </w:r>
          </w:p>
        </w:tc>
      </w:tr>
      <w:tr>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spacing w:after="40" w:before="40"/>
              <w:jc w:val="left"/>
            </w:pPr>
            <w:r>
              <w:rPr>
                <w:rFonts w:ascii="Arial" w:cs="Arial" w:eastAsia="Arial" w:hAnsi="Arial"/>
                <w:b/>
                <w:bCs/>
                <w:color w:val="4A4A4A"/>
                <w:sz w:val="20"/>
                <w:szCs w:val="20"/>
              </w:rPr>
              <w:t xml:space="preserve">COMPARTIR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5%</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Foro / WhatsApp + retroalimentación entre pares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Metacognitivo</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A4A4A"/>
                <w:sz w:val="20"/>
                <w:szCs w:val="20"/>
              </w:rPr>
              <w:t xml:space="preserve">Variable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A4A4A"/>
                <w:sz w:val="20"/>
                <w:szCs w:val="20"/>
              </w:rPr>
              <w:t xml:space="preserve">~15 min</w:t>
            </w:r>
          </w:p>
        </w:tc>
      </w:tr>
    </w:tbl>
    <w:p>
      <w:pPr>
        <w:spacing w:after="0" w:before="120"/>
      </w:pPr>
      <w:r>
        <w:t xml:space="preserve"/>
      </w:r>
    </w:p>
    <w:p>
      <w:pPr>
        <w:pStyle w:val="Heading2"/>
      </w:pPr>
      <w:r>
        <w:rPr>
          <w:rFonts w:ascii="Arial" w:cs="Arial" w:eastAsia="Arial" w:hAnsi="Arial"/>
          <w:b/>
          <w:bCs/>
          <w:color w:val="003087"/>
          <w:sz w:val="28"/>
          <w:szCs w:val="28"/>
        </w:rPr>
        <w:t xml:space="preserve">7.3 Lo que la proporción 70/30 NO implica</w:t>
      </w:r>
    </w:p>
    <w:p>
      <w:pPr>
        <w:spacing w:after="80" w:before="100" w:line="320"/>
        <w:jc w:val="both"/>
      </w:pPr>
      <w:r>
        <w:rPr>
          <w:rFonts w:ascii="Arial" w:cs="Arial" w:eastAsia="Arial" w:hAnsi="Arial"/>
          <w:b/>
          <w:bCs/>
          <w:i w:val="false"/>
          <w:iCs w:val="false"/>
          <w:color w:val="4A4A4A"/>
          <w:sz w:val="22"/>
          <w:szCs w:val="22"/>
        </w:rPr>
        <w:t xml:space="preserve">No implica reducción del rigor teórico. </w:t>
      </w:r>
      <w:r>
        <w:rPr>
          <w:rFonts w:ascii="Arial" w:cs="Arial" w:eastAsia="Arial" w:hAnsi="Arial"/>
          <w:b w:val="false"/>
          <w:bCs w:val="false"/>
          <w:i w:val="false"/>
          <w:iCs w:val="false"/>
          <w:color w:val="4A4A4A"/>
          <w:sz w:val="22"/>
          <w:szCs w:val="22"/>
        </w:rPr>
        <w:t xml:space="preserve">El corpus conceptual del programa se mantiene intacto; lo que cambia es su formato (de texto extenso a microvídeo e infografía), su ubicación temporal (de prerrequisito a consecuencia de la práctica) y su carácter (de obligatorio a contextualizado).</w:t>
      </w:r>
    </w:p>
    <w:p>
      <w:pPr>
        <w:spacing w:after="80" w:before="80" w:line="320"/>
        <w:jc w:val="both"/>
      </w:pPr>
      <w:r>
        <w:rPr>
          <w:rFonts w:ascii="Arial" w:cs="Arial" w:eastAsia="Arial" w:hAnsi="Arial"/>
          <w:b/>
          <w:bCs/>
          <w:i w:val="false"/>
          <w:iCs w:val="false"/>
          <w:color w:val="4A4A4A"/>
          <w:sz w:val="22"/>
          <w:szCs w:val="22"/>
        </w:rPr>
        <w:t xml:space="preserve">No implica empirismo ingenuo. </w:t>
      </w:r>
      <w:r>
        <w:rPr>
          <w:rFonts w:ascii="Arial" w:cs="Arial" w:eastAsia="Arial" w:hAnsi="Arial"/>
          <w:b w:val="false"/>
          <w:bCs w:val="false"/>
          <w:i w:val="false"/>
          <w:iCs w:val="false"/>
          <w:color w:val="4A4A4A"/>
          <w:sz w:val="22"/>
          <w:szCs w:val="22"/>
        </w:rPr>
        <w:t xml:space="preserve">La fase HACER no es exploración libre: está guiada por instrucciones paso a paso que incorporan los principios del ejemplo trabajado (Sweller, 1988). El participante replica y adapta una demostración guiada, no descubre la herramienta sin orientación.</w:t>
      </w:r>
    </w:p>
    <w:p>
      <w:pPr>
        <w:spacing w:after="80" w:before="80" w:line="320"/>
        <w:jc w:val="both"/>
      </w:pPr>
      <w:r>
        <w:rPr>
          <w:rFonts w:ascii="Arial" w:cs="Arial" w:eastAsia="Arial" w:hAnsi="Arial"/>
          <w:b/>
          <w:bCs/>
          <w:i w:val="false"/>
          <w:iCs w:val="false"/>
          <w:color w:val="4A4A4A"/>
          <w:sz w:val="22"/>
          <w:szCs w:val="22"/>
        </w:rPr>
        <w:t xml:space="preserve">No implica anti-intelectualismo. </w:t>
      </w:r>
      <w:r>
        <w:rPr>
          <w:rFonts w:ascii="Arial" w:cs="Arial" w:eastAsia="Arial" w:hAnsi="Arial"/>
          <w:b w:val="false"/>
          <w:bCs w:val="false"/>
          <w:i w:val="false"/>
          <w:iCs w:val="false"/>
          <w:color w:val="4A4A4A"/>
          <w:sz w:val="22"/>
          <w:szCs w:val="22"/>
        </w:rPr>
        <w:t xml:space="preserve">La decisión de presentar la teoría después de la práctica refleja un juicio empíricamente informado sobre la secuencia que maximiza la internalización de ambos tipos de conocimiento para el público meta específico del programa, no un juicio de valor sobre la importancia relativa del conocimiento teórico.</w:t>
      </w:r>
    </w:p>
    <w:p>
      <w:pPr>
        <w:spacing w:after="0" w:before="0"/>
      </w:pPr>
      <w:r>
        <w:br w:type="page"/>
      </w:r>
    </w:p>
    <w:p>
      <w:pPr>
        <w:pStyle w:val="Heading1"/>
      </w:pPr>
      <w:r>
        <w:rPr>
          <w:rFonts w:ascii="Arial" w:cs="Arial" w:eastAsia="Arial" w:hAnsi="Arial"/>
          <w:b/>
          <w:bCs/>
          <w:color w:val="003087"/>
          <w:sz w:val="36"/>
          <w:szCs w:val="36"/>
        </w:rPr>
        <w:t xml:space="preserve">8. Condiciones de Validez y Limitaciones del Modelo</w:t>
      </w:r>
    </w:p>
    <w:p>
      <w:pPr>
        <w:pStyle w:val="Heading2"/>
      </w:pPr>
      <w:r>
        <w:rPr>
          <w:rFonts w:ascii="Arial" w:cs="Arial" w:eastAsia="Arial" w:hAnsi="Arial"/>
          <w:b/>
          <w:bCs/>
          <w:color w:val="003087"/>
          <w:sz w:val="28"/>
          <w:szCs w:val="28"/>
        </w:rPr>
        <w:t xml:space="preserve">8.1 Condiciones de aplicabilidad</w:t>
      </w:r>
    </w:p>
    <w:p>
      <w:pPr>
        <w:spacing w:after="80" w:before="100" w:line="320"/>
        <w:jc w:val="both"/>
      </w:pPr>
      <w:r>
        <w:rPr>
          <w:rFonts w:ascii="Arial" w:cs="Arial" w:eastAsia="Arial" w:hAnsi="Arial"/>
          <w:b/>
          <w:bCs/>
          <w:i w:val="false"/>
          <w:iCs w:val="false"/>
          <w:color w:val="4A4A4A"/>
          <w:sz w:val="22"/>
          <w:szCs w:val="22"/>
        </w:rPr>
        <w:t xml:space="preserve">Contenido predominantemente procedimental. </w:t>
      </w:r>
      <w:r>
        <w:rPr>
          <w:rFonts w:ascii="Arial" w:cs="Arial" w:eastAsia="Arial" w:hAnsi="Arial"/>
          <w:b w:val="false"/>
          <w:bCs w:val="false"/>
          <w:i w:val="false"/>
          <w:iCs w:val="false"/>
          <w:color w:val="4A4A4A"/>
          <w:sz w:val="22"/>
          <w:szCs w:val="22"/>
        </w:rPr>
        <w:t xml:space="preserve">El modelo funciona mejor cuando el objetivo de aprendizaje involucra saber-hacer. Para contenidos predominantemente declarativos o abstractos (filosofía, ética teórica, fundamentos matemáticos), la inversión práctica→teórica pierde parte de su ventaja.</w:t>
      </w:r>
    </w:p>
    <w:p>
      <w:pPr>
        <w:spacing w:after="80" w:before="80" w:line="320"/>
        <w:jc w:val="both"/>
      </w:pPr>
      <w:r>
        <w:rPr>
          <w:rFonts w:ascii="Arial" w:cs="Arial" w:eastAsia="Arial" w:hAnsi="Arial"/>
          <w:b/>
          <w:bCs/>
          <w:i w:val="false"/>
          <w:iCs w:val="false"/>
          <w:color w:val="4A4A4A"/>
          <w:sz w:val="22"/>
          <w:szCs w:val="22"/>
        </w:rPr>
        <w:t xml:space="preserve">Aprendiz con experiencia previa en el dominio de aplicación. </w:t>
      </w:r>
      <w:r>
        <w:rPr>
          <w:rFonts w:ascii="Arial" w:cs="Arial" w:eastAsia="Arial" w:hAnsi="Arial"/>
          <w:b w:val="false"/>
          <w:bCs w:val="false"/>
          <w:i w:val="false"/>
          <w:iCs w:val="false"/>
          <w:color w:val="4A4A4A"/>
          <w:sz w:val="22"/>
          <w:szCs w:val="22"/>
        </w:rPr>
        <w:t xml:space="preserve">El Ciclo RHEC presupone que el participante posee conocimiento tácito sobre su negocio que puede activarse mediante el reto. El Módulo 0 y el Toolkit Pre-Operativo atienden a participantes sin este prerrequisito.</w:t>
      </w:r>
    </w:p>
    <w:p>
      <w:pPr>
        <w:spacing w:after="80" w:before="80" w:line="320"/>
        <w:jc w:val="both"/>
      </w:pPr>
      <w:r>
        <w:rPr>
          <w:rFonts w:ascii="Arial" w:cs="Arial" w:eastAsia="Arial" w:hAnsi="Arial"/>
          <w:b/>
          <w:bCs/>
          <w:i w:val="false"/>
          <w:iCs w:val="false"/>
          <w:color w:val="4A4A4A"/>
          <w:sz w:val="22"/>
          <w:szCs w:val="22"/>
        </w:rPr>
        <w:t xml:space="preserve">Herramientas funcionales, accesibles y estables. </w:t>
      </w:r>
      <w:r>
        <w:rPr>
          <w:rFonts w:ascii="Arial" w:cs="Arial" w:eastAsia="Arial" w:hAnsi="Arial"/>
          <w:b w:val="false"/>
          <w:bCs w:val="false"/>
          <w:i w:val="false"/>
          <w:iCs w:val="false"/>
          <w:color w:val="4A4A4A"/>
          <w:sz w:val="22"/>
          <w:szCs w:val="22"/>
        </w:rPr>
        <w:t xml:space="preserve">La fase HACER requiere que el ecosistema tecnológico esté operativo. Si una herramienta cambia su interfaz o modelo de precios, los video-tutoriales y las instrucciones del sitio deben actualizarse. Esta es la principal fuente de obsolescencia del programa.</w:t>
      </w:r>
    </w:p>
    <w:p>
      <w:pPr>
        <w:pStyle w:val="Heading2"/>
      </w:pPr>
      <w:r>
        <w:rPr>
          <w:rFonts w:ascii="Arial" w:cs="Arial" w:eastAsia="Arial" w:hAnsi="Arial"/>
          <w:b/>
          <w:bCs/>
          <w:color w:val="003087"/>
          <w:sz w:val="28"/>
          <w:szCs w:val="28"/>
        </w:rPr>
        <w:t xml:space="preserve">8.2 Limitaciones reconocidas</w:t>
      </w:r>
    </w:p>
    <w:p>
      <w:pPr>
        <w:spacing w:after="80" w:before="100" w:line="320"/>
        <w:jc w:val="both"/>
      </w:pPr>
      <w:r>
        <w:rPr>
          <w:rFonts w:ascii="Arial" w:cs="Arial" w:eastAsia="Arial" w:hAnsi="Arial"/>
          <w:b/>
          <w:bCs/>
          <w:i w:val="false"/>
          <w:iCs w:val="false"/>
          <w:color w:val="4A4A4A"/>
          <w:sz w:val="22"/>
          <w:szCs w:val="22"/>
        </w:rPr>
        <w:t xml:space="preserve">Evidencia empírica del modelo integrado. </w:t>
      </w:r>
      <w:r>
        <w:rPr>
          <w:rFonts w:ascii="Arial" w:cs="Arial" w:eastAsia="Arial" w:hAnsi="Arial"/>
          <w:b w:val="false"/>
          <w:bCs w:val="false"/>
          <w:i w:val="false"/>
          <w:iCs w:val="false"/>
          <w:color w:val="4A4A4A"/>
          <w:sz w:val="22"/>
          <w:szCs w:val="22"/>
        </w:rPr>
        <w:t xml:space="preserve">Si bien cada componente cuenta con evidencia empírica individual robusta, la configuración específica RHEC como unidad integrada no ha sido sometida a evaluación experimental controlada. Los datos del piloto del programa constituyen una primera prueba de concepto.</w:t>
      </w:r>
    </w:p>
    <w:p>
      <w:pPr>
        <w:spacing w:after="80" w:before="80" w:line="320"/>
        <w:jc w:val="both"/>
      </w:pPr>
      <w:r>
        <w:rPr>
          <w:rFonts w:ascii="Arial" w:cs="Arial" w:eastAsia="Arial" w:hAnsi="Arial"/>
          <w:b/>
          <w:bCs/>
          <w:i w:val="false"/>
          <w:iCs w:val="false"/>
          <w:color w:val="4A4A4A"/>
          <w:sz w:val="22"/>
          <w:szCs w:val="22"/>
        </w:rPr>
        <w:t xml:space="preserve">Proporciones exactas. </w:t>
      </w:r>
      <w:r>
        <w:rPr>
          <w:rFonts w:ascii="Arial" w:cs="Arial" w:eastAsia="Arial" w:hAnsi="Arial"/>
          <w:b w:val="false"/>
          <w:bCs w:val="false"/>
          <w:i w:val="false"/>
          <w:iCs w:val="false"/>
          <w:color w:val="4A4A4A"/>
          <w:sz w:val="22"/>
          <w:szCs w:val="22"/>
        </w:rPr>
        <w:t xml:space="preserve">La distribución 70/30 es una parametrización orientativa, no un dogma. Las proporciones óptimas probablemente varían según la complejidad del contenido semanal y el nivel de preparación de la cohorte.</w:t>
      </w:r>
    </w:p>
    <w:p>
      <w:pPr>
        <w:spacing w:after="80" w:before="80" w:line="320"/>
        <w:jc w:val="both"/>
      </w:pPr>
      <w:r>
        <w:rPr>
          <w:rFonts w:ascii="Arial" w:cs="Arial" w:eastAsia="Arial" w:hAnsi="Arial"/>
          <w:b/>
          <w:bCs/>
          <w:i w:val="false"/>
          <w:iCs w:val="false"/>
          <w:color w:val="4A4A4A"/>
          <w:sz w:val="22"/>
          <w:szCs w:val="22"/>
        </w:rPr>
        <w:t xml:space="preserve">Sesgo de autoselección. </w:t>
      </w:r>
      <w:r>
        <w:rPr>
          <w:rFonts w:ascii="Arial" w:cs="Arial" w:eastAsia="Arial" w:hAnsi="Arial"/>
          <w:b w:val="false"/>
          <w:bCs w:val="false"/>
          <w:i w:val="false"/>
          <w:iCs w:val="false"/>
          <w:color w:val="4A4A4A"/>
          <w:sz w:val="22"/>
          <w:szCs w:val="22"/>
        </w:rPr>
        <w:t xml:space="preserve">Los participantes que se inscriben en un programa de IA para MiPYME probablemente tienen una actitud más positiva hacia la tecnología que la población general de microempresarios. Los resultados pueden no ser generalizables a poblaciones con mayor resistencia tecnológica.</w:t>
      </w:r>
    </w:p>
    <w:p>
      <w:pPr>
        <w:spacing w:after="80" w:before="80" w:line="320"/>
        <w:jc w:val="both"/>
      </w:pPr>
      <w:r>
        <w:rPr>
          <w:rFonts w:ascii="Arial" w:cs="Arial" w:eastAsia="Arial" w:hAnsi="Arial"/>
          <w:b/>
          <w:bCs/>
          <w:i w:val="false"/>
          <w:iCs w:val="false"/>
          <w:color w:val="4A4A4A"/>
          <w:sz w:val="22"/>
          <w:szCs w:val="22"/>
        </w:rPr>
        <w:t xml:space="preserve">Velocidad de cambio tecnológico. </w:t>
      </w:r>
      <w:r>
        <w:rPr>
          <w:rFonts w:ascii="Arial" w:cs="Arial" w:eastAsia="Arial" w:hAnsi="Arial"/>
          <w:b w:val="false"/>
          <w:bCs w:val="false"/>
          <w:i w:val="false"/>
          <w:iCs w:val="false"/>
          <w:color w:val="4A4A4A"/>
          <w:sz w:val="22"/>
          <w:szCs w:val="22"/>
        </w:rPr>
        <w:t xml:space="preserve">El ecosistema de herramientas de IA generativa evoluciona a una velocidad sin precedentes. Herramientas mencionadas (Make, n8n, Eleven Labs, CapCut, HeyGen) pueden cambiar sustancialmente en ciclos de 6-12 meses, requiriendo actualizaciones periódicas del contenido procedimental.</w:t>
      </w:r>
    </w:p>
    <w:p>
      <w:pPr>
        <w:spacing w:after="0" w:before="0"/>
      </w:pPr>
      <w:r>
        <w:br w:type="page"/>
      </w:r>
    </w:p>
    <w:p>
      <w:pPr>
        <w:pStyle w:val="Heading1"/>
      </w:pPr>
      <w:r>
        <w:rPr>
          <w:rFonts w:ascii="Arial" w:cs="Arial" w:eastAsia="Arial" w:hAnsi="Arial"/>
          <w:b/>
          <w:bCs/>
          <w:color w:val="003087"/>
          <w:sz w:val="36"/>
          <w:szCs w:val="36"/>
        </w:rPr>
        <w:t xml:space="preserve">9. Referencias Bibliográficas</w:t>
      </w:r>
    </w:p>
    <w:p>
      <w:pPr>
        <w:spacing w:after="60" w:before="60" w:line="280"/>
        <w:ind w:left="720" w:hanging="720"/>
        <w:jc w:val="both"/>
      </w:pPr>
      <w:r>
        <w:rPr>
          <w:rFonts w:ascii="Arial" w:cs="Arial" w:eastAsia="Arial" w:hAnsi="Arial"/>
          <w:color w:val="4A4A4A"/>
          <w:sz w:val="20"/>
          <w:szCs w:val="20"/>
        </w:rPr>
        <w:t xml:space="preserve">Anderson, J. R. (1983). The architecture of cognition. Harvard University Press.</w:t>
      </w:r>
    </w:p>
    <w:p>
      <w:pPr>
        <w:spacing w:after="60" w:before="60" w:line="280"/>
        <w:ind w:left="720" w:hanging="720"/>
        <w:jc w:val="both"/>
      </w:pPr>
      <w:r>
        <w:rPr>
          <w:rFonts w:ascii="Arial" w:cs="Arial" w:eastAsia="Arial" w:hAnsi="Arial"/>
          <w:color w:val="4A4A4A"/>
          <w:sz w:val="20"/>
          <w:szCs w:val="20"/>
        </w:rPr>
        <w:t xml:space="preserve">Anderson, L. W., &amp; Krathwohl, D. R. (Eds.). (2001). A taxonomy for learning, teaching, and assessing: A revision of Bloom's taxonomy of educational objectives. Longman.</w:t>
      </w:r>
    </w:p>
    <w:p>
      <w:pPr>
        <w:spacing w:after="60" w:before="60" w:line="280"/>
        <w:ind w:left="720" w:hanging="720"/>
        <w:jc w:val="both"/>
      </w:pPr>
      <w:r>
        <w:rPr>
          <w:rFonts w:ascii="Arial" w:cs="Arial" w:eastAsia="Arial" w:hAnsi="Arial"/>
          <w:color w:val="4A4A4A"/>
          <w:sz w:val="20"/>
          <w:szCs w:val="20"/>
        </w:rPr>
        <w:t xml:space="preserve">Bandura, A. (1977). Social learning theory. Prentice-Hall.</w:t>
      </w:r>
    </w:p>
    <w:p>
      <w:pPr>
        <w:spacing w:after="60" w:before="60" w:line="280"/>
        <w:ind w:left="720" w:hanging="720"/>
        <w:jc w:val="both"/>
      </w:pPr>
      <w:r>
        <w:rPr>
          <w:rFonts w:ascii="Arial" w:cs="Arial" w:eastAsia="Arial" w:hAnsi="Arial"/>
          <w:color w:val="4A4A4A"/>
          <w:sz w:val="20"/>
          <w:szCs w:val="20"/>
        </w:rPr>
        <w:t xml:space="preserve">Bergmann, J., &amp; Sams, A. (2012). Flip your classroom: Reach every student in every class every day. ISTE/ASCD.</w:t>
      </w:r>
    </w:p>
    <w:p>
      <w:pPr>
        <w:spacing w:after="60" w:before="60" w:line="280"/>
        <w:ind w:left="720" w:hanging="720"/>
        <w:jc w:val="both"/>
      </w:pPr>
      <w:r>
        <w:rPr>
          <w:rFonts w:ascii="Arial" w:cs="Arial" w:eastAsia="Arial" w:hAnsi="Arial"/>
          <w:color w:val="4A4A4A"/>
          <w:sz w:val="20"/>
          <w:szCs w:val="20"/>
        </w:rPr>
        <w:t xml:space="preserve">Black, P., &amp; Wiliam, D. (1998). Assessment and classroom learning. Assessment in Education, 5(1), 7-74.</w:t>
      </w:r>
    </w:p>
    <w:p>
      <w:pPr>
        <w:spacing w:after="60" w:before="60" w:line="280"/>
        <w:ind w:left="720" w:hanging="720"/>
        <w:jc w:val="both"/>
      </w:pPr>
      <w:r>
        <w:rPr>
          <w:rFonts w:ascii="Arial" w:cs="Arial" w:eastAsia="Arial" w:hAnsi="Arial"/>
          <w:color w:val="4A4A4A"/>
          <w:sz w:val="20"/>
          <w:szCs w:val="20"/>
        </w:rPr>
        <w:t xml:space="preserve">Brown, T. B., et al. (2020). Language models are few-shot learners. NeurIPS, 33, 1877-1901.</w:t>
      </w:r>
    </w:p>
    <w:p>
      <w:pPr>
        <w:spacing w:after="60" w:before="60" w:line="280"/>
        <w:ind w:left="720" w:hanging="720"/>
        <w:jc w:val="both"/>
      </w:pPr>
      <w:r>
        <w:rPr>
          <w:rFonts w:ascii="Arial" w:cs="Arial" w:eastAsia="Arial" w:hAnsi="Arial"/>
          <w:color w:val="4A4A4A"/>
          <w:sz w:val="20"/>
          <w:szCs w:val="20"/>
        </w:rPr>
        <w:t xml:space="preserve">Cepeda, N. J., Pashler, H., Vul, E., Wixted, J. T., &amp; Rohrer, D. (2006). Distributed practice in verbal recall tasks. Review of Educational Research, 76(3), 354-380.</w:t>
      </w:r>
    </w:p>
    <w:p>
      <w:pPr>
        <w:spacing w:after="60" w:before="60" w:line="280"/>
        <w:ind w:left="720" w:hanging="720"/>
        <w:jc w:val="both"/>
      </w:pPr>
      <w:r>
        <w:rPr>
          <w:rFonts w:ascii="Arial" w:cs="Arial" w:eastAsia="Arial" w:hAnsi="Arial"/>
          <w:color w:val="4A4A4A"/>
          <w:sz w:val="20"/>
          <w:szCs w:val="20"/>
        </w:rPr>
        <w:t xml:space="preserve">Clardy, A. (2018). 70-20-10 and the dominance of informal learning: A fact in search of evidence. Human Resource Development Review, 17(2), 153-178.</w:t>
      </w:r>
    </w:p>
    <w:p>
      <w:pPr>
        <w:spacing w:after="60" w:before="60" w:line="280"/>
        <w:ind w:left="720" w:hanging="720"/>
        <w:jc w:val="both"/>
      </w:pPr>
      <w:r>
        <w:rPr>
          <w:rFonts w:ascii="Arial" w:cs="Arial" w:eastAsia="Arial" w:hAnsi="Arial"/>
          <w:color w:val="4A4A4A"/>
          <w:sz w:val="20"/>
          <w:szCs w:val="20"/>
        </w:rPr>
        <w:t xml:space="preserve">Eraut, M. (2004). Informal learning in the workplace. Studies in Continuing Education, 26(2), 247-273.</w:t>
      </w:r>
    </w:p>
    <w:p>
      <w:pPr>
        <w:spacing w:after="60" w:before="60" w:line="280"/>
        <w:ind w:left="720" w:hanging="720"/>
        <w:jc w:val="both"/>
      </w:pPr>
      <w:r>
        <w:rPr>
          <w:rFonts w:ascii="Arial" w:cs="Arial" w:eastAsia="Arial" w:hAnsi="Arial"/>
          <w:color w:val="4A4A4A"/>
          <w:sz w:val="20"/>
          <w:szCs w:val="20"/>
        </w:rPr>
        <w:t xml:space="preserve">Garrison, D. R. (1997). Self-directed learning: Toward a comprehensive model. Adult Education Quarterly, 48(1), 18-33.</w:t>
      </w:r>
    </w:p>
    <w:p>
      <w:pPr>
        <w:spacing w:after="60" w:before="60" w:line="280"/>
        <w:ind w:left="720" w:hanging="720"/>
        <w:jc w:val="both"/>
      </w:pPr>
      <w:r>
        <w:rPr>
          <w:rFonts w:ascii="Arial" w:cs="Arial" w:eastAsia="Arial" w:hAnsi="Arial"/>
          <w:color w:val="4A4A4A"/>
          <w:sz w:val="20"/>
          <w:szCs w:val="20"/>
        </w:rPr>
        <w:t xml:space="preserve">Giurgiu, L. (2017). Microlearning: An evolving elearning trend. Scientific Bulletin, 22(1), 18-23.</w:t>
      </w:r>
    </w:p>
    <w:p>
      <w:pPr>
        <w:spacing w:after="60" w:before="60" w:line="280"/>
        <w:ind w:left="720" w:hanging="720"/>
        <w:jc w:val="both"/>
      </w:pPr>
      <w:r>
        <w:rPr>
          <w:rFonts w:ascii="Arial" w:cs="Arial" w:eastAsia="Arial" w:hAnsi="Arial"/>
          <w:color w:val="4A4A4A"/>
          <w:sz w:val="20"/>
          <w:szCs w:val="20"/>
        </w:rPr>
        <w:t xml:space="preserve">Guo, P. J., Kim, J., &amp; Rubin, R. (2014). How video production decisions affect student engagement. Proceedings of L@S '14, 41-50.</w:t>
      </w:r>
    </w:p>
    <w:p>
      <w:pPr>
        <w:spacing w:after="60" w:before="60" w:line="280"/>
        <w:ind w:left="720" w:hanging="720"/>
        <w:jc w:val="both"/>
      </w:pPr>
      <w:r>
        <w:rPr>
          <w:rFonts w:ascii="Arial" w:cs="Arial" w:eastAsia="Arial" w:hAnsi="Arial"/>
          <w:color w:val="4A4A4A"/>
          <w:sz w:val="20"/>
          <w:szCs w:val="20"/>
        </w:rPr>
        <w:t xml:space="preserve">Hmelo-Silver, C. E. (2004). Problem-based learning: What and how do students learn? Educational Psychology Review, 16(3), 235-266.</w:t>
      </w:r>
    </w:p>
    <w:p>
      <w:pPr>
        <w:spacing w:after="60" w:before="60" w:line="280"/>
        <w:ind w:left="720" w:hanging="720"/>
        <w:jc w:val="both"/>
      </w:pPr>
      <w:r>
        <w:rPr>
          <w:rFonts w:ascii="Arial" w:cs="Arial" w:eastAsia="Arial" w:hAnsi="Arial"/>
          <w:color w:val="4A4A4A"/>
          <w:sz w:val="20"/>
          <w:szCs w:val="20"/>
        </w:rPr>
        <w:t xml:space="preserve">Hug, T., &amp; Friesen, N. (2007). Outline of a microlearning agenda. eLearning Papers, 6.</w:t>
      </w:r>
    </w:p>
    <w:p>
      <w:pPr>
        <w:spacing w:after="60" w:before="60" w:line="280"/>
        <w:ind w:left="720" w:hanging="720"/>
        <w:jc w:val="both"/>
      </w:pPr>
      <w:r>
        <w:rPr>
          <w:rFonts w:ascii="Arial" w:cs="Arial" w:eastAsia="Arial" w:hAnsi="Arial"/>
          <w:color w:val="4A4A4A"/>
          <w:sz w:val="20"/>
          <w:szCs w:val="20"/>
        </w:rPr>
        <w:t xml:space="preserve">Jarvis, P. (2004). Adult education and lifelong learning: Theory and practice (3rd ed.). RoutledgeFalmer.</w:t>
      </w:r>
    </w:p>
    <w:p>
      <w:pPr>
        <w:spacing w:after="60" w:before="60" w:line="280"/>
        <w:ind w:left="720" w:hanging="720"/>
        <w:jc w:val="both"/>
      </w:pPr>
      <w:r>
        <w:rPr>
          <w:rFonts w:ascii="Arial" w:cs="Arial" w:eastAsia="Arial" w:hAnsi="Arial"/>
          <w:color w:val="4A4A4A"/>
          <w:sz w:val="20"/>
          <w:szCs w:val="20"/>
        </w:rPr>
        <w:t xml:space="preserve">Kapur, M. (2008). Productive failure. Cognition and Instruction, 26(3), 379-424.</w:t>
      </w:r>
    </w:p>
    <w:p>
      <w:pPr>
        <w:spacing w:after="60" w:before="60" w:line="280"/>
        <w:ind w:left="720" w:hanging="720"/>
        <w:jc w:val="both"/>
      </w:pPr>
      <w:r>
        <w:rPr>
          <w:rFonts w:ascii="Arial" w:cs="Arial" w:eastAsia="Arial" w:hAnsi="Arial"/>
          <w:color w:val="4A4A4A"/>
          <w:sz w:val="20"/>
          <w:szCs w:val="20"/>
        </w:rPr>
        <w:t xml:space="preserve">Kapur, M. (2016). Examining productive failure, productive success, and constructive failure. Cognition and Instruction, 34(2), 73-97.</w:t>
      </w:r>
    </w:p>
    <w:p>
      <w:pPr>
        <w:spacing w:after="60" w:before="60" w:line="280"/>
        <w:ind w:left="720" w:hanging="720"/>
        <w:jc w:val="both"/>
      </w:pPr>
      <w:r>
        <w:rPr>
          <w:rFonts w:ascii="Arial" w:cs="Arial" w:eastAsia="Arial" w:hAnsi="Arial"/>
          <w:color w:val="4A4A4A"/>
          <w:sz w:val="20"/>
          <w:szCs w:val="20"/>
        </w:rPr>
        <w:t xml:space="preserve">Keller, J. M. (2010). Motivational design for learning and performance: The ARCS model approach. Springer.</w:t>
      </w:r>
    </w:p>
    <w:p>
      <w:pPr>
        <w:spacing w:after="60" w:before="60" w:line="280"/>
        <w:ind w:left="720" w:hanging="720"/>
        <w:jc w:val="both"/>
      </w:pPr>
      <w:r>
        <w:rPr>
          <w:rFonts w:ascii="Arial" w:cs="Arial" w:eastAsia="Arial" w:hAnsi="Arial"/>
          <w:color w:val="4A4A4A"/>
          <w:sz w:val="20"/>
          <w:szCs w:val="20"/>
        </w:rPr>
        <w:t xml:space="preserve">Knowles, M. S., Holton III, E. F., &amp; Swanson, R. A. (2015). The adult learner (8th ed.). Routledge.</w:t>
      </w:r>
    </w:p>
    <w:p>
      <w:pPr>
        <w:spacing w:after="60" w:before="60" w:line="280"/>
        <w:ind w:left="720" w:hanging="720"/>
        <w:jc w:val="both"/>
      </w:pPr>
      <w:r>
        <w:rPr>
          <w:rFonts w:ascii="Arial" w:cs="Arial" w:eastAsia="Arial" w:hAnsi="Arial"/>
          <w:color w:val="4A4A4A"/>
          <w:sz w:val="20"/>
          <w:szCs w:val="20"/>
        </w:rPr>
        <w:t xml:space="preserve">Kolb, D. A. (1984). Experiential learning: Experience as the source of learning and development. Prentice-Hall.</w:t>
      </w:r>
    </w:p>
    <w:p>
      <w:pPr>
        <w:spacing w:after="60" w:before="60" w:line="280"/>
        <w:ind w:left="720" w:hanging="720"/>
        <w:jc w:val="both"/>
      </w:pPr>
      <w:r>
        <w:rPr>
          <w:rFonts w:ascii="Arial" w:cs="Arial" w:eastAsia="Arial" w:hAnsi="Arial"/>
          <w:color w:val="4A4A4A"/>
          <w:sz w:val="20"/>
          <w:szCs w:val="20"/>
        </w:rPr>
        <w:t xml:space="preserve">Låg, T., &amp; Sæle, R. G. (2019). Does the flipped classroom improve student learning and satisfaction? A systematic review. AERA Open, 5(3), 1-17.</w:t>
      </w:r>
    </w:p>
    <w:p>
      <w:pPr>
        <w:spacing w:after="60" w:before="60" w:line="280"/>
        <w:ind w:left="720" w:hanging="720"/>
        <w:jc w:val="both"/>
      </w:pPr>
      <w:r>
        <w:rPr>
          <w:rFonts w:ascii="Arial" w:cs="Arial" w:eastAsia="Arial" w:hAnsi="Arial"/>
          <w:color w:val="4A4A4A"/>
          <w:sz w:val="20"/>
          <w:szCs w:val="20"/>
        </w:rPr>
        <w:t xml:space="preserve">Lave, J., &amp; Wenger, E. (1991). Situated learning: Legitimate peripheral participation. Cambridge University Press.</w:t>
      </w:r>
    </w:p>
    <w:p>
      <w:pPr>
        <w:spacing w:after="60" w:before="60" w:line="280"/>
        <w:ind w:left="720" w:hanging="720"/>
        <w:jc w:val="both"/>
      </w:pPr>
      <w:r>
        <w:rPr>
          <w:rFonts w:ascii="Arial" w:cs="Arial" w:eastAsia="Arial" w:hAnsi="Arial"/>
          <w:color w:val="4A4A4A"/>
          <w:sz w:val="20"/>
          <w:szCs w:val="20"/>
        </w:rPr>
        <w:t xml:space="preserve">Lombardo, M. M., &amp; Eichinger, R. W. (1996). The career architect development planner. Lominger.</w:t>
      </w:r>
    </w:p>
    <w:p>
      <w:pPr>
        <w:spacing w:after="60" w:before="60" w:line="280"/>
        <w:ind w:left="720" w:hanging="720"/>
        <w:jc w:val="both"/>
      </w:pPr>
      <w:r>
        <w:rPr>
          <w:rFonts w:ascii="Arial" w:cs="Arial" w:eastAsia="Arial" w:hAnsi="Arial"/>
          <w:color w:val="4A4A4A"/>
          <w:sz w:val="20"/>
          <w:szCs w:val="20"/>
        </w:rPr>
        <w:t xml:space="preserve">Marsick, V. J., &amp; Watkins, K. E. (2001). Informal and incidental learning. New Directions for Adult and Continuing Education, 89, 25-34.</w:t>
      </w:r>
    </w:p>
    <w:p>
      <w:pPr>
        <w:spacing w:after="60" w:before="60" w:line="280"/>
        <w:ind w:left="720" w:hanging="720"/>
        <w:jc w:val="both"/>
      </w:pPr>
      <w:r>
        <w:rPr>
          <w:rFonts w:ascii="Arial" w:cs="Arial" w:eastAsia="Arial" w:hAnsi="Arial"/>
          <w:color w:val="4A4A4A"/>
          <w:sz w:val="20"/>
          <w:szCs w:val="20"/>
        </w:rPr>
        <w:t xml:space="preserve">Mayer, R. E. (2009). Multimedia learning (2nd ed.). Cambridge University Press.</w:t>
      </w:r>
    </w:p>
    <w:p>
      <w:pPr>
        <w:spacing w:after="60" w:before="60" w:line="280"/>
        <w:ind w:left="720" w:hanging="720"/>
        <w:jc w:val="both"/>
      </w:pPr>
      <w:r>
        <w:rPr>
          <w:rFonts w:ascii="Arial" w:cs="Arial" w:eastAsia="Arial" w:hAnsi="Arial"/>
          <w:color w:val="4A4A4A"/>
          <w:sz w:val="20"/>
          <w:szCs w:val="20"/>
        </w:rPr>
        <w:t xml:space="preserve">MICITT. (2023). Política Nacional de Inteligencia Artificial 2023-2027. Ministerio de Ciencia, Innovación, Tecnología y Telecomunicaciones de Costa Rica.</w:t>
      </w:r>
    </w:p>
    <w:p>
      <w:pPr>
        <w:spacing w:after="60" w:before="60" w:line="280"/>
        <w:ind w:left="720" w:hanging="720"/>
        <w:jc w:val="both"/>
      </w:pPr>
      <w:r>
        <w:rPr>
          <w:rFonts w:ascii="Arial" w:cs="Arial" w:eastAsia="Arial" w:hAnsi="Arial"/>
          <w:color w:val="4A4A4A"/>
          <w:sz w:val="20"/>
          <w:szCs w:val="20"/>
        </w:rPr>
        <w:t xml:space="preserve">Papert, S. (1991). Situating constructionism. In I. Harel &amp; S. Papert (Eds.), Constructionism. Ablex.</w:t>
      </w:r>
    </w:p>
    <w:p>
      <w:pPr>
        <w:spacing w:after="60" w:before="60" w:line="280"/>
        <w:ind w:left="720" w:hanging="720"/>
        <w:jc w:val="both"/>
      </w:pPr>
      <w:r>
        <w:rPr>
          <w:rFonts w:ascii="Arial" w:cs="Arial" w:eastAsia="Arial" w:hAnsi="Arial"/>
          <w:color w:val="4A4A4A"/>
          <w:sz w:val="20"/>
          <w:szCs w:val="20"/>
        </w:rPr>
        <w:t xml:space="preserve">Reynolds, L., &amp; McDonell, K. (2021). Prompt programming for large language models. CHI EA '21.</w:t>
      </w:r>
    </w:p>
    <w:p>
      <w:pPr>
        <w:spacing w:after="60" w:before="60" w:line="280"/>
        <w:ind w:left="720" w:hanging="720"/>
        <w:jc w:val="both"/>
      </w:pPr>
      <w:r>
        <w:rPr>
          <w:rFonts w:ascii="Arial" w:cs="Arial" w:eastAsia="Arial" w:hAnsi="Arial"/>
          <w:color w:val="4A4A4A"/>
          <w:sz w:val="20"/>
          <w:szCs w:val="20"/>
        </w:rPr>
        <w:t xml:space="preserve">Roediger, H. L., &amp; Butler, A. C. (2011). The critical role of retrieval practice in long-term retention. Trends in Cognitive Sciences, 15(1), 20-27.</w:t>
      </w:r>
    </w:p>
    <w:p>
      <w:pPr>
        <w:spacing w:after="60" w:before="60" w:line="280"/>
        <w:ind w:left="720" w:hanging="720"/>
        <w:jc w:val="both"/>
      </w:pPr>
      <w:r>
        <w:rPr>
          <w:rFonts w:ascii="Arial" w:cs="Arial" w:eastAsia="Arial" w:hAnsi="Arial"/>
          <w:color w:val="4A4A4A"/>
          <w:sz w:val="20"/>
          <w:szCs w:val="20"/>
        </w:rPr>
        <w:t xml:space="preserve">Schon, D. A. (1983). The reflective practitioner. Basic Books.</w:t>
      </w:r>
    </w:p>
    <w:p>
      <w:pPr>
        <w:spacing w:after="60" w:before="60" w:line="280"/>
        <w:ind w:left="720" w:hanging="720"/>
        <w:jc w:val="both"/>
      </w:pPr>
      <w:r>
        <w:rPr>
          <w:rFonts w:ascii="Arial" w:cs="Arial" w:eastAsia="Arial" w:hAnsi="Arial"/>
          <w:color w:val="4A4A4A"/>
          <w:sz w:val="20"/>
          <w:szCs w:val="20"/>
        </w:rPr>
        <w:t xml:space="preserve">Strelan, P., Osborn, A., &amp; Palmer, E. (2020). The flipped classroom: A meta-analysis of effects on student performance. Educational Research Review, 30, 100314.</w:t>
      </w:r>
    </w:p>
    <w:p>
      <w:pPr>
        <w:spacing w:after="60" w:before="60" w:line="280"/>
        <w:ind w:left="720" w:hanging="720"/>
        <w:jc w:val="both"/>
      </w:pPr>
      <w:r>
        <w:rPr>
          <w:rFonts w:ascii="Arial" w:cs="Arial" w:eastAsia="Arial" w:hAnsi="Arial"/>
          <w:color w:val="4A4A4A"/>
          <w:sz w:val="20"/>
          <w:szCs w:val="20"/>
        </w:rPr>
        <w:t xml:space="preserve">Sweller, J. (1988). Cognitive load during problem solving: Effects on learning. Cognitive Science, 12(2), 257-285.</w:t>
      </w:r>
    </w:p>
    <w:p>
      <w:pPr>
        <w:spacing w:after="60" w:before="60" w:line="280"/>
        <w:ind w:left="720" w:hanging="720"/>
        <w:jc w:val="both"/>
      </w:pPr>
      <w:r>
        <w:rPr>
          <w:rFonts w:ascii="Arial" w:cs="Arial" w:eastAsia="Arial" w:hAnsi="Arial"/>
          <w:color w:val="4A4A4A"/>
          <w:sz w:val="20"/>
          <w:szCs w:val="20"/>
        </w:rPr>
        <w:t xml:space="preserve">Sweller, J., Ayres, P., &amp; Kalyuga, S. (2011). Cognitive load theory. Springer.</w:t>
      </w:r>
    </w:p>
    <w:p>
      <w:pPr>
        <w:spacing w:after="60" w:before="60" w:line="280"/>
        <w:ind w:left="720" w:hanging="720"/>
        <w:jc w:val="both"/>
      </w:pPr>
      <w:r>
        <w:rPr>
          <w:rFonts w:ascii="Arial" w:cs="Arial" w:eastAsia="Arial" w:hAnsi="Arial"/>
          <w:color w:val="4A4A4A"/>
          <w:sz w:val="20"/>
          <w:szCs w:val="20"/>
        </w:rPr>
        <w:t xml:space="preserve">Vygotsky, L. S. (1978). Mind in society. Harvard University Press.</w:t>
      </w:r>
    </w:p>
    <w:p>
      <w:pPr>
        <w:spacing w:after="60" w:before="60" w:line="280"/>
        <w:ind w:left="720" w:hanging="720"/>
        <w:jc w:val="both"/>
      </w:pPr>
      <w:r>
        <w:rPr>
          <w:rFonts w:ascii="Arial" w:cs="Arial" w:eastAsia="Arial" w:hAnsi="Arial"/>
          <w:color w:val="4A4A4A"/>
          <w:sz w:val="20"/>
          <w:szCs w:val="20"/>
        </w:rPr>
        <w:t xml:space="preserve">White, J., et al. (2023). A prompt pattern catalog to enhance prompt engineering with ChatGPT. arXiv:2302.11382.</w:t>
      </w:r>
    </w:p>
    <w:p>
      <w:pPr>
        <w:spacing w:after="60" w:before="60" w:line="280"/>
        <w:ind w:left="720" w:hanging="720"/>
        <w:jc w:val="both"/>
      </w:pPr>
      <w:r>
        <w:rPr>
          <w:rFonts w:ascii="Arial" w:cs="Arial" w:eastAsia="Arial" w:hAnsi="Arial"/>
          <w:color w:val="4A4A4A"/>
          <w:sz w:val="20"/>
          <w:szCs w:val="20"/>
        </w:rPr>
        <w:t xml:space="preserve">Wiggins, G. (1998). Educative assessment. Jossey-Bass.</w:t>
      </w:r>
    </w:p>
    <w:p>
      <w:pPr>
        <w:spacing w:after="0" w:before="200"/>
      </w:pPr>
      <w:r>
        <w:t xml:space="preserve"/>
      </w:r>
    </w:p>
    <w:p>
      <w:pPr>
        <w:pBdr>
          <w:bottom w:val="single" w:color="C6A642" w:sz="4" w:space="1"/>
        </w:pBdr>
        <w:spacing w:after="120" w:before="120"/>
      </w:pPr>
    </w:p>
    <w:p>
      <w:pPr>
        <w:spacing w:after="40" w:before="100"/>
        <w:jc w:val="center"/>
      </w:pPr>
      <w:r>
        <w:rPr>
          <w:rFonts w:ascii="Arial" w:cs="Arial" w:eastAsia="Arial" w:hAnsi="Arial"/>
          <w:i/>
          <w:iCs/>
          <w:color w:val="888888"/>
          <w:sz w:val="18"/>
          <w:szCs w:val="18"/>
        </w:rPr>
        <w:t xml:space="preserve">Documento elaborado por el Centro de Investigación Observatorio del Desarrollo (CIOdD) – Programa DiproviT, Universidad de Costa Rica. Versión 2.0 – Junio 2026. Proyecto de Acción Social ED-3698.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A642" w:sz="2" w:space="2"/>
      </w:pBdr>
      <w:spacing w:before="80"/>
    </w:pPr>
    <w:r>
      <w:rPr>
        <w:rFonts w:ascii="Arial" w:cs="Arial" w:eastAsia="Arial" w:hAnsi="Arial"/>
        <w:color w:val="999999"/>
        <w:sz w:val="16"/>
        <w:szCs w:val="16"/>
      </w:rPr>
      <w:t xml:space="preserve">Centro de Investigación Observatorio del Desarrollo (CIOdD) | DiproviT | Universidad de Costa Rica — Proyecto ED-3698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642" w:sz="2" w:space="2"/>
      </w:pBdr>
      <w:tabs>
        <w:tab w:val="right" w:pos="9360"/>
      </w:tabs>
      <w:spacing w:after="80"/>
    </w:pPr>
    <w:r>
      <w:rPr>
        <w:rFonts w:ascii="Arial" w:cs="Arial" w:eastAsia="Arial" w:hAnsi="Arial"/>
        <w:color w:val="888888"/>
        <w:sz w:val="16"/>
        <w:szCs w:val="16"/>
      </w:rPr>
      <w:t xml:space="preserve">FUNDAMENTACIÓN METODOLÓGICA — MODELO 70/30 | CIOdD–DiproviT, UCR</w:t>
    </w:r>
    <w:r>
      <w:rPr>
        <w:rFonts w:ascii="Arial" w:cs="Arial" w:eastAsia="Arial" w:hAnsi="Arial"/>
        <w:sz w:val="16"/>
        <w:szCs w:val="16"/>
      </w:rPr>
      <w:t xml:space="preserve">	</w:t>
    </w:r>
    <w:r>
      <w:rPr>
        <w:rFonts w:ascii="Arial" w:cs="Arial" w:eastAsia="Arial" w:hAnsi="Arial"/>
        <w:color w:val="888888"/>
        <w:sz w:val="16"/>
        <w:szCs w:val="16"/>
      </w:rPr>
      <w:t xml:space="preserve">Versión 2.0 —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6A642" w:sz="4" w:space="4"/>
      </w:pBdr>
      <w:spacing w:after="200" w:before="360"/>
      <w:outlineLvl w:val="0"/>
    </w:pPr>
    <w:rPr>
      <w:rFonts w:ascii="Arial" w:cs="Arial" w:eastAsia="Arial" w:hAnsi="Arial"/>
      <w:b/>
      <w:bCs/>
      <w:color w:val="00308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308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2026-06-12T23:22:06.379Z</dcterms:created>
  <dcterms:modified xsi:type="dcterms:W3CDTF">2026-06-12T23:22:06.401Z</dcterms:modified>
</cp:coreProperties>
</file>

<file path=docProps/custom.xml><?xml version="1.0" encoding="utf-8"?>
<Properties xmlns="http://schemas.openxmlformats.org/officeDocument/2006/custom-properties" xmlns:vt="http://schemas.openxmlformats.org/officeDocument/2006/docPropsVTypes"/>
</file>