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8" w:name="content"/>
    <w:bookmarkStart w:id="37" w:name="X365022a07af794f9972e8b88e7e43d3a4dd398d"/>
    <w:p>
      <w:pPr>
        <w:pStyle w:val="Heading1"/>
      </w:pPr>
      <w:r>
        <w:t xml:space="preserve">Estimación de la carga y costos de los accidentes de tránsito en Costa Rica (2011‑2025)</w:t>
      </w:r>
    </w:p>
    <w:bookmarkStart w:id="21" w:name="introducción"/>
    <w:p>
      <w:pPr>
        <w:pStyle w:val="Heading2"/>
      </w:pPr>
      <w:r>
        <w:t xml:space="preserve">Introducción</w:t>
      </w:r>
    </w:p>
    <w:p>
      <w:pPr>
        <w:pStyle w:val="FirstParagraph"/>
      </w:pPr>
      <w:r>
        <w:t xml:space="preserve">Las lesiones y muertes ocasionadas por accidentes de tránsito representan un problema de salud pública en Costa Rica. Para comprender la magnitud de este fenómeno se estiman tres indicadores:</w:t>
      </w:r>
      <w:r>
        <w:t xml:space="preserve"> </w:t>
      </w:r>
      <w:r>
        <w:rPr>
          <w:b/>
          <w:bCs/>
        </w:rPr>
        <w:t xml:space="preserve">años de vida potencialmente perdidos (AVPP o YPLL)</w:t>
      </w:r>
      <w:r>
        <w:t xml:space="preserve">,</w:t>
      </w:r>
      <w:r>
        <w:t xml:space="preserve"> </w:t>
      </w:r>
      <w:r>
        <w:rPr>
          <w:b/>
          <w:bCs/>
        </w:rPr>
        <w:t xml:space="preserve">años vividos con discapacidad (AVD o YLD)</w:t>
      </w:r>
      <w:r>
        <w:t xml:space="preserve"> </w:t>
      </w:r>
      <w:r>
        <w:t xml:space="preserve">y el</w:t>
      </w:r>
      <w:r>
        <w:t xml:space="preserve"> </w:t>
      </w:r>
      <w:r>
        <w:rPr>
          <w:b/>
          <w:bCs/>
        </w:rPr>
        <w:t xml:space="preserve">costo de atención</w:t>
      </w:r>
      <w:r>
        <w:t xml:space="preserve"> </w:t>
      </w:r>
      <w:r>
        <w:t xml:space="preserve">expresado como porcentaje del</w:t>
      </w:r>
      <w:r>
        <w:t xml:space="preserve"> </w:t>
      </w:r>
      <w:r>
        <w:rPr>
          <w:b/>
          <w:bCs/>
        </w:rPr>
        <w:t xml:space="preserve">PIB nominal</w:t>
      </w:r>
      <w:r>
        <w:t xml:space="preserve">. La estimación se basa en diversas fuentes oficiales y académicas: estadísticas de muertes y lesiones del Consejo de Seguridad Vial (COSEVI), el Instituto Nacional de Estadística y Censos (INEC) y el Poder Judicial, las tablas de vida del INEC/CCP, informes de costos elaborados por el Programa de Investigación en Desarrollo Urbano Sostenible (ProDUS/UCR), el Observatorio del Desarrollo (OdD/UCR), así como reportes periodísticos y notas de prensa que resumen las cifras de víctimas cuando la información oficial completa no está disponible.</w:t>
      </w:r>
    </w:p>
    <w:bookmarkEnd w:id="21"/>
    <w:bookmarkStart w:id="28" w:name="fuentes-de-datos"/>
    <w:p>
      <w:pPr>
        <w:pStyle w:val="Heading2"/>
      </w:pPr>
      <w:r>
        <w:t xml:space="preserve">Fuentes de datos</w:t>
      </w:r>
    </w:p>
    <w:p>
      <w:pPr>
        <w:pStyle w:val="Compact"/>
        <w:numPr>
          <w:ilvl w:val="0"/>
          <w:numId w:val="1001"/>
        </w:numPr>
      </w:pPr>
      <w:r>
        <w:rPr>
          <w:b/>
          <w:bCs/>
        </w:rPr>
        <w:t xml:space="preserve">INEC – Anuario Estadístico</w:t>
      </w:r>
      <w:r>
        <w:t xml:space="preserve"> </w:t>
      </w:r>
      <w:r>
        <w:t xml:space="preserve">2012–2013: presenta el cuadro 8.5 “Accidentes de tránsito en rutas nacionales, lesionados y fallecidos</w:t>
      </w:r>
      <w:r>
        <w:t xml:space="preserve"> </w:t>
      </w:r>
      <w:r>
        <w:rPr>
          <w:i/>
          <w:iCs/>
        </w:rPr>
        <w:t xml:space="preserve">in situ</w:t>
      </w:r>
      <w:r>
        <w:t xml:space="preserve"> </w:t>
      </w:r>
      <w:r>
        <w:t xml:space="preserve">2011‑2013”, con los accidentes, lesionados y fallecidos en el sitio para cada año</w:t>
      </w:r>
      <w:hyperlink r:id="rId22">
        <w:r>
          <w:rPr>
            <w:rStyle w:val="Hyperlink"/>
          </w:rPr>
          <w:t xml:space="preserve">[1]</w:t>
        </w:r>
      </w:hyperlink>
      <w:r>
        <w:t xml:space="preserve">.</w:t>
      </w:r>
    </w:p>
    <w:p>
      <w:pPr>
        <w:pStyle w:val="Compact"/>
        <w:numPr>
          <w:ilvl w:val="0"/>
          <w:numId w:val="1001"/>
        </w:numPr>
      </w:pPr>
      <w:r>
        <w:rPr>
          <w:b/>
          <w:bCs/>
        </w:rPr>
        <w:t xml:space="preserve">Poder Judicial – Dirección de Planificación</w:t>
      </w:r>
      <w:r>
        <w:t xml:space="preserve">: informe sobre muertes por accidentes de tránsito (2019‑2023) que resume los decesos por tipo de accidente y sexo; el cuadro histórico indica 792 muertes en 2019, 585 en 2020, 730 en 2021, 855 en 2022 y 936 en 2023</w:t>
      </w:r>
      <w:hyperlink r:id="rId23">
        <w:r>
          <w:rPr>
            <w:rStyle w:val="Hyperlink"/>
          </w:rPr>
          <w:t xml:space="preserve">[2]</w:t>
        </w:r>
      </w:hyperlink>
      <w:r>
        <w:t xml:space="preserve">.</w:t>
      </w:r>
    </w:p>
    <w:p>
      <w:pPr>
        <w:pStyle w:val="Compact"/>
        <w:numPr>
          <w:ilvl w:val="0"/>
          <w:numId w:val="1001"/>
        </w:numPr>
      </w:pPr>
      <w:r>
        <w:rPr>
          <w:b/>
          <w:bCs/>
        </w:rPr>
        <w:t xml:space="preserve">Artículo de Teletica (18/12/2023)</w:t>
      </w:r>
      <w:r>
        <w:t xml:space="preserve">: sintetiza la evolución de muertes en carretera entre 2014 y 2022; señala que 2014 cerró con 355 fallecidos, 398 en 2015, 458 en 2016, 460 en 2017, 445 en 2018 y 440 en 2019; durante la pandemia hubo 300 muertes en 2020 y 365 en 2021; el año 2022 cerró con 484 muertes</w:t>
      </w:r>
      <w:hyperlink r:id="rId24">
        <w:r>
          <w:rPr>
            <w:rStyle w:val="Hyperlink"/>
          </w:rPr>
          <w:t xml:space="preserve">[3]</w:t>
        </w:r>
      </w:hyperlink>
      <w:r>
        <w:t xml:space="preserve">.</w:t>
      </w:r>
    </w:p>
    <w:p>
      <w:pPr>
        <w:pStyle w:val="Compact"/>
        <w:numPr>
          <w:ilvl w:val="0"/>
          <w:numId w:val="1001"/>
        </w:numPr>
      </w:pPr>
      <w:r>
        <w:rPr>
          <w:b/>
          <w:bCs/>
        </w:rPr>
        <w:t xml:space="preserve">Nota de Delfino (23/06/2025)</w:t>
      </w:r>
      <w:r>
        <w:t xml:space="preserve">: menciona que en 2024 se reportaron 505 personas fallecidas en el punto del accidente, una leve baja frente a las 517 muertes de 2023 según datos del MOPT</w:t>
      </w:r>
      <w:hyperlink r:id="rId25">
        <w:r>
          <w:rPr>
            <w:rStyle w:val="Hyperlink"/>
          </w:rPr>
          <w:t xml:space="preserve">[4]</w:t>
        </w:r>
      </w:hyperlink>
      <w:r>
        <w:t xml:space="preserve">.</w:t>
      </w:r>
    </w:p>
    <w:p>
      <w:pPr>
        <w:pStyle w:val="Compact"/>
        <w:numPr>
          <w:ilvl w:val="0"/>
          <w:numId w:val="1001"/>
        </w:numPr>
      </w:pPr>
      <w:r>
        <w:rPr>
          <w:b/>
          <w:bCs/>
        </w:rPr>
        <w:t xml:space="preserve">Informe municipal sobre el Parque Metropolitano de Alajuela (2020)</w:t>
      </w:r>
      <w:r>
        <w:t xml:space="preserve">: cita el estudio “Costos de los choques viales en Costa Rica” de ProDUS/UCR e indica que la atención de accidentes de tránsito puede costar hasta 2,5 % del PIB</w:t>
      </w:r>
      <w:hyperlink r:id="rId25">
        <w:r>
          <w:rPr>
            <w:rStyle w:val="Hyperlink"/>
          </w:rPr>
          <w:t xml:space="preserve">[4]</w:t>
        </w:r>
      </w:hyperlink>
      <w:r>
        <w:t xml:space="preserve">; también menciona un estudio posterior que calcula que solo los accidentes de motocicleta representan 1,2 % del PIB</w:t>
      </w:r>
      <w:hyperlink r:id="rId26">
        <w:r>
          <w:rPr>
            <w:rStyle w:val="Hyperlink"/>
          </w:rPr>
          <w:t xml:space="preserve">[5]</w:t>
        </w:r>
      </w:hyperlink>
      <w:r>
        <w:t xml:space="preserve">. Además, este informe incluye una tabla con el PIB nominal y los costos de accidentes (millones de colones) para 2012‑2017</w:t>
      </w:r>
      <w:hyperlink r:id="rId27">
        <w:r>
          <w:rPr>
            <w:rStyle w:val="Hyperlink"/>
          </w:rPr>
          <w:t xml:space="preserve">[6]</w:t>
        </w:r>
      </w:hyperlink>
      <w:r>
        <w:t xml:space="preserve">.</w:t>
      </w:r>
    </w:p>
    <w:bookmarkEnd w:id="28"/>
    <w:bookmarkStart w:id="32" w:name="metodología"/>
    <w:p>
      <w:pPr>
        <w:pStyle w:val="Heading2"/>
      </w:pPr>
      <w:r>
        <w:t xml:space="preserve">Metodología</w:t>
      </w:r>
    </w:p>
    <w:bookmarkStart w:id="29" w:name="X115e358e47d457ae74db5f0ea444a6aaf5e3cfa"/>
    <w:p>
      <w:pPr>
        <w:pStyle w:val="Heading3"/>
      </w:pPr>
      <w:r>
        <w:t xml:space="preserve">Años de vida potencialmente perdidos (YPLL/AVPP)</w:t>
      </w:r>
    </w:p>
    <w:p>
      <w:pPr>
        <w:numPr>
          <w:ilvl w:val="0"/>
          <w:numId w:val="1002"/>
        </w:numPr>
      </w:pPr>
      <w:r>
        <w:rPr>
          <w:b/>
          <w:bCs/>
        </w:rPr>
        <w:t xml:space="preserve">Definición y fórmula.</w:t>
      </w:r>
      <w:r>
        <w:t xml:space="preserve"> </w:t>
      </w:r>
      <w:r>
        <w:t xml:space="preserve">Se suman los años de vida perdidos para cada fallecido restando la edad al morir de la esperanza de vida restante. Ante la ausencia de la distribución por edades para todos los años, se adopta un valor medio de</w:t>
      </w:r>
      <w:r>
        <w:t xml:space="preserve"> </w:t>
      </w:r>
      <w:r>
        <w:rPr>
          <w:b/>
          <w:bCs/>
        </w:rPr>
        <w:t xml:space="preserve">35 años</w:t>
      </w:r>
      <w:r>
        <w:t xml:space="preserve"> </w:t>
      </w:r>
      <w:r>
        <w:t xml:space="preserve">al morir (reportes del COSEVI indican que la mayoría de víctimas son jóvenes motociclistas de 19‑39 años). La esperanza de vida al nacer se toma como</w:t>
      </w:r>
      <w:r>
        <w:t xml:space="preserve"> </w:t>
      </w:r>
      <w:r>
        <w:rPr>
          <w:b/>
          <w:bCs/>
        </w:rPr>
        <w:t xml:space="preserve">81 años</w:t>
      </w:r>
      <w:r>
        <w:t xml:space="preserve"> </w:t>
      </w:r>
      <w:r>
        <w:t xml:space="preserve">(INEC/CCP). Por tanto, la vida potencialmente perdida promedio es</w:t>
      </w:r>
      <w:r>
        <w:t xml:space="preserve"> </w:t>
      </w:r>
      <w:r>
        <w:rPr>
          <w:b/>
          <w:bCs/>
        </w:rPr>
        <w:t xml:space="preserve">46 años</w:t>
      </w:r>
      <w:r>
        <w:t xml:space="preserve">.</w:t>
      </w:r>
    </w:p>
    <w:p>
      <w:pPr>
        <w:numPr>
          <w:ilvl w:val="0"/>
          <w:numId w:val="1002"/>
        </w:numPr>
      </w:pPr>
      <w:r>
        <w:rPr>
          <w:b/>
          <w:bCs/>
        </w:rPr>
        <w:t xml:space="preserve">Cálculo anual.</w:t>
      </w:r>
      <w:r>
        <w:t xml:space="preserve"> </w:t>
      </w:r>
      <w:r>
        <w:t xml:space="preserve">Para cada año</w:t>
      </w:r>
      <w:r>
        <w:t xml:space="preserve"> </w:t>
      </w:r>
      <w:r>
        <w:rPr>
          <w:rStyle w:val="VerbatimChar"/>
        </w:rPr>
        <w:t xml:space="preserve">t</w:t>
      </w:r>
      <w:r>
        <w:t xml:space="preserve"> </w:t>
      </w:r>
      <w:r>
        <w:t xml:space="preserve">se multiplica el número total de fallecidos</w:t>
      </w:r>
      <w:r>
        <w:t xml:space="preserve"> </w:t>
      </w:r>
      <w:r>
        <w:rPr>
          <w:rStyle w:val="VerbatimChar"/>
        </w:rPr>
        <w:t xml:space="preserve">D_t</w:t>
      </w:r>
      <w:r>
        <w:t xml:space="preserve"> </w:t>
      </w:r>
      <w:r>
        <w:t xml:space="preserve">por 46. Los decesos para 2011‑2013 provienen del cuadro del INEC</w:t>
      </w:r>
      <w:hyperlink r:id="rId22">
        <w:r>
          <w:rPr>
            <w:rStyle w:val="Hyperlink"/>
          </w:rPr>
          <w:t xml:space="preserve">[1]</w:t>
        </w:r>
      </w:hyperlink>
      <w:r>
        <w:t xml:space="preserve">, para 2014‑2018 de Teletica</w:t>
      </w:r>
      <w:hyperlink r:id="rId24">
        <w:r>
          <w:rPr>
            <w:rStyle w:val="Hyperlink"/>
          </w:rPr>
          <w:t xml:space="preserve">[3]</w:t>
        </w:r>
      </w:hyperlink>
      <w:r>
        <w:t xml:space="preserve"> </w:t>
      </w:r>
      <w:r>
        <w:t xml:space="preserve">y para 2019‑2023 del Poder Judicial</w:t>
      </w:r>
      <w:hyperlink r:id="rId23">
        <w:r>
          <w:rPr>
            <w:rStyle w:val="Hyperlink"/>
          </w:rPr>
          <w:t xml:space="preserve">[2]</w:t>
        </w:r>
      </w:hyperlink>
      <w:r>
        <w:t xml:space="preserve">. El valor de 2024 proviene de MOPT (cifra provisional de 505 fallecidos)</w:t>
      </w:r>
      <w:hyperlink r:id="rId25">
        <w:r>
          <w:rPr>
            <w:rStyle w:val="Hyperlink"/>
          </w:rPr>
          <w:t xml:space="preserve">[4]</w:t>
        </w:r>
      </w:hyperlink>
      <w:r>
        <w:t xml:space="preserve">. Para 2025 se proyecta un valor ligeramente superior (520) dado el crecimiento observado.</w:t>
      </w:r>
    </w:p>
    <w:bookmarkEnd w:id="29"/>
    <w:bookmarkStart w:id="30" w:name="años-vividos-con-discapacidad-yldavd"/>
    <w:p>
      <w:pPr>
        <w:pStyle w:val="Heading3"/>
      </w:pPr>
      <w:r>
        <w:t xml:space="preserve">Años vividos con discapacidad (YLD/AVD)</w:t>
      </w:r>
    </w:p>
    <w:p>
      <w:pPr>
        <w:pStyle w:val="Compact"/>
        <w:numPr>
          <w:ilvl w:val="0"/>
          <w:numId w:val="1003"/>
        </w:numPr>
      </w:pPr>
      <w:r>
        <w:rPr>
          <w:b/>
          <w:bCs/>
        </w:rPr>
        <w:t xml:space="preserve">Definición y fórmula.</w:t>
      </w:r>
      <w:r>
        <w:t xml:space="preserve"> </w:t>
      </w:r>
      <w:r>
        <w:t xml:space="preserve">Se aplica la metodología de la Carga Global de Enfermedad (GBD):</w:t>
      </w:r>
      <w:r>
        <w:t xml:space="preserve"> </w:t>
      </w:r>
      <m:oMath>
        <m:r>
          <m:rPr>
            <m:sty m:val="p"/>
          </m:rPr>
          <m:t>Y</m:t>
        </m:r>
        <m:r>
          <m:rPr>
            <m:sty m:val="p"/>
          </m:rPr>
          <m:t>L</m:t>
        </m:r>
        <m:r>
          <m:rPr>
            <m:sty m:val="p"/>
          </m:rPr>
          <m:t>D</m:t>
        </m:r>
        <m:r>
          <m:rPr>
            <m:sty m:val="p"/>
          </m:rPr>
          <m:t>=</m:t>
        </m:r>
        <m:r>
          <m:t>I</m:t>
        </m:r>
        <m:r>
          <m:rPr>
            <m:sty m:val="p"/>
          </m:rPr>
          <m:t>×</m:t>
        </m:r>
        <m:r>
          <m:t>D</m:t>
        </m:r>
        <m:r>
          <m:t>W</m:t>
        </m:r>
        <m:r>
          <m:rPr>
            <m:sty m:val="p"/>
          </m:rPr>
          <m:t>×</m:t>
        </m:r>
        <m:r>
          <m:t>L</m:t>
        </m:r>
      </m:oMath>
      <w:r>
        <w:t xml:space="preserve"> </w:t>
      </w:r>
      <w:r>
        <w:t xml:space="preserve">, donde</w:t>
      </w:r>
      <w:r>
        <w:t xml:space="preserve"> </w:t>
      </w:r>
      <w:r>
        <w:rPr>
          <w:i/>
          <w:iCs/>
        </w:rPr>
        <w:t xml:space="preserve">I</w:t>
      </w:r>
      <w:r>
        <w:t xml:space="preserve"> </w:t>
      </w:r>
      <w:r>
        <w:t xml:space="preserve">es el número de lesiones por tipo,</w:t>
      </w:r>
      <w:r>
        <w:t xml:space="preserve"> </w:t>
      </w:r>
      <w:r>
        <w:rPr>
          <w:i/>
          <w:iCs/>
        </w:rPr>
        <w:t xml:space="preserve">DW</w:t>
      </w:r>
      <w:r>
        <w:t xml:space="preserve"> </w:t>
      </w:r>
      <w:r>
        <w:t xml:space="preserve">el peso de discapacidad y</w:t>
      </w:r>
      <w:r>
        <w:t xml:space="preserve"> </w:t>
      </w:r>
      <w:r>
        <w:rPr>
          <w:i/>
          <w:iCs/>
        </w:rPr>
        <w:t xml:space="preserve">L</w:t>
      </w:r>
      <w:r>
        <w:t xml:space="preserve"> </w:t>
      </w:r>
      <w:r>
        <w:t xml:space="preserve">la duración en años.</w:t>
      </w:r>
    </w:p>
    <w:p>
      <w:pPr>
        <w:pStyle w:val="Compact"/>
        <w:numPr>
          <w:ilvl w:val="0"/>
          <w:numId w:val="1003"/>
        </w:numPr>
      </w:pPr>
      <w:r>
        <w:rPr>
          <w:b/>
          <w:bCs/>
        </w:rPr>
        <w:t xml:space="preserve">Datos de incidencia.</w:t>
      </w:r>
      <w:r>
        <w:t xml:space="preserve"> </w:t>
      </w:r>
      <w:r>
        <w:t xml:space="preserve">Para 2011‑2013 se utilizan los lesionados “in situ” del INEC</w:t>
      </w:r>
      <w:hyperlink r:id="rId22">
        <w:r>
          <w:rPr>
            <w:rStyle w:val="Hyperlink"/>
          </w:rPr>
          <w:t xml:space="preserve">[1]</w:t>
        </w:r>
      </w:hyperlink>
      <w:r>
        <w:t xml:space="preserve"> </w:t>
      </w:r>
      <w:r>
        <w:t xml:space="preserve">(21 158; 24 024; 25 999). Para 2014‑2025 se asume un número constante de</w:t>
      </w:r>
      <w:r>
        <w:t xml:space="preserve"> </w:t>
      </w:r>
      <w:r>
        <w:rPr>
          <w:b/>
          <w:bCs/>
        </w:rPr>
        <w:t xml:space="preserve">22 330 lesionados graves</w:t>
      </w:r>
      <w:r>
        <w:t xml:space="preserve"> </w:t>
      </w:r>
      <w:r>
        <w:t xml:space="preserve">por año, basado en las estimaciones de iRAP/COSEVI que contabilizan aproximadamente esa cifra de lesiones graves anuales, desglosadas en ~2 750 traumatismos craneoencefálicos, ~242 lesiones medulares/parálisis, ~55 amputaciones y el resto trauma grave</w:t>
      </w:r>
      <w:hyperlink r:id="rId25">
        <w:r>
          <w:rPr>
            <w:rStyle w:val="Hyperlink"/>
          </w:rPr>
          <w:t xml:space="preserve">[4]</w:t>
        </w:r>
      </w:hyperlink>
      <w:r>
        <w:t xml:space="preserve">.</w:t>
      </w:r>
    </w:p>
    <w:p>
      <w:pPr>
        <w:pStyle w:val="Compact"/>
        <w:numPr>
          <w:ilvl w:val="0"/>
          <w:numId w:val="1003"/>
        </w:numPr>
      </w:pPr>
      <w:r>
        <w:rPr>
          <w:b/>
          <w:bCs/>
        </w:rPr>
        <w:t xml:space="preserve">Pesos y duraciones.</w:t>
      </w:r>
      <w:r>
        <w:t xml:space="preserve"> </w:t>
      </w:r>
      <w:r>
        <w:t xml:space="preserve">Siguiendo los valores de la GBD 2019 se asignan pesos: 0,40 (lesiones medulares, duración 40 años), 0,20 (traumatismo craneoencefálico, duración 5 años), 0,10 (amputación, duración 40 años) y 0,074 (trauma grave temporal, duración 0,2 años). El cálculo para un año tipo produce ~7 160 años vividos con discapacidad (YLD) cuando se registran 22 330 lesiones graves. Para cada año se escala este valor proporcionalmente al número de lesionados graves estimado.</w:t>
      </w:r>
    </w:p>
    <w:bookmarkEnd w:id="30"/>
    <w:bookmarkStart w:id="31" w:name="Xe0d6eadd25c55add9d870f2f1dcc3b56b6e9dba"/>
    <w:p>
      <w:pPr>
        <w:pStyle w:val="Heading3"/>
      </w:pPr>
      <w:r>
        <w:t xml:space="preserve">Costo de atención como porcentaje del PIB</w:t>
      </w:r>
    </w:p>
    <w:p>
      <w:pPr>
        <w:numPr>
          <w:ilvl w:val="0"/>
          <w:numId w:val="1004"/>
        </w:numPr>
      </w:pPr>
      <w:r>
        <w:rPr>
          <w:b/>
          <w:bCs/>
        </w:rPr>
        <w:t xml:space="preserve">Componentes considerados.</w:t>
      </w:r>
      <w:r>
        <w:t xml:space="preserve"> </w:t>
      </w:r>
      <w:r>
        <w:t xml:space="preserve">Se incluyen costos médicos directos (atención en hospitales de la CCSS, pagos del Seguro Obligatorio Automotor, indemnizaciones del INS), costos indirectos (pérdida de productividad y años potenciales de vida perdidos) y costos asociados al tiempo de congestión y respuesta. El informe de ProDUS/UCR estima que estos costos oscilan entre 3,19 % y 3,65 % del PIB y que la atención de accidentes en general puede costar hasta 2,5 % del PIB</w:t>
      </w:r>
      <w:hyperlink r:id="rId25">
        <w:r>
          <w:rPr>
            <w:rStyle w:val="Hyperlink"/>
          </w:rPr>
          <w:t xml:space="preserve">[4]</w:t>
        </w:r>
      </w:hyperlink>
      <w:r>
        <w:t xml:space="preserve">. El OdD/UCR calculó que solo los accidentes de motociclistas representaban un 1,2 % del PIB</w:t>
      </w:r>
      <w:hyperlink r:id="rId26">
        <w:r>
          <w:rPr>
            <w:rStyle w:val="Hyperlink"/>
          </w:rPr>
          <w:t xml:space="preserve">[5]</w:t>
        </w:r>
      </w:hyperlink>
      <w:r>
        <w:t xml:space="preserve">.</w:t>
      </w:r>
    </w:p>
    <w:p>
      <w:pPr>
        <w:numPr>
          <w:ilvl w:val="0"/>
          <w:numId w:val="1004"/>
        </w:numPr>
      </w:pPr>
      <w:r>
        <w:rPr>
          <w:b/>
          <w:bCs/>
        </w:rPr>
        <w:t xml:space="preserve">Datos de PIB y costos de accidentes.</w:t>
      </w:r>
      <w:r>
        <w:t xml:space="preserve"> </w:t>
      </w:r>
      <w:r>
        <w:t xml:space="preserve">El informe municipal citado incluye una tabla del PIB nominal (millones de colones) y los costos de accidentes para 2012‑2017</w:t>
      </w:r>
      <w:hyperlink r:id="rId27">
        <w:r>
          <w:rPr>
            <w:rStyle w:val="Hyperlink"/>
          </w:rPr>
          <w:t xml:space="preserve">[6]</w:t>
        </w:r>
      </w:hyperlink>
      <w:r>
        <w:t xml:space="preserve">. A partir de esos datos se calcula la proporción</w:t>
      </w:r>
      <w:r>
        <w:t xml:space="preserve"> </w:t>
      </w:r>
      <w:r>
        <w:rPr>
          <w:rStyle w:val="VerbatimChar"/>
        </w:rPr>
        <w:t xml:space="preserve">Costo / PIB</w:t>
      </w:r>
      <w:r>
        <w:t xml:space="preserve"> </w:t>
      </w:r>
      <w:r>
        <w:t xml:space="preserve">para cada año. Para 2011 se estima un costo similar a 2012 (≈2,2 % del PIB). Para 2018‑2025, donde no existen cifras oficiales de costos, se adopta un valor aproximado del 2,5 % del PIB, aumentando a 3 % en 2022‑2025 debido al incremento de muertes y al mayor uso de motocicletas, tal como señalan iRAP y MOPT</w:t>
      </w:r>
      <w:hyperlink r:id="rId25">
        <w:r>
          <w:rPr>
            <w:rStyle w:val="Hyperlink"/>
          </w:rPr>
          <w:t xml:space="preserve">[4]</w:t>
        </w:r>
      </w:hyperlink>
      <w:r>
        <w:t xml:space="preserve">.</w:t>
      </w:r>
    </w:p>
    <w:bookmarkEnd w:id="31"/>
    <w:bookmarkEnd w:id="32"/>
    <w:bookmarkStart w:id="35" w:name="resultados"/>
    <w:p>
      <w:pPr>
        <w:pStyle w:val="Heading2"/>
      </w:pPr>
      <w:r>
        <w:t xml:space="preserve">Resultados</w:t>
      </w:r>
    </w:p>
    <w:bookmarkStart w:id="33" w:name="resumen-de-indicadores-por-año-20112025"/>
    <w:p>
      <w:pPr>
        <w:pStyle w:val="Heading3"/>
      </w:pPr>
      <w:r>
        <w:t xml:space="preserve">Resumen de indicadores por año (2011‑2025)</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right"/>
            </w:pPr>
            <w:r>
              <w:t xml:space="preserve">Año</w:t>
            </w:r>
          </w:p>
        </w:tc>
        <w:tc>
          <w:tcPr/>
          <w:p>
            <w:pPr>
              <w:pStyle w:val="Compact"/>
              <w:jc w:val="left"/>
            </w:pPr>
            <w:r>
              <w:t xml:space="preserve">Muertes (fuente)</w:t>
            </w:r>
          </w:p>
        </w:tc>
        <w:tc>
          <w:tcPr/>
          <w:p>
            <w:pPr>
              <w:pStyle w:val="Compact"/>
              <w:jc w:val="left"/>
            </w:pPr>
            <w:r>
              <w:t xml:space="preserve">Lesionados graves estimados</w:t>
            </w:r>
          </w:p>
        </w:tc>
        <w:tc>
          <w:tcPr/>
          <w:p>
            <w:pPr>
              <w:pStyle w:val="Compact"/>
              <w:jc w:val="right"/>
            </w:pPr>
            <w:r>
              <w:t xml:space="preserve">YPLL (años)</w:t>
            </w:r>
          </w:p>
        </w:tc>
        <w:tc>
          <w:tcPr/>
          <w:p>
            <w:pPr>
              <w:pStyle w:val="Compact"/>
              <w:jc w:val="right"/>
            </w:pPr>
            <w:r>
              <w:t xml:space="preserve">YLD (años)</w:t>
            </w:r>
          </w:p>
        </w:tc>
        <w:tc>
          <w:tcPr/>
          <w:p>
            <w:pPr>
              <w:pStyle w:val="Compact"/>
              <w:jc w:val="right"/>
            </w:pPr>
            <w:r>
              <w:t xml:space="preserve">PIB (millones ₡)*</w:t>
            </w:r>
          </w:p>
        </w:tc>
        <w:tc>
          <w:tcPr/>
          <w:p>
            <w:pPr>
              <w:pStyle w:val="Compact"/>
              <w:jc w:val="right"/>
            </w:pPr>
            <w:r>
              <w:t xml:space="preserve">Costo accidentes (millones ₡)**</w:t>
            </w:r>
          </w:p>
        </w:tc>
        <w:tc>
          <w:tcPr/>
          <w:p>
            <w:pPr>
              <w:pStyle w:val="Compact"/>
              <w:jc w:val="right"/>
            </w:pPr>
            <w:r>
              <w:t xml:space="preserve">Costo/PIB (%)</w:t>
            </w:r>
          </w:p>
        </w:tc>
      </w:tr>
      <w:tr>
        <w:tc>
          <w:tcPr/>
          <w:p>
            <w:pPr>
              <w:pStyle w:val="Compact"/>
              <w:jc w:val="right"/>
            </w:pPr>
            <w:r>
              <w:rPr>
                <w:b/>
                <w:bCs/>
              </w:rPr>
              <w:t xml:space="preserve">2011</w:t>
            </w:r>
          </w:p>
        </w:tc>
        <w:tc>
          <w:tcPr/>
          <w:p>
            <w:pPr>
              <w:pStyle w:val="Compact"/>
              <w:jc w:val="left"/>
            </w:pPr>
            <w:r>
              <w:t xml:space="preserve">289 (INEC)</w:t>
            </w:r>
            <w:hyperlink r:id="rId22">
              <w:r>
                <w:rPr>
                  <w:rStyle w:val="Hyperlink"/>
                </w:rPr>
                <w:t xml:space="preserve">[1]</w:t>
              </w:r>
            </w:hyperlink>
          </w:p>
        </w:tc>
        <w:tc>
          <w:tcPr/>
          <w:p>
            <w:pPr>
              <w:pStyle w:val="Compact"/>
              <w:jc w:val="left"/>
            </w:pPr>
            <w:r>
              <w:t xml:space="preserve">21 158</w:t>
            </w:r>
          </w:p>
        </w:tc>
        <w:tc>
          <w:tcPr/>
          <w:p>
            <w:pPr>
              <w:pStyle w:val="Compact"/>
              <w:jc w:val="right"/>
            </w:pPr>
            <w:r>
              <w:t xml:space="preserve">13 294</w:t>
            </w:r>
          </w:p>
        </w:tc>
        <w:tc>
          <w:tcPr/>
          <w:p>
            <w:pPr>
              <w:pStyle w:val="Compact"/>
              <w:jc w:val="right"/>
            </w:pPr>
            <w:r>
              <w:t xml:space="preserve">6 784</w:t>
            </w:r>
          </w:p>
        </w:tc>
        <w:tc>
          <w:tcPr/>
          <w:p>
            <w:pPr>
              <w:pStyle w:val="Compact"/>
              <w:jc w:val="right"/>
            </w:pPr>
            <w:r>
              <w:t xml:space="preserve">≈22 800 000</w:t>
            </w:r>
          </w:p>
        </w:tc>
        <w:tc>
          <w:tcPr/>
          <w:p>
            <w:pPr>
              <w:pStyle w:val="Compact"/>
              <w:jc w:val="right"/>
            </w:pPr>
            <w:r>
              <w:t xml:space="preserve">≈500 000</w:t>
            </w:r>
          </w:p>
        </w:tc>
        <w:tc>
          <w:tcPr/>
          <w:p>
            <w:pPr>
              <w:pStyle w:val="Compact"/>
              <w:jc w:val="right"/>
            </w:pPr>
            <w:r>
              <w:t xml:space="preserve">2,19</w:t>
            </w:r>
          </w:p>
        </w:tc>
      </w:tr>
      <w:tr>
        <w:tc>
          <w:tcPr/>
          <w:p>
            <w:pPr>
              <w:pStyle w:val="Compact"/>
              <w:jc w:val="right"/>
            </w:pPr>
            <w:r>
              <w:rPr>
                <w:b/>
                <w:bCs/>
              </w:rPr>
              <w:t xml:space="preserve">2012</w:t>
            </w:r>
          </w:p>
        </w:tc>
        <w:tc>
          <w:tcPr/>
          <w:p>
            <w:pPr>
              <w:pStyle w:val="Compact"/>
              <w:jc w:val="left"/>
            </w:pPr>
            <w:r>
              <w:t xml:space="preserve">330 (INEC)</w:t>
            </w:r>
            <w:hyperlink r:id="rId22">
              <w:r>
                <w:rPr>
                  <w:rStyle w:val="Hyperlink"/>
                </w:rPr>
                <w:t xml:space="preserve">[1]</w:t>
              </w:r>
            </w:hyperlink>
          </w:p>
        </w:tc>
        <w:tc>
          <w:tcPr/>
          <w:p>
            <w:pPr>
              <w:pStyle w:val="Compact"/>
              <w:jc w:val="left"/>
            </w:pPr>
            <w:r>
              <w:t xml:space="preserve">24 024</w:t>
            </w:r>
          </w:p>
        </w:tc>
        <w:tc>
          <w:tcPr/>
          <w:p>
            <w:pPr>
              <w:pStyle w:val="Compact"/>
              <w:jc w:val="right"/>
            </w:pPr>
            <w:r>
              <w:t xml:space="preserve">15 180</w:t>
            </w:r>
          </w:p>
        </w:tc>
        <w:tc>
          <w:tcPr/>
          <w:p>
            <w:pPr>
              <w:pStyle w:val="Compact"/>
              <w:jc w:val="right"/>
            </w:pPr>
            <w:r>
              <w:t xml:space="preserve">7 703</w:t>
            </w:r>
          </w:p>
        </w:tc>
        <w:tc>
          <w:tcPr/>
          <w:p>
            <w:pPr>
              <w:pStyle w:val="Compact"/>
              <w:jc w:val="right"/>
            </w:pPr>
            <w:r>
              <w:t xml:space="preserve">23 371 405</w:t>
            </w:r>
          </w:p>
        </w:tc>
        <w:tc>
          <w:tcPr/>
          <w:p>
            <w:pPr>
              <w:pStyle w:val="Compact"/>
              <w:jc w:val="right"/>
            </w:pPr>
            <w:r>
              <w:t xml:space="preserve">514 844</w:t>
            </w:r>
            <w:hyperlink r:id="rId27">
              <w:r>
                <w:rPr>
                  <w:rStyle w:val="Hyperlink"/>
                </w:rPr>
                <w:t xml:space="preserve">[6]</w:t>
              </w:r>
            </w:hyperlink>
          </w:p>
        </w:tc>
        <w:tc>
          <w:tcPr/>
          <w:p>
            <w:pPr>
              <w:pStyle w:val="Compact"/>
              <w:jc w:val="right"/>
            </w:pPr>
            <w:r>
              <w:t xml:space="preserve">2,20</w:t>
            </w:r>
          </w:p>
        </w:tc>
      </w:tr>
      <w:tr>
        <w:tc>
          <w:tcPr/>
          <w:p>
            <w:pPr>
              <w:pStyle w:val="Compact"/>
              <w:jc w:val="right"/>
            </w:pPr>
            <w:r>
              <w:rPr>
                <w:b/>
                <w:bCs/>
              </w:rPr>
              <w:t xml:space="preserve">2013</w:t>
            </w:r>
          </w:p>
        </w:tc>
        <w:tc>
          <w:tcPr/>
          <w:p>
            <w:pPr>
              <w:pStyle w:val="Compact"/>
              <w:jc w:val="left"/>
            </w:pPr>
            <w:r>
              <w:t xml:space="preserve">294 (INEC)</w:t>
            </w:r>
            <w:hyperlink r:id="rId22">
              <w:r>
                <w:rPr>
                  <w:rStyle w:val="Hyperlink"/>
                </w:rPr>
                <w:t xml:space="preserve">[1]</w:t>
              </w:r>
            </w:hyperlink>
          </w:p>
        </w:tc>
        <w:tc>
          <w:tcPr/>
          <w:p>
            <w:pPr>
              <w:pStyle w:val="Compact"/>
              <w:jc w:val="left"/>
            </w:pPr>
            <w:r>
              <w:t xml:space="preserve">25 999</w:t>
            </w:r>
          </w:p>
        </w:tc>
        <w:tc>
          <w:tcPr/>
          <w:p>
            <w:pPr>
              <w:pStyle w:val="Compact"/>
              <w:jc w:val="right"/>
            </w:pPr>
            <w:r>
              <w:t xml:space="preserve">13 524</w:t>
            </w:r>
          </w:p>
        </w:tc>
        <w:tc>
          <w:tcPr/>
          <w:p>
            <w:pPr>
              <w:pStyle w:val="Compact"/>
              <w:jc w:val="right"/>
            </w:pPr>
            <w:r>
              <w:t xml:space="preserve">8 336</w:t>
            </w:r>
          </w:p>
        </w:tc>
        <w:tc>
          <w:tcPr/>
          <w:p>
            <w:pPr>
              <w:pStyle w:val="Compact"/>
              <w:jc w:val="right"/>
            </w:pPr>
            <w:r>
              <w:t xml:space="preserve">23 901 709</w:t>
            </w:r>
          </w:p>
        </w:tc>
        <w:tc>
          <w:tcPr/>
          <w:p>
            <w:pPr>
              <w:pStyle w:val="Compact"/>
              <w:jc w:val="right"/>
            </w:pPr>
            <w:r>
              <w:t xml:space="preserve">525 681</w:t>
            </w:r>
            <w:hyperlink r:id="rId27">
              <w:r>
                <w:rPr>
                  <w:rStyle w:val="Hyperlink"/>
                </w:rPr>
                <w:t xml:space="preserve">[6]</w:t>
              </w:r>
            </w:hyperlink>
          </w:p>
        </w:tc>
        <w:tc>
          <w:tcPr/>
          <w:p>
            <w:pPr>
              <w:pStyle w:val="Compact"/>
              <w:jc w:val="right"/>
            </w:pPr>
            <w:r>
              <w:t xml:space="preserve">2,20</w:t>
            </w:r>
          </w:p>
        </w:tc>
      </w:tr>
      <w:tr>
        <w:tc>
          <w:tcPr/>
          <w:p>
            <w:pPr>
              <w:pStyle w:val="Compact"/>
              <w:jc w:val="right"/>
            </w:pPr>
            <w:r>
              <w:rPr>
                <w:b/>
                <w:bCs/>
              </w:rPr>
              <w:t xml:space="preserve">2014</w:t>
            </w:r>
          </w:p>
        </w:tc>
        <w:tc>
          <w:tcPr/>
          <w:p>
            <w:pPr>
              <w:pStyle w:val="Compact"/>
              <w:jc w:val="left"/>
            </w:pPr>
            <w:r>
              <w:t xml:space="preserve">355 (Teletica)</w:t>
            </w:r>
            <w:hyperlink r:id="rId24">
              <w:r>
                <w:rPr>
                  <w:rStyle w:val="Hyperlink"/>
                </w:rPr>
                <w:t xml:space="preserve">[3]</w:t>
              </w:r>
            </w:hyperlink>
          </w:p>
        </w:tc>
        <w:tc>
          <w:tcPr/>
          <w:p>
            <w:pPr>
              <w:pStyle w:val="Compact"/>
              <w:jc w:val="left"/>
            </w:pPr>
            <w:r>
              <w:t xml:space="preserve">22 330</w:t>
            </w:r>
          </w:p>
        </w:tc>
        <w:tc>
          <w:tcPr/>
          <w:p>
            <w:pPr>
              <w:pStyle w:val="Compact"/>
              <w:jc w:val="right"/>
            </w:pPr>
            <w:r>
              <w:t xml:space="preserve">16 330</w:t>
            </w:r>
          </w:p>
        </w:tc>
        <w:tc>
          <w:tcPr/>
          <w:p>
            <w:pPr>
              <w:pStyle w:val="Compact"/>
              <w:jc w:val="right"/>
            </w:pPr>
            <w:r>
              <w:t xml:space="preserve">7 160</w:t>
            </w:r>
          </w:p>
        </w:tc>
        <w:tc>
          <w:tcPr/>
          <w:p>
            <w:pPr>
              <w:pStyle w:val="Compact"/>
              <w:jc w:val="right"/>
            </w:pPr>
            <w:r>
              <w:t xml:space="preserve">24 741 935</w:t>
            </w:r>
          </w:p>
        </w:tc>
        <w:tc>
          <w:tcPr/>
          <w:p>
            <w:pPr>
              <w:pStyle w:val="Compact"/>
              <w:jc w:val="right"/>
            </w:pPr>
            <w:r>
              <w:t xml:space="preserve">537 257</w:t>
            </w:r>
            <w:hyperlink r:id="rId27">
              <w:r>
                <w:rPr>
                  <w:rStyle w:val="Hyperlink"/>
                </w:rPr>
                <w:t xml:space="preserve">[6]</w:t>
              </w:r>
            </w:hyperlink>
          </w:p>
        </w:tc>
        <w:tc>
          <w:tcPr/>
          <w:p>
            <w:pPr>
              <w:pStyle w:val="Compact"/>
              <w:jc w:val="right"/>
            </w:pPr>
            <w:r>
              <w:t xml:space="preserve">2,17</w:t>
            </w:r>
          </w:p>
        </w:tc>
      </w:tr>
      <w:tr>
        <w:tc>
          <w:tcPr/>
          <w:p>
            <w:pPr>
              <w:pStyle w:val="Compact"/>
              <w:jc w:val="right"/>
            </w:pPr>
            <w:r>
              <w:rPr>
                <w:b/>
                <w:bCs/>
              </w:rPr>
              <w:t xml:space="preserve">2015</w:t>
            </w:r>
          </w:p>
        </w:tc>
        <w:tc>
          <w:tcPr/>
          <w:p>
            <w:pPr>
              <w:pStyle w:val="Compact"/>
              <w:jc w:val="left"/>
            </w:pPr>
            <w:r>
              <w:t xml:space="preserve">398 (Teletica)</w:t>
            </w:r>
            <w:hyperlink r:id="rId24">
              <w:r>
                <w:rPr>
                  <w:rStyle w:val="Hyperlink"/>
                </w:rPr>
                <w:t xml:space="preserve">[3]</w:t>
              </w:r>
            </w:hyperlink>
          </w:p>
        </w:tc>
        <w:tc>
          <w:tcPr/>
          <w:p>
            <w:pPr>
              <w:pStyle w:val="Compact"/>
              <w:jc w:val="left"/>
            </w:pPr>
            <w:r>
              <w:t xml:space="preserve">22 330</w:t>
            </w:r>
          </w:p>
        </w:tc>
        <w:tc>
          <w:tcPr/>
          <w:p>
            <w:pPr>
              <w:pStyle w:val="Compact"/>
              <w:jc w:val="right"/>
            </w:pPr>
            <w:r>
              <w:t xml:space="preserve">18 308</w:t>
            </w:r>
          </w:p>
        </w:tc>
        <w:tc>
          <w:tcPr/>
          <w:p>
            <w:pPr>
              <w:pStyle w:val="Compact"/>
              <w:jc w:val="right"/>
            </w:pPr>
            <w:r>
              <w:t xml:space="preserve">7 160</w:t>
            </w:r>
          </w:p>
        </w:tc>
        <w:tc>
          <w:tcPr/>
          <w:p>
            <w:pPr>
              <w:pStyle w:val="Compact"/>
              <w:jc w:val="right"/>
            </w:pPr>
            <w:r>
              <w:t xml:space="preserve">25 640 496</w:t>
            </w:r>
          </w:p>
        </w:tc>
        <w:tc>
          <w:tcPr/>
          <w:p>
            <w:pPr>
              <w:pStyle w:val="Compact"/>
              <w:jc w:val="right"/>
            </w:pPr>
            <w:r>
              <w:t xml:space="preserve">545 737</w:t>
            </w:r>
            <w:hyperlink r:id="rId27">
              <w:r>
                <w:rPr>
                  <w:rStyle w:val="Hyperlink"/>
                </w:rPr>
                <w:t xml:space="preserve">[6]</w:t>
              </w:r>
            </w:hyperlink>
          </w:p>
        </w:tc>
        <w:tc>
          <w:tcPr/>
          <w:p>
            <w:pPr>
              <w:pStyle w:val="Compact"/>
              <w:jc w:val="right"/>
            </w:pPr>
            <w:r>
              <w:t xml:space="preserve">2,13</w:t>
            </w:r>
          </w:p>
        </w:tc>
      </w:tr>
      <w:tr>
        <w:tc>
          <w:tcPr/>
          <w:p>
            <w:pPr>
              <w:pStyle w:val="Compact"/>
              <w:jc w:val="right"/>
            </w:pPr>
            <w:r>
              <w:rPr>
                <w:b/>
                <w:bCs/>
              </w:rPr>
              <w:t xml:space="preserve">2016</w:t>
            </w:r>
          </w:p>
        </w:tc>
        <w:tc>
          <w:tcPr/>
          <w:p>
            <w:pPr>
              <w:pStyle w:val="Compact"/>
              <w:jc w:val="left"/>
            </w:pPr>
            <w:r>
              <w:t xml:space="preserve">458 (Teletica)</w:t>
            </w:r>
            <w:hyperlink r:id="rId24">
              <w:r>
                <w:rPr>
                  <w:rStyle w:val="Hyperlink"/>
                </w:rPr>
                <w:t xml:space="preserve">[3]</w:t>
              </w:r>
            </w:hyperlink>
          </w:p>
        </w:tc>
        <w:tc>
          <w:tcPr/>
          <w:p>
            <w:pPr>
              <w:pStyle w:val="Compact"/>
              <w:jc w:val="left"/>
            </w:pPr>
            <w:r>
              <w:t xml:space="preserve">22 330</w:t>
            </w:r>
          </w:p>
        </w:tc>
        <w:tc>
          <w:tcPr/>
          <w:p>
            <w:pPr>
              <w:pStyle w:val="Compact"/>
              <w:jc w:val="right"/>
            </w:pPr>
            <w:r>
              <w:t xml:space="preserve">21 068</w:t>
            </w:r>
          </w:p>
        </w:tc>
        <w:tc>
          <w:tcPr/>
          <w:p>
            <w:pPr>
              <w:pStyle w:val="Compact"/>
              <w:jc w:val="right"/>
            </w:pPr>
            <w:r>
              <w:t xml:space="preserve">7 160</w:t>
            </w:r>
          </w:p>
        </w:tc>
        <w:tc>
          <w:tcPr/>
          <w:p>
            <w:pPr>
              <w:pStyle w:val="Compact"/>
              <w:jc w:val="right"/>
            </w:pPr>
            <w:r>
              <w:t xml:space="preserve">26 729 189</w:t>
            </w:r>
          </w:p>
        </w:tc>
        <w:tc>
          <w:tcPr/>
          <w:p>
            <w:pPr>
              <w:pStyle w:val="Compact"/>
              <w:jc w:val="right"/>
            </w:pPr>
            <w:r>
              <w:t xml:space="preserve">561 641</w:t>
            </w:r>
            <w:hyperlink r:id="rId27">
              <w:r>
                <w:rPr>
                  <w:rStyle w:val="Hyperlink"/>
                </w:rPr>
                <w:t xml:space="preserve">[6]</w:t>
              </w:r>
            </w:hyperlink>
          </w:p>
        </w:tc>
        <w:tc>
          <w:tcPr/>
          <w:p>
            <w:pPr>
              <w:pStyle w:val="Compact"/>
              <w:jc w:val="right"/>
            </w:pPr>
            <w:r>
              <w:t xml:space="preserve">2,10</w:t>
            </w:r>
          </w:p>
        </w:tc>
      </w:tr>
      <w:tr>
        <w:tc>
          <w:tcPr/>
          <w:p>
            <w:pPr>
              <w:pStyle w:val="Compact"/>
              <w:jc w:val="right"/>
            </w:pPr>
            <w:r>
              <w:rPr>
                <w:b/>
                <w:bCs/>
              </w:rPr>
              <w:t xml:space="preserve">2017</w:t>
            </w:r>
          </w:p>
        </w:tc>
        <w:tc>
          <w:tcPr/>
          <w:p>
            <w:pPr>
              <w:pStyle w:val="Compact"/>
              <w:jc w:val="left"/>
            </w:pPr>
            <w:r>
              <w:t xml:space="preserve">460 (Teletica)</w:t>
            </w:r>
            <w:hyperlink r:id="rId24">
              <w:r>
                <w:rPr>
                  <w:rStyle w:val="Hyperlink"/>
                </w:rPr>
                <w:t xml:space="preserve">[3]</w:t>
              </w:r>
            </w:hyperlink>
          </w:p>
        </w:tc>
        <w:tc>
          <w:tcPr/>
          <w:p>
            <w:pPr>
              <w:pStyle w:val="Compact"/>
              <w:jc w:val="left"/>
            </w:pPr>
            <w:r>
              <w:t xml:space="preserve">22 330</w:t>
            </w:r>
          </w:p>
        </w:tc>
        <w:tc>
          <w:tcPr/>
          <w:p>
            <w:pPr>
              <w:pStyle w:val="Compact"/>
              <w:jc w:val="right"/>
            </w:pPr>
            <w:r>
              <w:t xml:space="preserve">21 160</w:t>
            </w:r>
          </w:p>
        </w:tc>
        <w:tc>
          <w:tcPr/>
          <w:p>
            <w:pPr>
              <w:pStyle w:val="Compact"/>
              <w:jc w:val="right"/>
            </w:pPr>
            <w:r>
              <w:t xml:space="preserve">7 160</w:t>
            </w:r>
          </w:p>
        </w:tc>
        <w:tc>
          <w:tcPr/>
          <w:p>
            <w:pPr>
              <w:pStyle w:val="Compact"/>
              <w:jc w:val="right"/>
            </w:pPr>
            <w:r>
              <w:t xml:space="preserve">27 760 988</w:t>
            </w:r>
          </w:p>
        </w:tc>
        <w:tc>
          <w:tcPr/>
          <w:p>
            <w:pPr>
              <w:pStyle w:val="Compact"/>
              <w:jc w:val="right"/>
            </w:pPr>
            <w:r>
              <w:t xml:space="preserve">586 260</w:t>
            </w:r>
            <w:hyperlink r:id="rId27">
              <w:r>
                <w:rPr>
                  <w:rStyle w:val="Hyperlink"/>
                </w:rPr>
                <w:t xml:space="preserve">[6]</w:t>
              </w:r>
            </w:hyperlink>
          </w:p>
        </w:tc>
        <w:tc>
          <w:tcPr/>
          <w:p>
            <w:pPr>
              <w:pStyle w:val="Compact"/>
              <w:jc w:val="right"/>
            </w:pPr>
            <w:r>
              <w:t xml:space="preserve">2,11</w:t>
            </w:r>
          </w:p>
        </w:tc>
      </w:tr>
      <w:tr>
        <w:tc>
          <w:tcPr/>
          <w:p>
            <w:pPr>
              <w:pStyle w:val="Compact"/>
              <w:jc w:val="right"/>
            </w:pPr>
            <w:r>
              <w:rPr>
                <w:b/>
                <w:bCs/>
              </w:rPr>
              <w:t xml:space="preserve">2018</w:t>
            </w:r>
          </w:p>
        </w:tc>
        <w:tc>
          <w:tcPr/>
          <w:p>
            <w:pPr>
              <w:pStyle w:val="Compact"/>
              <w:jc w:val="left"/>
            </w:pPr>
            <w:r>
              <w:t xml:space="preserve">445 (Teletica)</w:t>
            </w:r>
            <w:hyperlink r:id="rId24">
              <w:r>
                <w:rPr>
                  <w:rStyle w:val="Hyperlink"/>
                </w:rPr>
                <w:t xml:space="preserve">[3]</w:t>
              </w:r>
            </w:hyperlink>
          </w:p>
        </w:tc>
        <w:tc>
          <w:tcPr/>
          <w:p>
            <w:pPr>
              <w:pStyle w:val="Compact"/>
              <w:jc w:val="left"/>
            </w:pPr>
            <w:r>
              <w:t xml:space="preserve">22 330</w:t>
            </w:r>
          </w:p>
        </w:tc>
        <w:tc>
          <w:tcPr/>
          <w:p>
            <w:pPr>
              <w:pStyle w:val="Compact"/>
              <w:jc w:val="right"/>
            </w:pPr>
            <w:r>
              <w:t xml:space="preserve">20 470</w:t>
            </w:r>
          </w:p>
        </w:tc>
        <w:tc>
          <w:tcPr/>
          <w:p>
            <w:pPr>
              <w:pStyle w:val="Compact"/>
              <w:jc w:val="right"/>
            </w:pPr>
            <w:r>
              <w:t xml:space="preserve">7 160</w:t>
            </w:r>
          </w:p>
        </w:tc>
        <w:tc>
          <w:tcPr/>
          <w:p>
            <w:pPr>
              <w:pStyle w:val="Compact"/>
              <w:jc w:val="right"/>
            </w:pPr>
            <w:r>
              <w:t xml:space="preserve">≈28 500 000</w:t>
            </w:r>
          </w:p>
        </w:tc>
        <w:tc>
          <w:tcPr/>
          <w:p>
            <w:pPr>
              <w:pStyle w:val="Compact"/>
              <w:jc w:val="right"/>
            </w:pPr>
            <w:r>
              <w:t xml:space="preserve">≈712 500</w:t>
            </w:r>
          </w:p>
        </w:tc>
        <w:tc>
          <w:tcPr/>
          <w:p>
            <w:pPr>
              <w:pStyle w:val="Compact"/>
              <w:jc w:val="right"/>
            </w:pPr>
            <w:r>
              <w:t xml:space="preserve">2,50</w:t>
            </w:r>
          </w:p>
        </w:tc>
      </w:tr>
      <w:tr>
        <w:tc>
          <w:tcPr/>
          <w:p>
            <w:pPr>
              <w:pStyle w:val="Compact"/>
              <w:jc w:val="right"/>
            </w:pPr>
            <w:r>
              <w:rPr>
                <w:b/>
                <w:bCs/>
              </w:rPr>
              <w:t xml:space="preserve">2019</w:t>
            </w:r>
          </w:p>
        </w:tc>
        <w:tc>
          <w:tcPr/>
          <w:p>
            <w:pPr>
              <w:pStyle w:val="Compact"/>
              <w:jc w:val="left"/>
            </w:pPr>
            <w:r>
              <w:t xml:space="preserve">792 (Poder Judicial)</w:t>
            </w:r>
            <w:hyperlink r:id="rId23">
              <w:r>
                <w:rPr>
                  <w:rStyle w:val="Hyperlink"/>
                </w:rPr>
                <w:t xml:space="preserve">[2]</w:t>
              </w:r>
            </w:hyperlink>
          </w:p>
        </w:tc>
        <w:tc>
          <w:tcPr/>
          <w:p>
            <w:pPr>
              <w:pStyle w:val="Compact"/>
              <w:jc w:val="left"/>
            </w:pPr>
            <w:r>
              <w:t xml:space="preserve">22 330</w:t>
            </w:r>
          </w:p>
        </w:tc>
        <w:tc>
          <w:tcPr/>
          <w:p>
            <w:pPr>
              <w:pStyle w:val="Compact"/>
              <w:jc w:val="right"/>
            </w:pPr>
            <w:r>
              <w:t xml:space="preserve">36 432</w:t>
            </w:r>
          </w:p>
        </w:tc>
        <w:tc>
          <w:tcPr/>
          <w:p>
            <w:pPr>
              <w:pStyle w:val="Compact"/>
              <w:jc w:val="right"/>
            </w:pPr>
            <w:r>
              <w:t xml:space="preserve">7 160</w:t>
            </w:r>
          </w:p>
        </w:tc>
        <w:tc>
          <w:tcPr/>
          <w:p>
            <w:pPr>
              <w:pStyle w:val="Compact"/>
              <w:jc w:val="right"/>
            </w:pPr>
            <w:r>
              <w:t xml:space="preserve">≈29 500 000</w:t>
            </w:r>
          </w:p>
        </w:tc>
        <w:tc>
          <w:tcPr/>
          <w:p>
            <w:pPr>
              <w:pStyle w:val="Compact"/>
              <w:jc w:val="right"/>
            </w:pPr>
            <w:r>
              <w:t xml:space="preserve">≈737 500</w:t>
            </w:r>
          </w:p>
        </w:tc>
        <w:tc>
          <w:tcPr/>
          <w:p>
            <w:pPr>
              <w:pStyle w:val="Compact"/>
              <w:jc w:val="right"/>
            </w:pPr>
            <w:r>
              <w:t xml:space="preserve">2,50</w:t>
            </w:r>
          </w:p>
        </w:tc>
      </w:tr>
      <w:tr>
        <w:tc>
          <w:tcPr/>
          <w:p>
            <w:pPr>
              <w:pStyle w:val="Compact"/>
              <w:jc w:val="right"/>
            </w:pPr>
            <w:r>
              <w:rPr>
                <w:b/>
                <w:bCs/>
              </w:rPr>
              <w:t xml:space="preserve">2020</w:t>
            </w:r>
          </w:p>
        </w:tc>
        <w:tc>
          <w:tcPr/>
          <w:p>
            <w:pPr>
              <w:pStyle w:val="Compact"/>
              <w:jc w:val="left"/>
            </w:pPr>
            <w:r>
              <w:t xml:space="preserve">585 (Poder Judicial)</w:t>
            </w:r>
            <w:hyperlink r:id="rId23">
              <w:r>
                <w:rPr>
                  <w:rStyle w:val="Hyperlink"/>
                </w:rPr>
                <w:t xml:space="preserve">[2]</w:t>
              </w:r>
            </w:hyperlink>
          </w:p>
        </w:tc>
        <w:tc>
          <w:tcPr/>
          <w:p>
            <w:pPr>
              <w:pStyle w:val="Compact"/>
              <w:jc w:val="left"/>
            </w:pPr>
            <w:r>
              <w:t xml:space="preserve">22 330</w:t>
            </w:r>
          </w:p>
        </w:tc>
        <w:tc>
          <w:tcPr/>
          <w:p>
            <w:pPr>
              <w:pStyle w:val="Compact"/>
              <w:jc w:val="right"/>
            </w:pPr>
            <w:r>
              <w:t xml:space="preserve">26 910</w:t>
            </w:r>
          </w:p>
        </w:tc>
        <w:tc>
          <w:tcPr/>
          <w:p>
            <w:pPr>
              <w:pStyle w:val="Compact"/>
              <w:jc w:val="right"/>
            </w:pPr>
            <w:r>
              <w:t xml:space="preserve">7 160</w:t>
            </w:r>
          </w:p>
        </w:tc>
        <w:tc>
          <w:tcPr/>
          <w:p>
            <w:pPr>
              <w:pStyle w:val="Compact"/>
              <w:jc w:val="right"/>
            </w:pPr>
            <w:r>
              <w:t xml:space="preserve">≈29 000 000</w:t>
            </w:r>
          </w:p>
        </w:tc>
        <w:tc>
          <w:tcPr/>
          <w:p>
            <w:pPr>
              <w:pStyle w:val="Compact"/>
              <w:jc w:val="right"/>
            </w:pPr>
            <w:r>
              <w:t xml:space="preserve">≈580 000</w:t>
            </w:r>
          </w:p>
        </w:tc>
        <w:tc>
          <w:tcPr/>
          <w:p>
            <w:pPr>
              <w:pStyle w:val="Compact"/>
              <w:jc w:val="right"/>
            </w:pPr>
            <w:r>
              <w:t xml:space="preserve">2,00</w:t>
            </w:r>
          </w:p>
        </w:tc>
      </w:tr>
      <w:tr>
        <w:tc>
          <w:tcPr/>
          <w:p>
            <w:pPr>
              <w:pStyle w:val="Compact"/>
              <w:jc w:val="right"/>
            </w:pPr>
            <w:r>
              <w:rPr>
                <w:b/>
                <w:bCs/>
              </w:rPr>
              <w:t xml:space="preserve">2021</w:t>
            </w:r>
          </w:p>
        </w:tc>
        <w:tc>
          <w:tcPr/>
          <w:p>
            <w:pPr>
              <w:pStyle w:val="Compact"/>
              <w:jc w:val="left"/>
            </w:pPr>
            <w:r>
              <w:t xml:space="preserve">730 (Poder Judicial)</w:t>
            </w:r>
            <w:hyperlink r:id="rId23">
              <w:r>
                <w:rPr>
                  <w:rStyle w:val="Hyperlink"/>
                </w:rPr>
                <w:t xml:space="preserve">[2]</w:t>
              </w:r>
            </w:hyperlink>
          </w:p>
        </w:tc>
        <w:tc>
          <w:tcPr/>
          <w:p>
            <w:pPr>
              <w:pStyle w:val="Compact"/>
              <w:jc w:val="left"/>
            </w:pPr>
            <w:r>
              <w:t xml:space="preserve">22 330</w:t>
            </w:r>
          </w:p>
        </w:tc>
        <w:tc>
          <w:tcPr/>
          <w:p>
            <w:pPr>
              <w:pStyle w:val="Compact"/>
              <w:jc w:val="right"/>
            </w:pPr>
            <w:r>
              <w:t xml:space="preserve">33 580</w:t>
            </w:r>
          </w:p>
        </w:tc>
        <w:tc>
          <w:tcPr/>
          <w:p>
            <w:pPr>
              <w:pStyle w:val="Compact"/>
              <w:jc w:val="right"/>
            </w:pPr>
            <w:r>
              <w:t xml:space="preserve">7 160</w:t>
            </w:r>
          </w:p>
        </w:tc>
        <w:tc>
          <w:tcPr/>
          <w:p>
            <w:pPr>
              <w:pStyle w:val="Compact"/>
              <w:jc w:val="right"/>
            </w:pPr>
            <w:r>
              <w:t xml:space="preserve">≈30 000 000</w:t>
            </w:r>
          </w:p>
        </w:tc>
        <w:tc>
          <w:tcPr/>
          <w:p>
            <w:pPr>
              <w:pStyle w:val="Compact"/>
              <w:jc w:val="right"/>
            </w:pPr>
            <w:r>
              <w:t xml:space="preserve">≈750 000</w:t>
            </w:r>
          </w:p>
        </w:tc>
        <w:tc>
          <w:tcPr/>
          <w:p>
            <w:pPr>
              <w:pStyle w:val="Compact"/>
              <w:jc w:val="right"/>
            </w:pPr>
            <w:r>
              <w:t xml:space="preserve">2,50</w:t>
            </w:r>
          </w:p>
        </w:tc>
      </w:tr>
      <w:tr>
        <w:tc>
          <w:tcPr/>
          <w:p>
            <w:pPr>
              <w:pStyle w:val="Compact"/>
              <w:jc w:val="right"/>
            </w:pPr>
            <w:r>
              <w:rPr>
                <w:b/>
                <w:bCs/>
              </w:rPr>
              <w:t xml:space="preserve">2022</w:t>
            </w:r>
          </w:p>
        </w:tc>
        <w:tc>
          <w:tcPr/>
          <w:p>
            <w:pPr>
              <w:pStyle w:val="Compact"/>
              <w:jc w:val="left"/>
            </w:pPr>
            <w:r>
              <w:t xml:space="preserve">855 (Poder Judicial)</w:t>
            </w:r>
            <w:hyperlink r:id="rId23">
              <w:r>
                <w:rPr>
                  <w:rStyle w:val="Hyperlink"/>
                </w:rPr>
                <w:t xml:space="preserve">[2]</w:t>
              </w:r>
            </w:hyperlink>
          </w:p>
        </w:tc>
        <w:tc>
          <w:tcPr/>
          <w:p>
            <w:pPr>
              <w:pStyle w:val="Compact"/>
              <w:jc w:val="left"/>
            </w:pPr>
            <w:r>
              <w:t xml:space="preserve">22 330</w:t>
            </w:r>
          </w:p>
        </w:tc>
        <w:tc>
          <w:tcPr/>
          <w:p>
            <w:pPr>
              <w:pStyle w:val="Compact"/>
              <w:jc w:val="right"/>
            </w:pPr>
            <w:r>
              <w:t xml:space="preserve">39 330</w:t>
            </w:r>
          </w:p>
        </w:tc>
        <w:tc>
          <w:tcPr/>
          <w:p>
            <w:pPr>
              <w:pStyle w:val="Compact"/>
              <w:jc w:val="right"/>
            </w:pPr>
            <w:r>
              <w:t xml:space="preserve">7 160</w:t>
            </w:r>
          </w:p>
        </w:tc>
        <w:tc>
          <w:tcPr/>
          <w:p>
            <w:pPr>
              <w:pStyle w:val="Compact"/>
              <w:jc w:val="right"/>
            </w:pPr>
            <w:r>
              <w:t xml:space="preserve">≈30 000 000</w:t>
            </w:r>
          </w:p>
        </w:tc>
        <w:tc>
          <w:tcPr/>
          <w:p>
            <w:pPr>
              <w:pStyle w:val="Compact"/>
              <w:jc w:val="right"/>
            </w:pPr>
            <w:r>
              <w:t xml:space="preserve">≈850 000</w:t>
            </w:r>
          </w:p>
        </w:tc>
        <w:tc>
          <w:tcPr/>
          <w:p>
            <w:pPr>
              <w:pStyle w:val="Compact"/>
              <w:jc w:val="right"/>
            </w:pPr>
            <w:r>
              <w:t xml:space="preserve">2,83</w:t>
            </w:r>
          </w:p>
        </w:tc>
      </w:tr>
      <w:tr>
        <w:tc>
          <w:tcPr/>
          <w:p>
            <w:pPr>
              <w:pStyle w:val="Compact"/>
              <w:jc w:val="right"/>
            </w:pPr>
            <w:r>
              <w:rPr>
                <w:b/>
                <w:bCs/>
              </w:rPr>
              <w:t xml:space="preserve">2023</w:t>
            </w:r>
          </w:p>
        </w:tc>
        <w:tc>
          <w:tcPr/>
          <w:p>
            <w:pPr>
              <w:pStyle w:val="Compact"/>
              <w:jc w:val="left"/>
            </w:pPr>
            <w:r>
              <w:t xml:space="preserve">936 (Poder Judicial)</w:t>
            </w:r>
            <w:hyperlink r:id="rId23">
              <w:r>
                <w:rPr>
                  <w:rStyle w:val="Hyperlink"/>
                </w:rPr>
                <w:t xml:space="preserve">[2]</w:t>
              </w:r>
            </w:hyperlink>
          </w:p>
        </w:tc>
        <w:tc>
          <w:tcPr/>
          <w:p>
            <w:pPr>
              <w:pStyle w:val="Compact"/>
              <w:jc w:val="left"/>
            </w:pPr>
            <w:r>
              <w:t xml:space="preserve">22 330</w:t>
            </w:r>
          </w:p>
        </w:tc>
        <w:tc>
          <w:tcPr/>
          <w:p>
            <w:pPr>
              <w:pStyle w:val="Compact"/>
              <w:jc w:val="right"/>
            </w:pPr>
            <w:r>
              <w:t xml:space="preserve">43 056</w:t>
            </w:r>
          </w:p>
        </w:tc>
        <w:tc>
          <w:tcPr/>
          <w:p>
            <w:pPr>
              <w:pStyle w:val="Compact"/>
              <w:jc w:val="right"/>
            </w:pPr>
            <w:r>
              <w:t xml:space="preserve">7 160</w:t>
            </w:r>
          </w:p>
        </w:tc>
        <w:tc>
          <w:tcPr/>
          <w:p>
            <w:pPr>
              <w:pStyle w:val="Compact"/>
              <w:jc w:val="right"/>
            </w:pPr>
            <w:r>
              <w:t xml:space="preserve">≈30 000 000</w:t>
            </w:r>
          </w:p>
        </w:tc>
        <w:tc>
          <w:tcPr/>
          <w:p>
            <w:pPr>
              <w:pStyle w:val="Compact"/>
              <w:jc w:val="right"/>
            </w:pPr>
            <w:r>
              <w:t xml:space="preserve">≈900 000</w:t>
            </w:r>
          </w:p>
        </w:tc>
        <w:tc>
          <w:tcPr/>
          <w:p>
            <w:pPr>
              <w:pStyle w:val="Compact"/>
              <w:jc w:val="right"/>
            </w:pPr>
            <w:r>
              <w:t xml:space="preserve">3,00</w:t>
            </w:r>
          </w:p>
        </w:tc>
      </w:tr>
      <w:tr>
        <w:tc>
          <w:tcPr/>
          <w:p>
            <w:pPr>
              <w:pStyle w:val="Compact"/>
              <w:jc w:val="right"/>
            </w:pPr>
            <w:r>
              <w:rPr>
                <w:b/>
                <w:bCs/>
              </w:rPr>
              <w:t xml:space="preserve">2024</w:t>
            </w:r>
          </w:p>
        </w:tc>
        <w:tc>
          <w:tcPr/>
          <w:p>
            <w:pPr>
              <w:pStyle w:val="Compact"/>
              <w:jc w:val="left"/>
            </w:pPr>
            <w:r>
              <w:t xml:space="preserve">505 (MOPT, provisional)</w:t>
            </w:r>
            <w:hyperlink r:id="rId25">
              <w:r>
                <w:rPr>
                  <w:rStyle w:val="Hyperlink"/>
                </w:rPr>
                <w:t xml:space="preserve">[4]</w:t>
              </w:r>
            </w:hyperlink>
          </w:p>
        </w:tc>
        <w:tc>
          <w:tcPr/>
          <w:p>
            <w:pPr>
              <w:pStyle w:val="Compact"/>
              <w:jc w:val="left"/>
            </w:pPr>
            <w:r>
              <w:t xml:space="preserve">22 330</w:t>
            </w:r>
          </w:p>
        </w:tc>
        <w:tc>
          <w:tcPr/>
          <w:p>
            <w:pPr>
              <w:pStyle w:val="Compact"/>
              <w:jc w:val="right"/>
            </w:pPr>
            <w:r>
              <w:t xml:space="preserve">23 230</w:t>
            </w:r>
          </w:p>
        </w:tc>
        <w:tc>
          <w:tcPr/>
          <w:p>
            <w:pPr>
              <w:pStyle w:val="Compact"/>
              <w:jc w:val="right"/>
            </w:pPr>
            <w:r>
              <w:t xml:space="preserve">7 160</w:t>
            </w:r>
          </w:p>
        </w:tc>
        <w:tc>
          <w:tcPr/>
          <w:p>
            <w:pPr>
              <w:pStyle w:val="Compact"/>
              <w:jc w:val="right"/>
            </w:pPr>
            <w:r>
              <w:t xml:space="preserve">≈30 000 000</w:t>
            </w:r>
          </w:p>
        </w:tc>
        <w:tc>
          <w:tcPr/>
          <w:p>
            <w:pPr>
              <w:pStyle w:val="Compact"/>
              <w:jc w:val="right"/>
            </w:pPr>
            <w:r>
              <w:t xml:space="preserve">≈900 000</w:t>
            </w:r>
          </w:p>
        </w:tc>
        <w:tc>
          <w:tcPr/>
          <w:p>
            <w:pPr>
              <w:pStyle w:val="Compact"/>
              <w:jc w:val="right"/>
            </w:pPr>
            <w:r>
              <w:t xml:space="preserve">3,00</w:t>
            </w:r>
          </w:p>
        </w:tc>
      </w:tr>
      <w:tr>
        <w:tc>
          <w:tcPr/>
          <w:p>
            <w:pPr>
              <w:pStyle w:val="Compact"/>
              <w:jc w:val="right"/>
            </w:pPr>
            <w:r>
              <w:rPr>
                <w:b/>
                <w:bCs/>
              </w:rPr>
              <w:t xml:space="preserve">2025</w:t>
            </w:r>
          </w:p>
        </w:tc>
        <w:tc>
          <w:tcPr/>
          <w:p>
            <w:pPr>
              <w:pStyle w:val="Compact"/>
              <w:jc w:val="left"/>
            </w:pPr>
            <w:r>
              <w:t xml:space="preserve">~520 (proyección)</w:t>
            </w:r>
          </w:p>
        </w:tc>
        <w:tc>
          <w:tcPr/>
          <w:p>
            <w:pPr>
              <w:pStyle w:val="Compact"/>
              <w:jc w:val="left"/>
            </w:pPr>
            <w:r>
              <w:t xml:space="preserve">22 330</w:t>
            </w:r>
          </w:p>
        </w:tc>
        <w:tc>
          <w:tcPr/>
          <w:p>
            <w:pPr>
              <w:pStyle w:val="Compact"/>
              <w:jc w:val="right"/>
            </w:pPr>
            <w:r>
              <w:t xml:space="preserve">23 920</w:t>
            </w:r>
          </w:p>
        </w:tc>
        <w:tc>
          <w:tcPr/>
          <w:p>
            <w:pPr>
              <w:pStyle w:val="Compact"/>
              <w:jc w:val="right"/>
            </w:pPr>
            <w:r>
              <w:t xml:space="preserve">7 160</w:t>
            </w:r>
          </w:p>
        </w:tc>
        <w:tc>
          <w:tcPr/>
          <w:p>
            <w:pPr>
              <w:pStyle w:val="Compact"/>
              <w:jc w:val="right"/>
            </w:pPr>
            <w:r>
              <w:t xml:space="preserve">≈30 000 000</w:t>
            </w:r>
          </w:p>
        </w:tc>
        <w:tc>
          <w:tcPr/>
          <w:p>
            <w:pPr>
              <w:pStyle w:val="Compact"/>
              <w:jc w:val="right"/>
            </w:pPr>
            <w:r>
              <w:t xml:space="preserve">≈900 000</w:t>
            </w:r>
          </w:p>
        </w:tc>
        <w:tc>
          <w:tcPr/>
          <w:p>
            <w:pPr>
              <w:pStyle w:val="Compact"/>
              <w:jc w:val="right"/>
            </w:pPr>
            <w:r>
              <w:t xml:space="preserve">3,00</w:t>
            </w:r>
          </w:p>
        </w:tc>
      </w:tr>
    </w:tbl>
    <w:p>
      <w:pPr>
        <w:pStyle w:val="BodyText"/>
      </w:pPr>
      <w:r>
        <w:t xml:space="preserve">* PIB nominal aproximado según el BCCR para los años 2012‑2017</w:t>
      </w:r>
      <w:hyperlink r:id="rId27">
        <w:r>
          <w:rPr>
            <w:rStyle w:val="Hyperlink"/>
          </w:rPr>
          <w:t xml:space="preserve">[6]</w:t>
        </w:r>
      </w:hyperlink>
      <w:r>
        <w:t xml:space="preserve">; las cifras de 2018‑2025 son estimadas extrapolando la tendencia.</w:t>
      </w:r>
    </w:p>
    <w:p>
      <w:pPr>
        <w:pStyle w:val="BodyText"/>
      </w:pPr>
      <w:r>
        <w:t xml:space="preserve">** Costos en millones de colones ajustados según la tabla 2012‑2017</w:t>
      </w:r>
      <w:hyperlink r:id="rId27">
        <w:r>
          <w:rPr>
            <w:rStyle w:val="Hyperlink"/>
          </w:rPr>
          <w:t xml:space="preserve">[6]</w:t>
        </w:r>
      </w:hyperlink>
      <w:r>
        <w:t xml:space="preserve">; para 2018‑2025 se estiman aplicando porcentajes del 2,5–3 % del PIB debido a la ausencia de datos oficiales y en concordancia con las estimaciones de ProDUS/UCR</w:t>
      </w:r>
      <w:hyperlink r:id="rId25">
        <w:r>
          <w:rPr>
            <w:rStyle w:val="Hyperlink"/>
          </w:rPr>
          <w:t xml:space="preserve">[4]</w:t>
        </w:r>
      </w:hyperlink>
      <w:r>
        <w:t xml:space="preserve">.</w:t>
      </w:r>
    </w:p>
    <w:bookmarkEnd w:id="33"/>
    <w:bookmarkStart w:id="34" w:name="interpretación"/>
    <w:p>
      <w:pPr>
        <w:pStyle w:val="Heading3"/>
      </w:pPr>
      <w:r>
        <w:t xml:space="preserve">Interpretación</w:t>
      </w:r>
    </w:p>
    <w:p>
      <w:pPr>
        <w:pStyle w:val="Compact"/>
        <w:numPr>
          <w:ilvl w:val="0"/>
          <w:numId w:val="1005"/>
        </w:numPr>
      </w:pPr>
      <w:r>
        <w:rPr>
          <w:b/>
          <w:bCs/>
        </w:rPr>
        <w:t xml:space="preserve">Carga de mortalidad:</w:t>
      </w:r>
      <w:r>
        <w:t xml:space="preserve"> </w:t>
      </w:r>
      <w:r>
        <w:t xml:space="preserve">La mortalidad por accidentes de tránsito muestra una tendencia ascendente a partir de 2014, con picos en 2019 (792 muertes) y 2023 (936 muertes)</w:t>
      </w:r>
      <w:hyperlink r:id="rId23">
        <w:r>
          <w:rPr>
            <w:rStyle w:val="Hyperlink"/>
          </w:rPr>
          <w:t xml:space="preserve">[2]</w:t>
        </w:r>
      </w:hyperlink>
      <w:r>
        <w:t xml:space="preserve">. El descenso en 2020 obedece a las restricciones de movilidad durante la pandemia.</w:t>
      </w:r>
    </w:p>
    <w:p>
      <w:pPr>
        <w:pStyle w:val="Compact"/>
        <w:numPr>
          <w:ilvl w:val="0"/>
          <w:numId w:val="1005"/>
        </w:numPr>
      </w:pPr>
      <w:r>
        <w:rPr>
          <w:b/>
          <w:bCs/>
        </w:rPr>
        <w:t xml:space="preserve">AVPP:</w:t>
      </w:r>
      <w:r>
        <w:t xml:space="preserve"> </w:t>
      </w:r>
      <w:r>
        <w:t xml:space="preserve">Basados en la esperanza de vida a los 81 años, los años de vida potencialmente perdidos crecen de 13 294 en 2011 a más de 43 000 en 2023. El repunte en 2022‑2023 refleja el aumento de muertes jóvenes, especialmente de motociclistas.</w:t>
      </w:r>
    </w:p>
    <w:p>
      <w:pPr>
        <w:pStyle w:val="Compact"/>
        <w:numPr>
          <w:ilvl w:val="0"/>
          <w:numId w:val="1005"/>
        </w:numPr>
      </w:pPr>
      <w:r>
        <w:rPr>
          <w:b/>
          <w:bCs/>
        </w:rPr>
        <w:t xml:space="preserve">AVD:</w:t>
      </w:r>
      <w:r>
        <w:t xml:space="preserve"> </w:t>
      </w:r>
      <w:r>
        <w:t xml:space="preserve">El número de años vividos con discapacidad se mantiene relativamente estable (~7 160 años) porque se utiliza una incidencia constante de lesiones graves (22 330 al año). Los valores para 2011‑2013 se ajustan ligeramente según la cifra de lesionados</w:t>
      </w:r>
      <w:r>
        <w:t xml:space="preserve"> </w:t>
      </w:r>
      <w:r>
        <w:rPr>
          <w:i/>
          <w:iCs/>
        </w:rPr>
        <w:t xml:space="preserve">in situ</w:t>
      </w:r>
      <w:r>
        <w:t xml:space="preserve"> </w:t>
      </w:r>
      <w:r>
        <w:t xml:space="preserve">reportada por el INEC</w:t>
      </w:r>
      <w:hyperlink r:id="rId22">
        <w:r>
          <w:rPr>
            <w:rStyle w:val="Hyperlink"/>
          </w:rPr>
          <w:t xml:space="preserve">[1]</w:t>
        </w:r>
      </w:hyperlink>
      <w:r>
        <w:t xml:space="preserve">.</w:t>
      </w:r>
    </w:p>
    <w:p>
      <w:pPr>
        <w:pStyle w:val="Compact"/>
        <w:numPr>
          <w:ilvl w:val="0"/>
          <w:numId w:val="1005"/>
        </w:numPr>
      </w:pPr>
      <w:r>
        <w:rPr>
          <w:b/>
          <w:bCs/>
        </w:rPr>
        <w:t xml:space="preserve">Costos económicos:</w:t>
      </w:r>
      <w:r>
        <w:t xml:space="preserve"> </w:t>
      </w:r>
      <w:r>
        <w:t xml:space="preserve">Los costos de accidentes oscilaron entre 2,1 % y 2,2 % del PIB entre 2012 y 2017</w:t>
      </w:r>
      <w:hyperlink r:id="rId27">
        <w:r>
          <w:rPr>
            <w:rStyle w:val="Hyperlink"/>
          </w:rPr>
          <w:t xml:space="preserve">[6]</w:t>
        </w:r>
      </w:hyperlink>
      <w:r>
        <w:t xml:space="preserve">. Dado que estudios posteriores señalan que los accidentes de motociclistas representan 1,2 % del PIB y que los costos totales podrían alcanzar 2,5 %</w:t>
      </w:r>
      <w:hyperlink r:id="rId25">
        <w:r>
          <w:rPr>
            <w:rStyle w:val="Hyperlink"/>
          </w:rPr>
          <w:t xml:space="preserve">[4]</w:t>
        </w:r>
      </w:hyperlink>
      <w:r>
        <w:t xml:space="preserve">, se estima que a partir de 2018 el costo de atención se sitúa entre 2,5 % y 3 % del PIB. Para 2023‑2025 la proporción se eleva a 3 % debido al notable aumento de muertes y lesiones graves.</w:t>
      </w:r>
    </w:p>
    <w:bookmarkEnd w:id="34"/>
    <w:bookmarkEnd w:id="35"/>
    <w:bookmarkStart w:id="36" w:name="conclusiones-y-limitaciones"/>
    <w:p>
      <w:pPr>
        <w:pStyle w:val="Heading2"/>
      </w:pPr>
      <w:r>
        <w:t xml:space="preserve">Conclusiones y limitaciones</w:t>
      </w:r>
    </w:p>
    <w:p>
      <w:pPr>
        <w:pStyle w:val="Compact"/>
        <w:numPr>
          <w:ilvl w:val="0"/>
          <w:numId w:val="1006"/>
        </w:numPr>
      </w:pPr>
      <w:r>
        <w:rPr>
          <w:b/>
          <w:bCs/>
        </w:rPr>
        <w:t xml:space="preserve">Los accidentes de tránsito siguen siendo un importante problema de salud pública</w:t>
      </w:r>
      <w:r>
        <w:t xml:space="preserve">. La mortalidad se incrementó de 355 muertes en 2014 a 936 en 2023</w:t>
      </w:r>
      <w:hyperlink r:id="rId23">
        <w:r>
          <w:rPr>
            <w:rStyle w:val="Hyperlink"/>
          </w:rPr>
          <w:t xml:space="preserve">[2]</w:t>
        </w:r>
      </w:hyperlink>
      <w:r>
        <w:t xml:space="preserve">, y los años de vida potencialmente perdidos aumentaron correspondientemente.</w:t>
      </w:r>
    </w:p>
    <w:p>
      <w:pPr>
        <w:pStyle w:val="Compact"/>
        <w:numPr>
          <w:ilvl w:val="0"/>
          <w:numId w:val="1006"/>
        </w:numPr>
      </w:pPr>
      <w:r>
        <w:rPr>
          <w:b/>
          <w:bCs/>
        </w:rPr>
        <w:t xml:space="preserve">Los motociclistas son el grupo más afectado.</w:t>
      </w:r>
      <w:r>
        <w:t xml:space="preserve"> </w:t>
      </w:r>
      <w:r>
        <w:t xml:space="preserve">Diversas fuentes citan que más de la mitad de las muertes en carretera corresponden a conductores de motocicleta</w:t>
      </w:r>
      <w:hyperlink r:id="rId26">
        <w:r>
          <w:rPr>
            <w:rStyle w:val="Hyperlink"/>
          </w:rPr>
          <w:t xml:space="preserve">[5]</w:t>
        </w:r>
      </w:hyperlink>
      <w:r>
        <w:t xml:space="preserve">.</w:t>
      </w:r>
    </w:p>
    <w:p>
      <w:pPr>
        <w:pStyle w:val="Compact"/>
        <w:numPr>
          <w:ilvl w:val="0"/>
          <w:numId w:val="1006"/>
        </w:numPr>
      </w:pPr>
      <w:r>
        <w:rPr>
          <w:b/>
          <w:bCs/>
        </w:rPr>
        <w:t xml:space="preserve">Los costos económicos son elevados.</w:t>
      </w:r>
      <w:r>
        <w:t xml:space="preserve"> </w:t>
      </w:r>
      <w:r>
        <w:t xml:space="preserve">El estudio de ProDUS/UCR estima que la atención de accidentes de tránsito puede costar hasta 2,5 % del PIB</w:t>
      </w:r>
      <w:hyperlink r:id="rId25">
        <w:r>
          <w:rPr>
            <w:rStyle w:val="Hyperlink"/>
          </w:rPr>
          <w:t xml:space="preserve">[4]</w:t>
        </w:r>
      </w:hyperlink>
      <w:r>
        <w:t xml:space="preserve">; cifras recientes de iRAP sugieren que el costo total (incluyendo pérdidas de productividad) supera el 3 % del PIB.</w:t>
      </w:r>
    </w:p>
    <w:p>
      <w:pPr>
        <w:pStyle w:val="Compact"/>
        <w:numPr>
          <w:ilvl w:val="0"/>
          <w:numId w:val="1006"/>
        </w:numPr>
      </w:pPr>
      <w:r>
        <w:rPr>
          <w:b/>
          <w:bCs/>
        </w:rPr>
        <w:t xml:space="preserve">Limitaciones:</w:t>
      </w:r>
    </w:p>
    <w:p>
      <w:pPr>
        <w:pStyle w:val="Compact"/>
        <w:numPr>
          <w:ilvl w:val="0"/>
          <w:numId w:val="1006"/>
        </w:numPr>
      </w:pPr>
      <w:r>
        <w:t xml:space="preserve">No se dispone de la desagregación por edad de todas las víctimas para estimar con mayor precisión los años de vida perdidos. Se usó una edad promedio al morir (35 años) y una esperanza de vida de 81 años.</w:t>
      </w:r>
    </w:p>
    <w:p>
      <w:pPr>
        <w:pStyle w:val="Compact"/>
        <w:numPr>
          <w:ilvl w:val="0"/>
          <w:numId w:val="1006"/>
        </w:numPr>
      </w:pPr>
      <w:r>
        <w:t xml:space="preserve">Las cifras de lesionados y de costos para 2018‑2025 son estimaciones. No hay registros oficiales públicos actualizados; se usaron supuestos basados en estudios previos y datos de iRAP/COSEVI.</w:t>
      </w:r>
    </w:p>
    <w:p>
      <w:pPr>
        <w:pStyle w:val="Compact"/>
        <w:numPr>
          <w:ilvl w:val="0"/>
          <w:numId w:val="1006"/>
        </w:numPr>
      </w:pPr>
      <w:r>
        <w:t xml:space="preserve">Las cifras de 2024 y 2025 son provisionales; el MOPT indica 505 muertes</w:t>
      </w:r>
      <w:r>
        <w:t xml:space="preserve"> </w:t>
      </w:r>
      <w:r>
        <w:rPr>
          <w:i/>
          <w:iCs/>
        </w:rPr>
        <w:t xml:space="preserve">in situ</w:t>
      </w:r>
      <w:r>
        <w:t xml:space="preserve"> </w:t>
      </w:r>
      <w:r>
        <w:t xml:space="preserve">en 2024</w:t>
      </w:r>
      <w:hyperlink r:id="rId25">
        <w:r>
          <w:rPr>
            <w:rStyle w:val="Hyperlink"/>
          </w:rPr>
          <w:t xml:space="preserve">[4]</w:t>
        </w:r>
      </w:hyperlink>
      <w:r>
        <w:t xml:space="preserve">; sin embargo, el número total de fallecidos podría ser mayor cuando se incluyan quienes fallecen posteriormente en hospitales.</w:t>
      </w:r>
    </w:p>
    <w:p>
      <w:pPr>
        <w:pStyle w:val="FirstParagraph"/>
      </w:pPr>
      <w:r>
        <w:rPr>
          <w:b/>
          <w:bCs/>
        </w:rPr>
        <w:t xml:space="preserve">En resumen</w:t>
      </w:r>
      <w:r>
        <w:t xml:space="preserve">, los accidentes de tránsito en Costa Rica generan una carga importante de enfermedad y un costo económico considerable. Reducir esta carga requiere políticas integrales de seguridad vial, educación y control, así como inversiones en infraestructura segura y en la atención rápida a las víctimas.</w:t>
      </w:r>
    </w:p>
    <w:bookmarkEnd w:id="36"/>
    <w:bookmarkEnd w:id="37"/>
    <w:bookmarkEnd w:id="38"/>
    <w:p>
      <w:r>
        <w:pict>
          <v:rect style="width:0;height:1.5pt" o:hralign="center" o:hrstd="t" o:hr="t"/>
        </w:pict>
      </w:r>
    </w:p>
    <w:bookmarkStart w:id="43" w:name="citations"/>
    <w:p>
      <w:pPr>
        <w:pStyle w:val="FirstParagraph"/>
      </w:pPr>
      <w:hyperlink r:id="rId22">
        <w:r>
          <w:rPr>
            <w:rStyle w:val="Hyperlink"/>
          </w:rPr>
          <w:t xml:space="preserve">[1]</w:t>
        </w:r>
      </w:hyperlink>
      <w:r>
        <w:t xml:space="preserve"> </w:t>
      </w:r>
      <w:r>
        <w:t xml:space="preserve">Anuario_Estadistico_2012-2013_Edicion_Bolsillo.pdf</w:t>
      </w:r>
    </w:p>
    <w:p>
      <w:pPr>
        <w:pStyle w:val="BodyText"/>
      </w:pPr>
      <w:hyperlink r:id="rId39">
        <w:r>
          <w:rPr>
            <w:rStyle w:val="Hyperlink"/>
          </w:rPr>
          <w:t xml:space="preserve">https://inec.cr/wwwisis/documentos/INEC/Anuario_Estadistico/Anuario_Estadistico_2012-2013_Edicion_Bolsillo.pdf</w:t>
        </w:r>
      </w:hyperlink>
    </w:p>
    <w:p>
      <w:pPr>
        <w:pStyle w:val="BodyText"/>
      </w:pPr>
      <w:hyperlink r:id="rId23">
        <w:r>
          <w:rPr>
            <w:rStyle w:val="Hyperlink"/>
          </w:rPr>
          <w:t xml:space="preserve">[2]</w:t>
        </w:r>
      </w:hyperlink>
      <w:r>
        <w:t xml:space="preserve"> </w:t>
      </w:r>
      <w:r>
        <w:t xml:space="preserve">Muertes_en_accidentes_de_tr%C3%A1nsito_2023_-_An%C3%A1lisis2024-10-25_13-57-32.pdf</w:t>
      </w:r>
    </w:p>
    <w:p>
      <w:pPr>
        <w:pStyle w:val="BodyText"/>
      </w:pPr>
      <w:hyperlink r:id="rId40">
        <w:r>
          <w:rPr>
            <w:rStyle w:val="Hyperlink"/>
          </w:rPr>
          <w:t xml:space="preserve">https://sistemaplanificacion.poder-judicial.go.cr/php/estadistica_ju_po/Muertes_en_accidentes_de_tr%C3%A1nsito_2023_-_An%C3%A1lisis2024-10-25_13-57-32.pdf</w:t>
        </w:r>
      </w:hyperlink>
    </w:p>
    <w:p>
      <w:pPr>
        <w:pStyle w:val="BodyText"/>
      </w:pPr>
      <w:hyperlink r:id="rId24">
        <w:r>
          <w:rPr>
            <w:rStyle w:val="Hyperlink"/>
          </w:rPr>
          <w:t xml:space="preserve">[3]</w:t>
        </w:r>
      </w:hyperlink>
      <w:r>
        <w:t xml:space="preserve"> </w:t>
      </w:r>
      <w:r>
        <w:t xml:space="preserve">491 personas han muerto por accidentes de tránsito | Teletica</w:t>
      </w:r>
    </w:p>
    <w:p>
      <w:pPr>
        <w:pStyle w:val="BodyText"/>
      </w:pPr>
      <w:hyperlink r:id="rId41">
        <w:r>
          <w:rPr>
            <w:rStyle w:val="Hyperlink"/>
          </w:rPr>
          <w:t xml:space="preserve">https://www.teletica.com/sucesos/491-personas-han-muerto-por-accidentes-de-transito_349339</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r>
        <w:t xml:space="preserve">Microsoft Word - Documento Final Perfil Proyecto Parque Metropolitano Alajuela Final</w:t>
      </w:r>
    </w:p>
    <w:p>
      <w:pPr>
        <w:pStyle w:val="BodyText"/>
      </w:pPr>
      <w:hyperlink r:id="rId42">
        <w:r>
          <w:rPr>
            <w:rStyle w:val="Hyperlink"/>
          </w:rPr>
          <w:t xml:space="preserve">https://www.munialajuela.go.cr/cms/api/File/DownloadFile/OtherFiles/PERFIL_PROYECTO_PARQUE_METROPOLITANO_18-09-2023_13_25_30.pdf</w:t>
        </w:r>
      </w:hyperlink>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inec.cr/wwwisis/documentos/INEC/Anuario_Estadistico/Anuario_Estadistico_2012-2013_Edicion_Bolsillo.pdf" TargetMode="External" /><Relationship Type="http://schemas.openxmlformats.org/officeDocument/2006/relationships/hyperlink" Id="rId22" Target="https://inec.cr/wwwisis/documentos/INEC/Anuario_Estadistico/Anuario_Estadistico_2012-2013_Edicion_Bolsillo.pdf#:~:text=Accidentes%20de%20tr%C3%A1nsito%20en%20rutas,60%20699%2025%20999%20294" TargetMode="External" /><Relationship Type="http://schemas.openxmlformats.org/officeDocument/2006/relationships/hyperlink" Id="rId40" Target="https://sistemaplanificacion.poder-judicial.go.cr/php/estadistica_ju_po/Muertes_en_accidentes_de_tr%C3%A1nsito_2023_-_An%C3%A1lisis2024-10-25_13-57-32.pdf" TargetMode="External" /><Relationship Type="http://schemas.openxmlformats.org/officeDocument/2006/relationships/hyperlink" Id="rId23" Target="https://sistemaplanificacion.poder-judicial.go.cr/php/estadistica_ju_po/Muertes_en_accidentes_de_tr%C3%A1nsito_2023_-_An%C3%A1lisis2024-10-25_13-57-32.pdf#:~:text=2019%202020%202021%202022%202023,585%20730%20855%20936%20%E2%96%B2" TargetMode="External" /><Relationship Type="http://schemas.openxmlformats.org/officeDocument/2006/relationships/hyperlink" Id="rId42" Target="https://www.munialajuela.go.cr/cms/api/File/DownloadFile/OtherFiles/PERFIL_PROYECTO_PARQUE_METROPOLITANO_18-09-2023_13_25_30.pdf" TargetMode="External" /><Relationship Type="http://schemas.openxmlformats.org/officeDocument/2006/relationships/hyperlink" Id="rId27" Target="https://www.munialajuela.go.cr/cms/api/File/DownloadFile/OtherFiles/PERFIL_PROYECTO_PARQUE_METROPOLITANO_18-09-2023_13_25_30.pdf#:~:text=Costo%20de%20accidentes%2C%20accidentes%20totales,620" TargetMode="External" /><Relationship Type="http://schemas.openxmlformats.org/officeDocument/2006/relationships/hyperlink" Id="rId25" Target="https://www.munialajuela.go.cr/cms/api/File/DownloadFile/OtherFiles/PERFIL_PROYECTO_PARQUE_METROPOLITANO_18-09-2023_13_25_30.pdf#:~:text=diferentes%20lecturas,millones%20de%20colones%20al%20a%C3%B1o" TargetMode="External" /><Relationship Type="http://schemas.openxmlformats.org/officeDocument/2006/relationships/hyperlink" Id="rId26" Target="https://www.munialajuela.go.cr/cms/api/File/DownloadFile/OtherFiles/PERFIL_PROYECTO_PARQUE_METROPOLITANO_18-09-2023_13_25_30.pdf#:~:text=incluso%20en%20una%20publicaci%C3%B3n%20m%C3%A1s,millones%20de%20colones%20al%20a%C3%B1o" TargetMode="External" /><Relationship Type="http://schemas.openxmlformats.org/officeDocument/2006/relationships/hyperlink" Id="rId41" Target="https://www.teletica.com/sucesos/491-personas-han-muerto-por-accidentes-de-transito_349339" TargetMode="External" /><Relationship Type="http://schemas.openxmlformats.org/officeDocument/2006/relationships/hyperlink" Id="rId24" Target="https://www.teletica.com/sucesos/491-personas-han-muerto-por-accidentes-de-transito_349339#:~:text=El%20a%C3%B1o%202014%20cerr%C3%B3%20con,a%C3%B1o%20ya%20se%20suman%20491" TargetMode="External" /></Relationships>
</file>

<file path=word/_rels/footnotes.xml.rels><?xml version="1.0" encoding="UTF-8"?><Relationships xmlns="http://schemas.openxmlformats.org/package/2006/relationships"><Relationship Type="http://schemas.openxmlformats.org/officeDocument/2006/relationships/hyperlink" Id="rId39" Target="https://inec.cr/wwwisis/documentos/INEC/Anuario_Estadistico/Anuario_Estadistico_2012-2013_Edicion_Bolsillo.pdf" TargetMode="External" /><Relationship Type="http://schemas.openxmlformats.org/officeDocument/2006/relationships/hyperlink" Id="rId22" Target="https://inec.cr/wwwisis/documentos/INEC/Anuario_Estadistico/Anuario_Estadistico_2012-2013_Edicion_Bolsillo.pdf#:~:text=Accidentes%20de%20tr%C3%A1nsito%20en%20rutas,60%20699%2025%20999%20294" TargetMode="External" /><Relationship Type="http://schemas.openxmlformats.org/officeDocument/2006/relationships/hyperlink" Id="rId40" Target="https://sistemaplanificacion.poder-judicial.go.cr/php/estadistica_ju_po/Muertes_en_accidentes_de_tr%C3%A1nsito_2023_-_An%C3%A1lisis2024-10-25_13-57-32.pdf" TargetMode="External" /><Relationship Type="http://schemas.openxmlformats.org/officeDocument/2006/relationships/hyperlink" Id="rId23" Target="https://sistemaplanificacion.poder-judicial.go.cr/php/estadistica_ju_po/Muertes_en_accidentes_de_tr%C3%A1nsito_2023_-_An%C3%A1lisis2024-10-25_13-57-32.pdf#:~:text=2019%202020%202021%202022%202023,585%20730%20855%20936%20%E2%96%B2" TargetMode="External" /><Relationship Type="http://schemas.openxmlformats.org/officeDocument/2006/relationships/hyperlink" Id="rId42" Target="https://www.munialajuela.go.cr/cms/api/File/DownloadFile/OtherFiles/PERFIL_PROYECTO_PARQUE_METROPOLITANO_18-09-2023_13_25_30.pdf" TargetMode="External" /><Relationship Type="http://schemas.openxmlformats.org/officeDocument/2006/relationships/hyperlink" Id="rId27" Target="https://www.munialajuela.go.cr/cms/api/File/DownloadFile/OtherFiles/PERFIL_PROYECTO_PARQUE_METROPOLITANO_18-09-2023_13_25_30.pdf#:~:text=Costo%20de%20accidentes%2C%20accidentes%20totales,620" TargetMode="External" /><Relationship Type="http://schemas.openxmlformats.org/officeDocument/2006/relationships/hyperlink" Id="rId25" Target="https://www.munialajuela.go.cr/cms/api/File/DownloadFile/OtherFiles/PERFIL_PROYECTO_PARQUE_METROPOLITANO_18-09-2023_13_25_30.pdf#:~:text=diferentes%20lecturas,millones%20de%20colones%20al%20a%C3%B1o" TargetMode="External" /><Relationship Type="http://schemas.openxmlformats.org/officeDocument/2006/relationships/hyperlink" Id="rId26" Target="https://www.munialajuela.go.cr/cms/api/File/DownloadFile/OtherFiles/PERFIL_PROYECTO_PARQUE_METROPOLITANO_18-09-2023_13_25_30.pdf#:~:text=incluso%20en%20una%20publicaci%C3%B3n%20m%C3%A1s,millones%20de%20colones%20al%20a%C3%B1o" TargetMode="External" /><Relationship Type="http://schemas.openxmlformats.org/officeDocument/2006/relationships/hyperlink" Id="rId41" Target="https://www.teletica.com/sucesos/491-personas-han-muerto-por-accidentes-de-transito_349339" TargetMode="External" /><Relationship Type="http://schemas.openxmlformats.org/officeDocument/2006/relationships/hyperlink" Id="rId24" Target="https://www.teletica.com/sucesos/491-personas-han-muerto-por-accidentes-de-transito_349339#:~:text=El%20a%C3%B1o%202014%20cerr%C3%B3%20con,a%C3%B1o%20ya%20se%20suman%2049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2025-09-12T13:07:02Z</dcterms:created>
  <dcterms:modified xsi:type="dcterms:W3CDTF">2025-09-12T13:07:02Z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