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D56A" w14:textId="5C04A237" w:rsidR="008E7544" w:rsidRPr="00D51222" w:rsidRDefault="008E7544" w:rsidP="008E7544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¿QUÉ SON AVPP Y AVAD?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5"/>
        <w:gridCol w:w="2520"/>
        <w:gridCol w:w="4537"/>
        <w:gridCol w:w="2558"/>
      </w:tblGrid>
      <w:tr w:rsidR="008E7544" w:rsidRPr="00D51222" w14:paraId="377BC4DA" w14:textId="77777777" w:rsidTr="008E7544">
        <w:tc>
          <w:tcPr>
            <w:tcW w:w="0" w:type="auto"/>
            <w:hideMark/>
          </w:tcPr>
          <w:p w14:paraId="76B80478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Indicador</w:t>
            </w:r>
          </w:p>
        </w:tc>
        <w:tc>
          <w:tcPr>
            <w:tcW w:w="0" w:type="auto"/>
            <w:hideMark/>
          </w:tcPr>
          <w:p w14:paraId="0C905BF2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1923F90E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Qué mide</w:t>
            </w:r>
          </w:p>
        </w:tc>
        <w:tc>
          <w:tcPr>
            <w:tcW w:w="0" w:type="auto"/>
            <w:hideMark/>
          </w:tcPr>
          <w:p w14:paraId="14165306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Cuándo se usa</w:t>
            </w:r>
          </w:p>
        </w:tc>
      </w:tr>
      <w:tr w:rsidR="008E7544" w:rsidRPr="00D51222" w14:paraId="0CF75360" w14:textId="77777777" w:rsidTr="008E7544">
        <w:tc>
          <w:tcPr>
            <w:tcW w:w="0" w:type="auto"/>
            <w:hideMark/>
          </w:tcPr>
          <w:p w14:paraId="223BB777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AVPP</w:t>
            </w:r>
          </w:p>
        </w:tc>
        <w:tc>
          <w:tcPr>
            <w:tcW w:w="0" w:type="auto"/>
            <w:hideMark/>
          </w:tcPr>
          <w:p w14:paraId="67FA02A8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Años de Vida Potencial Perdidos</w:t>
            </w:r>
          </w:p>
        </w:tc>
        <w:tc>
          <w:tcPr>
            <w:tcW w:w="0" w:type="auto"/>
            <w:hideMark/>
          </w:tcPr>
          <w:p w14:paraId="7D44CA3C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El total de años que una persona habría vivido si no hubiera muerto prematuramente</w:t>
            </w:r>
          </w:p>
        </w:tc>
        <w:tc>
          <w:tcPr>
            <w:tcW w:w="0" w:type="auto"/>
            <w:hideMark/>
          </w:tcPr>
          <w:p w14:paraId="530F4C84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Solo en </w:t>
            </w: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muertes</w:t>
            </w:r>
          </w:p>
        </w:tc>
      </w:tr>
      <w:tr w:rsidR="008E7544" w:rsidRPr="00D51222" w14:paraId="6DA682FE" w14:textId="77777777" w:rsidTr="008E7544">
        <w:tc>
          <w:tcPr>
            <w:tcW w:w="0" w:type="auto"/>
            <w:hideMark/>
          </w:tcPr>
          <w:p w14:paraId="0746412D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AVAD</w:t>
            </w:r>
          </w:p>
        </w:tc>
        <w:tc>
          <w:tcPr>
            <w:tcW w:w="0" w:type="auto"/>
            <w:hideMark/>
          </w:tcPr>
          <w:p w14:paraId="2D3F10C6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Años de Vida Ajustados por Discapacidad</w:t>
            </w:r>
          </w:p>
        </w:tc>
        <w:tc>
          <w:tcPr>
            <w:tcW w:w="0" w:type="auto"/>
            <w:hideMark/>
          </w:tcPr>
          <w:p w14:paraId="677342F6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Años de vida vividos con </w:t>
            </w: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discapacidad</w:t>
            </w: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 (no muerte), ajustados por severidad</w:t>
            </w:r>
          </w:p>
        </w:tc>
        <w:tc>
          <w:tcPr>
            <w:tcW w:w="0" w:type="auto"/>
            <w:hideMark/>
          </w:tcPr>
          <w:p w14:paraId="4BDCB8B3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Solo en </w:t>
            </w: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lesionados graves con secuelas</w:t>
            </w:r>
          </w:p>
        </w:tc>
      </w:tr>
    </w:tbl>
    <w:p w14:paraId="106C6DFD" w14:textId="38D00B39" w:rsidR="008E7544" w:rsidRPr="00D51222" w:rsidRDefault="008E7544" w:rsidP="008E7544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 xml:space="preserve"> 1. AVPP – Años de Vida Potencial Perdidos</w:t>
      </w:r>
    </w:p>
    <w:p w14:paraId="2AC44EBD" w14:textId="038DADB2" w:rsidR="008E7544" w:rsidRPr="00D51222" w:rsidRDefault="008E7544" w:rsidP="008E7544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¿Para qué sirve?</w:t>
      </w:r>
    </w:p>
    <w:p w14:paraId="480D7B9B" w14:textId="77777777" w:rsidR="008E7544" w:rsidRPr="00D51222" w:rsidRDefault="008E7544" w:rsidP="008E7544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Para estimar la 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pérdida social y económica por muertes prematuras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 (impacto en años no vividos que habrían generado valor económico).</w:t>
      </w:r>
    </w:p>
    <w:p w14:paraId="1DFA756F" w14:textId="6D4D3970" w:rsidR="008E7544" w:rsidRPr="00D51222" w:rsidRDefault="008E7544" w:rsidP="008E7544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 xml:space="preserve"> Datos necesarios: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7"/>
        <w:gridCol w:w="5976"/>
      </w:tblGrid>
      <w:tr w:rsidR="008E7544" w:rsidRPr="00D51222" w14:paraId="2BF3BA1D" w14:textId="77777777" w:rsidTr="008E7544">
        <w:tc>
          <w:tcPr>
            <w:tcW w:w="0" w:type="auto"/>
            <w:hideMark/>
          </w:tcPr>
          <w:p w14:paraId="2C77F572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110FF341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Descripción</w:t>
            </w:r>
          </w:p>
        </w:tc>
      </w:tr>
      <w:tr w:rsidR="008E7544" w:rsidRPr="00D51222" w14:paraId="41C34186" w14:textId="77777777" w:rsidTr="008E7544">
        <w:tc>
          <w:tcPr>
            <w:tcW w:w="0" w:type="auto"/>
            <w:hideMark/>
          </w:tcPr>
          <w:p w14:paraId="4037B889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Edad al morir</w:t>
            </w:r>
          </w:p>
        </w:tc>
        <w:tc>
          <w:tcPr>
            <w:tcW w:w="0" w:type="auto"/>
            <w:hideMark/>
          </w:tcPr>
          <w:p w14:paraId="34AF3CFB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Edad de la víctima al momento del accidente</w:t>
            </w:r>
          </w:p>
        </w:tc>
      </w:tr>
      <w:tr w:rsidR="008E7544" w:rsidRPr="00D51222" w14:paraId="6F55F6BC" w14:textId="77777777" w:rsidTr="008E7544">
        <w:tc>
          <w:tcPr>
            <w:tcW w:w="0" w:type="auto"/>
            <w:hideMark/>
          </w:tcPr>
          <w:p w14:paraId="7AB5916F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Esperanza de vida al nacer</w:t>
            </w:r>
          </w:p>
        </w:tc>
        <w:tc>
          <w:tcPr>
            <w:tcW w:w="0" w:type="auto"/>
            <w:hideMark/>
          </w:tcPr>
          <w:p w14:paraId="229954C6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En Costa Rica suele usarse 80 años (puede variar levemente)</w:t>
            </w:r>
          </w:p>
        </w:tc>
      </w:tr>
    </w:tbl>
    <w:p w14:paraId="7EB69951" w14:textId="46A16B3C" w:rsidR="008E7544" w:rsidRPr="00D51222" w:rsidRDefault="008E7544" w:rsidP="008E7544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 xml:space="preserve"> Fórmula:</w:t>
      </w:r>
    </w:p>
    <w:p w14:paraId="417BA874" w14:textId="77777777" w:rsidR="008E7544" w:rsidRPr="00D51222" w:rsidRDefault="008E7544" w:rsidP="008E7544">
      <w:pPr>
        <w:spacing w:beforeAutospacing="1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noProof/>
          <w:color w:val="000000"/>
          <w:kern w:val="0"/>
          <w:sz w:val="22"/>
          <w:szCs w:val="22"/>
          <w:lang w:val="es-CR" w:eastAsia="es-MX"/>
        </w:rPr>
        <w:drawing>
          <wp:inline distT="0" distB="0" distL="0" distR="0" wp14:anchorId="422EA222" wp14:editId="706486BB">
            <wp:extent cx="2279176" cy="274875"/>
            <wp:effectExtent l="0" t="0" r="0" b="5080"/>
            <wp:docPr id="771080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0057" name="Imagen 7710800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360424" cy="2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4A25" w14:textId="63281B3C" w:rsidR="008E7544" w:rsidRPr="00D51222" w:rsidRDefault="008E7544" w:rsidP="008E7544">
      <w:pPr>
        <w:spacing w:beforeAutospacing="1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Solo se calcula si la persona 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murió por el accidente</w:t>
      </w:r>
    </w:p>
    <w:p w14:paraId="63EC6540" w14:textId="7B3EA2D0" w:rsidR="008E7544" w:rsidRPr="00D51222" w:rsidRDefault="008E7544" w:rsidP="008E7544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¿Calcular por año?</w:t>
      </w:r>
    </w:p>
    <w:p w14:paraId="7EF5332B" w14:textId="77777777" w:rsidR="008E7544" w:rsidRPr="00D51222" w:rsidRDefault="008E7544" w:rsidP="008E7544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Sí.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 Porque el total de muertes varía cada año, lo cual 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impacta el total de AVPP anuales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 y, por tanto, el costo indirecto total de ese año.</w:t>
      </w:r>
    </w:p>
    <w:p w14:paraId="5FE156F5" w14:textId="77777777" w:rsidR="00D51222" w:rsidRPr="00D51222" w:rsidRDefault="00D51222" w:rsidP="00D51222">
      <w:pPr>
        <w:spacing w:before="100" w:beforeAutospacing="1" w:after="100" w:afterAutospacing="1"/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</w:pPr>
      <w:bookmarkStart w:id="0" w:name="_Toc498068004"/>
    </w:p>
    <w:p w14:paraId="719300C9" w14:textId="1F60CE91" w:rsidR="00D51222" w:rsidRPr="00D51222" w:rsidRDefault="00D51222" w:rsidP="00D51222">
      <w:pPr>
        <w:spacing w:before="100" w:beforeAutospacing="1" w:after="100" w:afterAutospacing="1"/>
        <w:rPr>
          <w:rFonts w:ascii="Aptos" w:eastAsia="Times New Roman" w:hAnsi="Aptos" w:cs="Times New Roman"/>
          <w:bCs/>
          <w:i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t xml:space="preserve">Tabla </w:t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fldChar w:fldCharType="begin"/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instrText xml:space="preserve"> SEQ Tabla \* ARABIC </w:instrText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fldChar w:fldCharType="separate"/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t>1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s-MX"/>
          <w14:ligatures w14:val="none"/>
        </w:rPr>
        <w:fldChar w:fldCharType="end"/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. </w:t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t xml:space="preserve"> Adaptación</w:t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t xml:space="preserve"> Edades</w:t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t xml:space="preserve"> del AVPP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94"/>
        <w:gridCol w:w="4272"/>
      </w:tblGrid>
      <w:tr w:rsidR="00D51222" w:rsidRPr="00D51222" w14:paraId="4BF22ABF" w14:textId="77777777" w:rsidTr="00BB6F72">
        <w:trPr>
          <w:trHeight w:val="399"/>
        </w:trPr>
        <w:tc>
          <w:tcPr>
            <w:tcW w:w="3094" w:type="dxa"/>
          </w:tcPr>
          <w:p w14:paraId="2F921BA0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Variables</w:t>
            </w:r>
          </w:p>
        </w:tc>
        <w:tc>
          <w:tcPr>
            <w:tcW w:w="4272" w:type="dxa"/>
          </w:tcPr>
          <w:p w14:paraId="133AA5AA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Adaptación</w:t>
            </w:r>
          </w:p>
        </w:tc>
      </w:tr>
      <w:tr w:rsidR="00D51222" w:rsidRPr="00D51222" w14:paraId="5BC304A2" w14:textId="77777777" w:rsidTr="00BB6F72">
        <w:trPr>
          <w:trHeight w:val="394"/>
        </w:trPr>
        <w:tc>
          <w:tcPr>
            <w:tcW w:w="3094" w:type="dxa"/>
          </w:tcPr>
          <w:p w14:paraId="245EBFE0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Edad Inferior</w:t>
            </w:r>
          </w:p>
        </w:tc>
        <w:tc>
          <w:tcPr>
            <w:tcW w:w="4272" w:type="dxa"/>
          </w:tcPr>
          <w:p w14:paraId="61F3A9B9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Se estableció la edad inferior igual a 0 años.</w:t>
            </w:r>
          </w:p>
        </w:tc>
      </w:tr>
      <w:tr w:rsidR="00D51222" w:rsidRPr="00D51222" w14:paraId="1EBE15E7" w14:textId="77777777" w:rsidTr="00BB6F72">
        <w:trPr>
          <w:trHeight w:val="800"/>
        </w:trPr>
        <w:tc>
          <w:tcPr>
            <w:tcW w:w="3094" w:type="dxa"/>
          </w:tcPr>
          <w:p w14:paraId="6395A04D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Edad Superior</w:t>
            </w:r>
          </w:p>
        </w:tc>
        <w:tc>
          <w:tcPr>
            <w:tcW w:w="4272" w:type="dxa"/>
          </w:tcPr>
          <w:p w14:paraId="7E33A7EC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Se Estableció la edad superior igual a la esperanza de vida del respectivo año.</w:t>
            </w:r>
          </w:p>
        </w:tc>
      </w:tr>
      <w:tr w:rsidR="00D51222" w:rsidRPr="00D51222" w14:paraId="3F411B5E" w14:textId="77777777" w:rsidTr="00BB6F72">
        <w:trPr>
          <w:trHeight w:val="794"/>
        </w:trPr>
        <w:tc>
          <w:tcPr>
            <w:tcW w:w="3094" w:type="dxa"/>
          </w:tcPr>
          <w:p w14:paraId="7D5AFA7C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Edades Simple</w:t>
            </w:r>
          </w:p>
        </w:tc>
        <w:tc>
          <w:tcPr>
            <w:tcW w:w="4272" w:type="dxa"/>
          </w:tcPr>
          <w:p w14:paraId="26485066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Cálculo acumulado de las edades quinquenales de las personas fallecidas.</w:t>
            </w:r>
          </w:p>
        </w:tc>
      </w:tr>
    </w:tbl>
    <w:p w14:paraId="71A2D886" w14:textId="77777777" w:rsidR="00D51222" w:rsidRDefault="00D51222" w:rsidP="00D51222">
      <w:pPr>
        <w:spacing w:before="100" w:beforeAutospacing="1" w:after="100" w:afterAutospacing="1"/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</w:pPr>
      <w:bookmarkStart w:id="1" w:name="_Toc498068005"/>
    </w:p>
    <w:p w14:paraId="7867B851" w14:textId="77777777" w:rsidR="00D51222" w:rsidRDefault="00D51222" w:rsidP="00D51222">
      <w:pPr>
        <w:spacing w:before="100" w:beforeAutospacing="1" w:after="100" w:afterAutospacing="1"/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</w:pPr>
    </w:p>
    <w:p w14:paraId="0F592859" w14:textId="77777777" w:rsidR="00D51222" w:rsidRDefault="00D51222" w:rsidP="00D51222">
      <w:pPr>
        <w:spacing w:before="100" w:beforeAutospacing="1" w:after="100" w:afterAutospacing="1"/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</w:pPr>
    </w:p>
    <w:p w14:paraId="07A8B284" w14:textId="3E16E4ED" w:rsidR="00D51222" w:rsidRPr="00D51222" w:rsidRDefault="00D51222" w:rsidP="00D51222">
      <w:pPr>
        <w:spacing w:before="100" w:beforeAutospacing="1" w:after="100" w:afterAutospacing="1"/>
        <w:rPr>
          <w:rFonts w:ascii="Aptos" w:eastAsia="Times New Roman" w:hAnsi="Aptos" w:cs="Times New Roman"/>
          <w:bCs/>
          <w:i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lastRenderedPageBreak/>
        <w:t xml:space="preserve">Tabla </w:t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fldChar w:fldCharType="begin"/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instrText xml:space="preserve"> SEQ Tabla \* ARABIC </w:instrText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fldChar w:fldCharType="separate"/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t>2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fldChar w:fldCharType="end"/>
      </w:r>
      <w:r w:rsidRPr="00D51222">
        <w:rPr>
          <w:rFonts w:ascii="Aptos" w:eastAsia="Times New Roman" w:hAnsi="Aptos" w:cs="Times New Roman"/>
          <w:iCs/>
          <w:color w:val="000000"/>
          <w:kern w:val="0"/>
          <w:sz w:val="22"/>
          <w:szCs w:val="22"/>
          <w:lang w:val="es-CR" w:eastAsia="es-MX"/>
          <w14:ligatures w14:val="none"/>
        </w:rPr>
        <w:t xml:space="preserve"> Desagregaciones del AVPP</w:t>
      </w:r>
      <w:bookmarkEnd w:id="1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914"/>
        <w:gridCol w:w="7429"/>
      </w:tblGrid>
      <w:tr w:rsidR="00D51222" w:rsidRPr="00D51222" w14:paraId="71B31CDF" w14:textId="77777777" w:rsidTr="00BB6F72">
        <w:trPr>
          <w:trHeight w:val="334"/>
        </w:trPr>
        <w:tc>
          <w:tcPr>
            <w:tcW w:w="2914" w:type="dxa"/>
          </w:tcPr>
          <w:p w14:paraId="6DD536CF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Variables</w:t>
            </w:r>
          </w:p>
        </w:tc>
        <w:tc>
          <w:tcPr>
            <w:tcW w:w="7429" w:type="dxa"/>
          </w:tcPr>
          <w:p w14:paraId="27A4A0A2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Categorías</w:t>
            </w:r>
          </w:p>
        </w:tc>
      </w:tr>
      <w:tr w:rsidR="00D51222" w:rsidRPr="00D51222" w14:paraId="0E9D0637" w14:textId="77777777" w:rsidTr="00BB6F72">
        <w:trPr>
          <w:trHeight w:val="330"/>
        </w:trPr>
        <w:tc>
          <w:tcPr>
            <w:tcW w:w="2914" w:type="dxa"/>
          </w:tcPr>
          <w:p w14:paraId="7F6795C9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Tipo de Accidente</w:t>
            </w:r>
          </w:p>
        </w:tc>
        <w:tc>
          <w:tcPr>
            <w:tcW w:w="7429" w:type="dxa"/>
          </w:tcPr>
          <w:p w14:paraId="43EA4D1C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Colisión contra Vehículo, Colisión contra Objeto </w:t>
            </w:r>
            <w:proofErr w:type="spellStart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ó</w:t>
            </w:r>
            <w:proofErr w:type="spellEnd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 Pérdida de Control</w:t>
            </w:r>
          </w:p>
        </w:tc>
      </w:tr>
      <w:tr w:rsidR="00D51222" w:rsidRPr="00D51222" w14:paraId="4566AFE7" w14:textId="77777777" w:rsidTr="00BB6F72">
        <w:trPr>
          <w:trHeight w:val="672"/>
        </w:trPr>
        <w:tc>
          <w:tcPr>
            <w:tcW w:w="2914" w:type="dxa"/>
          </w:tcPr>
          <w:p w14:paraId="390413B1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Día</w:t>
            </w:r>
          </w:p>
        </w:tc>
        <w:tc>
          <w:tcPr>
            <w:tcW w:w="7429" w:type="dxa"/>
          </w:tcPr>
          <w:p w14:paraId="6C74517A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Domingo, Lunes, Martes, Miércoles, Jueves, Viernes </w:t>
            </w:r>
            <w:proofErr w:type="spellStart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ó</w:t>
            </w:r>
            <w:proofErr w:type="spellEnd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 Sábado.</w:t>
            </w:r>
          </w:p>
        </w:tc>
      </w:tr>
      <w:tr w:rsidR="00D51222" w:rsidRPr="00D51222" w14:paraId="5D15F802" w14:textId="77777777" w:rsidTr="00BB6F72">
        <w:trPr>
          <w:trHeight w:val="667"/>
        </w:trPr>
        <w:tc>
          <w:tcPr>
            <w:tcW w:w="2914" w:type="dxa"/>
          </w:tcPr>
          <w:p w14:paraId="0F77110E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Mes</w:t>
            </w:r>
          </w:p>
        </w:tc>
        <w:tc>
          <w:tcPr>
            <w:tcW w:w="7429" w:type="dxa"/>
          </w:tcPr>
          <w:p w14:paraId="65D5FB48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Enero, Febrero, Marzo, Abril, Mayor, Junio, Julio, Agosto, Setiembre, Octubre, Noviembre </w:t>
            </w:r>
            <w:proofErr w:type="spellStart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ó</w:t>
            </w:r>
            <w:proofErr w:type="spellEnd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 Diciembre.</w:t>
            </w:r>
          </w:p>
        </w:tc>
      </w:tr>
      <w:tr w:rsidR="00D51222" w:rsidRPr="00D51222" w14:paraId="6DE156BF" w14:textId="77777777" w:rsidTr="00BB6F72">
        <w:trPr>
          <w:trHeight w:val="667"/>
        </w:trPr>
        <w:tc>
          <w:tcPr>
            <w:tcW w:w="2914" w:type="dxa"/>
          </w:tcPr>
          <w:p w14:paraId="2ED8526C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Grupos de Edades</w:t>
            </w:r>
          </w:p>
        </w:tc>
        <w:tc>
          <w:tcPr>
            <w:tcW w:w="7429" w:type="dxa"/>
          </w:tcPr>
          <w:p w14:paraId="3BDED014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0-14, 15-19, 20-24, 25-29, 30-34, 35-39, 40-44, 45-49, 50-54 </w:t>
            </w:r>
            <w:proofErr w:type="spellStart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ó</w:t>
            </w:r>
            <w:proofErr w:type="spellEnd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 55+</w:t>
            </w:r>
          </w:p>
        </w:tc>
      </w:tr>
      <w:tr w:rsidR="00D51222" w:rsidRPr="00D51222" w14:paraId="52EC7F65" w14:textId="77777777" w:rsidTr="00BB6F72">
        <w:trPr>
          <w:trHeight w:val="667"/>
        </w:trPr>
        <w:tc>
          <w:tcPr>
            <w:tcW w:w="2914" w:type="dxa"/>
          </w:tcPr>
          <w:p w14:paraId="78C9C22A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Sexo</w:t>
            </w:r>
          </w:p>
        </w:tc>
        <w:tc>
          <w:tcPr>
            <w:tcW w:w="7429" w:type="dxa"/>
          </w:tcPr>
          <w:p w14:paraId="6F2AAAEF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Hombre </w:t>
            </w:r>
            <w:proofErr w:type="spellStart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ó</w:t>
            </w:r>
            <w:proofErr w:type="spellEnd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 Mujer</w:t>
            </w:r>
          </w:p>
        </w:tc>
      </w:tr>
      <w:tr w:rsidR="00D51222" w:rsidRPr="00D51222" w14:paraId="0213945F" w14:textId="77777777" w:rsidTr="00BB6F72">
        <w:trPr>
          <w:trHeight w:val="667"/>
        </w:trPr>
        <w:tc>
          <w:tcPr>
            <w:tcW w:w="2914" w:type="dxa"/>
          </w:tcPr>
          <w:p w14:paraId="589AE780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Provincia</w:t>
            </w:r>
          </w:p>
        </w:tc>
        <w:tc>
          <w:tcPr>
            <w:tcW w:w="7429" w:type="dxa"/>
          </w:tcPr>
          <w:p w14:paraId="49B00DF0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Alajuela, Cartago, Guanacaste, Heredia, Limón, San José </w:t>
            </w:r>
            <w:proofErr w:type="spellStart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ó</w:t>
            </w:r>
            <w:proofErr w:type="spellEnd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 Puntarenas.</w:t>
            </w:r>
          </w:p>
        </w:tc>
      </w:tr>
      <w:tr w:rsidR="00D51222" w:rsidRPr="00D51222" w14:paraId="034CB8BA" w14:textId="77777777" w:rsidTr="00BB6F72">
        <w:trPr>
          <w:trHeight w:val="667"/>
        </w:trPr>
        <w:tc>
          <w:tcPr>
            <w:tcW w:w="2914" w:type="dxa"/>
          </w:tcPr>
          <w:p w14:paraId="442FAE5E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Rol</w:t>
            </w:r>
          </w:p>
        </w:tc>
        <w:tc>
          <w:tcPr>
            <w:tcW w:w="7429" w:type="dxa"/>
          </w:tcPr>
          <w:p w14:paraId="74412C48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Conductor </w:t>
            </w:r>
            <w:proofErr w:type="spellStart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ó</w:t>
            </w:r>
            <w:proofErr w:type="spellEnd"/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 xml:space="preserve"> Pasajero</w:t>
            </w:r>
          </w:p>
        </w:tc>
      </w:tr>
      <w:tr w:rsidR="00D51222" w:rsidRPr="00D51222" w14:paraId="457E7763" w14:textId="77777777" w:rsidTr="00BB6F72">
        <w:trPr>
          <w:trHeight w:val="667"/>
        </w:trPr>
        <w:tc>
          <w:tcPr>
            <w:tcW w:w="2914" w:type="dxa"/>
          </w:tcPr>
          <w:p w14:paraId="315760B5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Franja Horaria</w:t>
            </w:r>
          </w:p>
        </w:tc>
        <w:tc>
          <w:tcPr>
            <w:tcW w:w="7429" w:type="dxa"/>
          </w:tcPr>
          <w:p w14:paraId="0025CEE2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12am-6am, 6am-12pm, 12pm-6pm ó 6pm-12am</w:t>
            </w:r>
          </w:p>
        </w:tc>
      </w:tr>
      <w:tr w:rsidR="00D51222" w:rsidRPr="00D51222" w14:paraId="7B9AE371" w14:textId="77777777" w:rsidTr="00BB6F72">
        <w:trPr>
          <w:trHeight w:val="667"/>
        </w:trPr>
        <w:tc>
          <w:tcPr>
            <w:tcW w:w="2914" w:type="dxa"/>
          </w:tcPr>
          <w:p w14:paraId="1FB6EF27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Cantones</w:t>
            </w:r>
          </w:p>
        </w:tc>
        <w:tc>
          <w:tcPr>
            <w:tcW w:w="7429" w:type="dxa"/>
          </w:tcPr>
          <w:p w14:paraId="48017965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Las 81 divisiones políticas cantonales (No se toma en cuenta el nuevo cantón Río Cuarto).</w:t>
            </w:r>
          </w:p>
        </w:tc>
      </w:tr>
      <w:tr w:rsidR="00D51222" w:rsidRPr="00D51222" w14:paraId="53F34D23" w14:textId="77777777" w:rsidTr="00BB6F72">
        <w:trPr>
          <w:trHeight w:val="667"/>
        </w:trPr>
        <w:tc>
          <w:tcPr>
            <w:tcW w:w="2914" w:type="dxa"/>
          </w:tcPr>
          <w:p w14:paraId="00145865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Rutas</w:t>
            </w:r>
          </w:p>
        </w:tc>
        <w:tc>
          <w:tcPr>
            <w:tcW w:w="7429" w:type="dxa"/>
          </w:tcPr>
          <w:p w14:paraId="278FD536" w14:textId="77777777" w:rsidR="00D51222" w:rsidRPr="00D51222" w:rsidRDefault="00D51222" w:rsidP="00D51222">
            <w:pPr>
              <w:spacing w:before="100" w:beforeAutospacing="1" w:after="100" w:afterAutospacing="1"/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Cs/>
                <w:color w:val="000000"/>
                <w:kern w:val="0"/>
                <w:sz w:val="22"/>
                <w:szCs w:val="22"/>
                <w:lang w:val="es-CR" w:eastAsia="es-MX"/>
                <w14:ligatures w14:val="none"/>
              </w:rPr>
              <w:t>Son todas las carreteras de Costa Rica identificadas, cantonales o desconocidas de la base de datos del COSEVI.</w:t>
            </w:r>
          </w:p>
        </w:tc>
      </w:tr>
    </w:tbl>
    <w:p w14:paraId="3B184D95" w14:textId="77777777" w:rsidR="00D51222" w:rsidRPr="00D51222" w:rsidRDefault="00D51222" w:rsidP="008E7544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</w:p>
    <w:p w14:paraId="0C8D981A" w14:textId="2826AD0E" w:rsidR="008E7544" w:rsidRPr="00D51222" w:rsidRDefault="008E7544" w:rsidP="008E7544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2. AVAD – Años de Vida Ajustados por Discapacidad</w:t>
      </w:r>
    </w:p>
    <w:p w14:paraId="2F10CAB4" w14:textId="49BBCD28" w:rsidR="008E7544" w:rsidRPr="00D51222" w:rsidRDefault="008E7544" w:rsidP="008E7544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¿Para qué sirve?</w:t>
      </w:r>
    </w:p>
    <w:p w14:paraId="323D2A24" w14:textId="77777777" w:rsidR="008E7544" w:rsidRPr="00D51222" w:rsidRDefault="008E7544" w:rsidP="008E7544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Para estimar la carga 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económica y social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 que implican las 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secuelas permanentes o prolongadas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 en lesionados graves: reducción de productividad, necesidad de cuidados, etc.</w:t>
      </w:r>
    </w:p>
    <w:p w14:paraId="157FAF62" w14:textId="39CDC6D3" w:rsidR="008E7544" w:rsidRPr="00D51222" w:rsidRDefault="008E7544" w:rsidP="008E7544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Datos necesarios: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62"/>
        <w:gridCol w:w="4526"/>
      </w:tblGrid>
      <w:tr w:rsidR="008E7544" w:rsidRPr="00D51222" w14:paraId="0F5F4C5E" w14:textId="77777777" w:rsidTr="008E7544">
        <w:tc>
          <w:tcPr>
            <w:tcW w:w="0" w:type="auto"/>
            <w:hideMark/>
          </w:tcPr>
          <w:p w14:paraId="5E77FFD1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3C9DDE20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Descripción</w:t>
            </w:r>
          </w:p>
        </w:tc>
      </w:tr>
      <w:tr w:rsidR="008E7544" w:rsidRPr="00D51222" w14:paraId="04A76F5D" w14:textId="77777777" w:rsidTr="008E7544">
        <w:tc>
          <w:tcPr>
            <w:tcW w:w="0" w:type="auto"/>
            <w:hideMark/>
          </w:tcPr>
          <w:p w14:paraId="56016459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Tipo de lesión</w:t>
            </w:r>
          </w:p>
        </w:tc>
        <w:tc>
          <w:tcPr>
            <w:tcW w:w="0" w:type="auto"/>
            <w:hideMark/>
          </w:tcPr>
          <w:p w14:paraId="0E739F00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Si la persona quedó con discapacidad</w:t>
            </w:r>
          </w:p>
        </w:tc>
      </w:tr>
      <w:tr w:rsidR="008E7544" w:rsidRPr="00D51222" w14:paraId="673E18B8" w14:textId="77777777" w:rsidTr="008E7544">
        <w:tc>
          <w:tcPr>
            <w:tcW w:w="0" w:type="auto"/>
            <w:hideMark/>
          </w:tcPr>
          <w:p w14:paraId="2667E448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Duración estimada de la discapacidad</w:t>
            </w:r>
          </w:p>
        </w:tc>
        <w:tc>
          <w:tcPr>
            <w:tcW w:w="0" w:type="auto"/>
            <w:hideMark/>
          </w:tcPr>
          <w:p w14:paraId="7AAD590C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Años (puede ser temporal o de por vida)</w:t>
            </w:r>
          </w:p>
        </w:tc>
      </w:tr>
      <w:tr w:rsidR="008E7544" w:rsidRPr="00D51222" w14:paraId="3765D561" w14:textId="77777777" w:rsidTr="008E7544">
        <w:tc>
          <w:tcPr>
            <w:tcW w:w="0" w:type="auto"/>
            <w:hideMark/>
          </w:tcPr>
          <w:p w14:paraId="54473252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Peso de discapacidad (DW)</w:t>
            </w:r>
          </w:p>
        </w:tc>
        <w:tc>
          <w:tcPr>
            <w:tcW w:w="0" w:type="auto"/>
            <w:hideMark/>
          </w:tcPr>
          <w:p w14:paraId="4A6247B5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Valor entre 0 y 1, según severidad (OMS/GBD)</w:t>
            </w:r>
          </w:p>
        </w:tc>
      </w:tr>
    </w:tbl>
    <w:p w14:paraId="58B7AFEC" w14:textId="12201D6C" w:rsidR="008E7544" w:rsidRPr="00D51222" w:rsidRDefault="008E7544" w:rsidP="008E7544">
      <w:pPr>
        <w:rPr>
          <w:rFonts w:ascii="Aptos" w:eastAsia="Times New Roman" w:hAnsi="Aptos" w:cs="Times New Roman"/>
          <w:kern w:val="0"/>
          <w:sz w:val="22"/>
          <w:szCs w:val="22"/>
          <w:lang w:val="es-CR" w:eastAsia="es-MX"/>
          <w14:ligatures w14:val="none"/>
        </w:rPr>
      </w:pPr>
    </w:p>
    <w:p w14:paraId="6F0DE3CC" w14:textId="68E52EFD" w:rsidR="005742BC" w:rsidRPr="00E74B91" w:rsidRDefault="008E7544" w:rsidP="005742BC">
      <w:pPr>
        <w:spacing w:before="100" w:beforeAutospacing="1" w:after="100" w:afterAutospacing="1"/>
        <w:outlineLvl w:val="2"/>
        <w:rPr>
          <w:rFonts w:ascii="Calibri" w:eastAsia="Times New Roman" w:hAnsi="Calibri" w:cs="Times New Roman"/>
          <w:sz w:val="18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Fórmula:</w:t>
      </w:r>
    </w:p>
    <w:p w14:paraId="78CEFFFC" w14:textId="33B9A1B4" w:rsidR="008E7544" w:rsidRPr="00D51222" w:rsidRDefault="008E7544" w:rsidP="008E7544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noProof/>
          <w:color w:val="000000"/>
          <w:kern w:val="0"/>
          <w:sz w:val="22"/>
          <w:szCs w:val="22"/>
          <w:lang w:val="es-CR" w:eastAsia="es-MX"/>
        </w:rPr>
        <w:drawing>
          <wp:inline distT="0" distB="0" distL="0" distR="0" wp14:anchorId="00507870" wp14:editId="6A6DA669">
            <wp:extent cx="2702257" cy="320483"/>
            <wp:effectExtent l="0" t="0" r="0" b="0"/>
            <wp:docPr id="20505132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13273" name="Imagen 20505132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331" cy="35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20D7" w14:textId="26905ABB" w:rsidR="008E7544" w:rsidRPr="00D51222" w:rsidRDefault="008E7544" w:rsidP="008E7544">
      <w:pPr>
        <w:spacing w:beforeAutospacing="1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Solo se calcula si la persona 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no murió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 pero tuvo 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una lesión que dejó discapacidad</w:t>
      </w:r>
    </w:p>
    <w:p w14:paraId="39A1BD8F" w14:textId="77777777" w:rsidR="008E7544" w:rsidRPr="00D51222" w:rsidRDefault="008E7544" w:rsidP="008E7544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lastRenderedPageBreak/>
        <w:t>🧾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 xml:space="preserve"> Tabla referencial de pesos (DW) del GBD (Global </w:t>
      </w:r>
      <w:proofErr w:type="spellStart"/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Burden</w:t>
      </w:r>
      <w:proofErr w:type="spellEnd"/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 xml:space="preserve"> </w:t>
      </w:r>
      <w:proofErr w:type="spellStart"/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of</w:t>
      </w:r>
      <w:proofErr w:type="spellEnd"/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 xml:space="preserve"> </w:t>
      </w:r>
      <w:proofErr w:type="spellStart"/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Disease</w:t>
      </w:r>
      <w:proofErr w:type="spellEnd"/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0"/>
        <w:gridCol w:w="1243"/>
      </w:tblGrid>
      <w:tr w:rsidR="008E7544" w:rsidRPr="00D51222" w14:paraId="4B0554C1" w14:textId="77777777" w:rsidTr="008E7544">
        <w:tc>
          <w:tcPr>
            <w:tcW w:w="0" w:type="auto"/>
            <w:hideMark/>
          </w:tcPr>
          <w:p w14:paraId="0CF1EE8B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Lesión</w:t>
            </w:r>
          </w:p>
        </w:tc>
        <w:tc>
          <w:tcPr>
            <w:tcW w:w="0" w:type="auto"/>
            <w:hideMark/>
          </w:tcPr>
          <w:p w14:paraId="38590AEF" w14:textId="77777777" w:rsidR="008E7544" w:rsidRPr="00D51222" w:rsidRDefault="008E7544" w:rsidP="008E7544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s-CR" w:eastAsia="es-MX"/>
                <w14:ligatures w14:val="none"/>
              </w:rPr>
              <w:t>DW (peso)</w:t>
            </w:r>
          </w:p>
        </w:tc>
      </w:tr>
      <w:tr w:rsidR="008E7544" w:rsidRPr="00D51222" w14:paraId="7D7C60D1" w14:textId="77777777" w:rsidTr="008E7544">
        <w:tc>
          <w:tcPr>
            <w:tcW w:w="0" w:type="auto"/>
            <w:hideMark/>
          </w:tcPr>
          <w:p w14:paraId="26915977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Fractura simple</w:t>
            </w:r>
          </w:p>
        </w:tc>
        <w:tc>
          <w:tcPr>
            <w:tcW w:w="0" w:type="auto"/>
            <w:hideMark/>
          </w:tcPr>
          <w:p w14:paraId="3121EC8B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0.10</w:t>
            </w:r>
          </w:p>
        </w:tc>
      </w:tr>
      <w:tr w:rsidR="008E7544" w:rsidRPr="00D51222" w14:paraId="06B79567" w14:textId="77777777" w:rsidTr="008E7544">
        <w:tc>
          <w:tcPr>
            <w:tcW w:w="0" w:type="auto"/>
            <w:hideMark/>
          </w:tcPr>
          <w:p w14:paraId="279B2757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Amputación pierna</w:t>
            </w:r>
          </w:p>
        </w:tc>
        <w:tc>
          <w:tcPr>
            <w:tcW w:w="0" w:type="auto"/>
            <w:hideMark/>
          </w:tcPr>
          <w:p w14:paraId="0641005D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0.30</w:t>
            </w:r>
          </w:p>
        </w:tc>
      </w:tr>
      <w:tr w:rsidR="008E7544" w:rsidRPr="00D51222" w14:paraId="4162CE66" w14:textId="77777777" w:rsidTr="008E7544">
        <w:tc>
          <w:tcPr>
            <w:tcW w:w="0" w:type="auto"/>
            <w:hideMark/>
          </w:tcPr>
          <w:p w14:paraId="4BEB4AF0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Trauma craneoencefálico leve</w:t>
            </w:r>
          </w:p>
        </w:tc>
        <w:tc>
          <w:tcPr>
            <w:tcW w:w="0" w:type="auto"/>
            <w:hideMark/>
          </w:tcPr>
          <w:p w14:paraId="1CA6ADB6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0.25</w:t>
            </w:r>
          </w:p>
        </w:tc>
      </w:tr>
      <w:tr w:rsidR="008E7544" w:rsidRPr="00D51222" w14:paraId="4C388D37" w14:textId="77777777" w:rsidTr="008E7544">
        <w:tc>
          <w:tcPr>
            <w:tcW w:w="0" w:type="auto"/>
            <w:hideMark/>
          </w:tcPr>
          <w:p w14:paraId="0694EA23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Lesión medular</w:t>
            </w:r>
          </w:p>
        </w:tc>
        <w:tc>
          <w:tcPr>
            <w:tcW w:w="0" w:type="auto"/>
            <w:hideMark/>
          </w:tcPr>
          <w:p w14:paraId="19E6F458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0.60</w:t>
            </w:r>
          </w:p>
        </w:tc>
      </w:tr>
      <w:tr w:rsidR="008E7544" w:rsidRPr="00D51222" w14:paraId="76031070" w14:textId="77777777" w:rsidTr="008E7544">
        <w:tc>
          <w:tcPr>
            <w:tcW w:w="0" w:type="auto"/>
            <w:hideMark/>
          </w:tcPr>
          <w:p w14:paraId="308E4821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Parálisis</w:t>
            </w:r>
          </w:p>
        </w:tc>
        <w:tc>
          <w:tcPr>
            <w:tcW w:w="0" w:type="auto"/>
            <w:hideMark/>
          </w:tcPr>
          <w:p w14:paraId="5D71E8F6" w14:textId="77777777" w:rsidR="008E7544" w:rsidRPr="00D51222" w:rsidRDefault="008E7544" w:rsidP="008E7544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</w:pPr>
            <w:r w:rsidRPr="00D51222">
              <w:rPr>
                <w:rFonts w:ascii="Aptos" w:eastAsia="Times New Roman" w:hAnsi="Aptos" w:cs="Times New Roman"/>
                <w:kern w:val="0"/>
                <w:sz w:val="22"/>
                <w:szCs w:val="22"/>
                <w:lang w:val="es-CR" w:eastAsia="es-MX"/>
                <w14:ligatures w14:val="none"/>
              </w:rPr>
              <w:t>0.50</w:t>
            </w:r>
          </w:p>
        </w:tc>
      </w:tr>
    </w:tbl>
    <w:p w14:paraId="2C3ACD1F" w14:textId="77777777" w:rsidR="00D51222" w:rsidRPr="00D51222" w:rsidRDefault="008E7544" w:rsidP="00D51222">
      <w:pPr>
        <w:spacing w:before="100" w:beforeAutospacing="1" w:after="100" w:afterAutospacing="1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Si no </w:t>
      </w:r>
      <w:proofErr w:type="spellStart"/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tenés</w:t>
      </w:r>
      <w:proofErr w:type="spellEnd"/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 el detalle por tipo de lesión, </w:t>
      </w:r>
      <w:proofErr w:type="spellStart"/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podés</w:t>
      </w:r>
      <w:proofErr w:type="spellEnd"/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 asumir un valor promedio para lesionados graves, ej. </w:t>
      </w: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DW = 0.3</w:t>
      </w:r>
    </w:p>
    <w:p w14:paraId="46DCAE59" w14:textId="58721920" w:rsidR="008E7544" w:rsidRPr="00D51222" w:rsidRDefault="008E7544" w:rsidP="00D51222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¿Calcular por año?</w:t>
      </w:r>
    </w:p>
    <w:p w14:paraId="1B195AB6" w14:textId="77777777" w:rsidR="008E7544" w:rsidRPr="00D51222" w:rsidRDefault="008E7544" w:rsidP="008E7544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D512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es-CR" w:eastAsia="es-MX"/>
          <w14:ligatures w14:val="none"/>
        </w:rPr>
        <w:t>Sí.</w:t>
      </w:r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 Porque la cantidad de lesionados graves puede cambiar cada año, así como sus características (edad, ingreso), y </w:t>
      </w:r>
      <w:proofErr w:type="spellStart"/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debés</w:t>
      </w:r>
      <w:proofErr w:type="spellEnd"/>
      <w:r w:rsidRPr="00D51222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 sumar los AVAD anuales.</w:t>
      </w:r>
    </w:p>
    <w:p w14:paraId="274D0789" w14:textId="77777777" w:rsidR="00D51222" w:rsidRPr="00D51222" w:rsidRDefault="00D51222" w:rsidP="00D51222">
      <w:pPr>
        <w:rPr>
          <w:iCs/>
          <w:sz w:val="22"/>
          <w:szCs w:val="22"/>
          <w:lang w:val="es-CR"/>
        </w:rPr>
      </w:pPr>
      <w:bookmarkStart w:id="2" w:name="_Toc498068007"/>
    </w:p>
    <w:p w14:paraId="66DBF8B3" w14:textId="57D1D108" w:rsidR="00D51222" w:rsidRPr="00D51222" w:rsidRDefault="00D51222" w:rsidP="00D51222">
      <w:pPr>
        <w:rPr>
          <w:bCs/>
          <w:iCs/>
          <w:sz w:val="22"/>
          <w:szCs w:val="22"/>
          <w:lang w:val="es-CR"/>
        </w:rPr>
      </w:pPr>
      <w:r w:rsidRPr="00D51222">
        <w:rPr>
          <w:iCs/>
          <w:sz w:val="22"/>
          <w:szCs w:val="22"/>
          <w:lang w:val="es-CR"/>
        </w:rPr>
        <w:t xml:space="preserve">Tabla </w:t>
      </w:r>
      <w:r w:rsidRPr="00D51222">
        <w:rPr>
          <w:iCs/>
          <w:sz w:val="22"/>
          <w:szCs w:val="22"/>
          <w:lang w:val="es-CR"/>
        </w:rPr>
        <w:fldChar w:fldCharType="begin"/>
      </w:r>
      <w:r w:rsidRPr="00D51222">
        <w:rPr>
          <w:iCs/>
          <w:sz w:val="22"/>
          <w:szCs w:val="22"/>
          <w:lang w:val="es-CR"/>
        </w:rPr>
        <w:instrText xml:space="preserve"> SEQ Tabla \* ARABIC </w:instrText>
      </w:r>
      <w:r w:rsidRPr="00D51222">
        <w:rPr>
          <w:iCs/>
          <w:sz w:val="22"/>
          <w:szCs w:val="22"/>
          <w:lang w:val="es-CR"/>
        </w:rPr>
        <w:fldChar w:fldCharType="separate"/>
      </w:r>
      <w:r w:rsidRPr="00D51222">
        <w:rPr>
          <w:iCs/>
          <w:sz w:val="22"/>
          <w:szCs w:val="22"/>
          <w:lang w:val="es-CR"/>
        </w:rPr>
        <w:t>4</w:t>
      </w:r>
      <w:r w:rsidRPr="00D51222">
        <w:rPr>
          <w:sz w:val="22"/>
          <w:szCs w:val="22"/>
          <w:lang w:val="es-CR"/>
        </w:rPr>
        <w:fldChar w:fldCharType="end"/>
      </w:r>
      <w:r w:rsidRPr="00D51222">
        <w:rPr>
          <w:iCs/>
          <w:sz w:val="22"/>
          <w:szCs w:val="22"/>
          <w:lang w:val="es-CR"/>
        </w:rPr>
        <w:t xml:space="preserve"> Adaptaciones del AVAD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64"/>
        <w:gridCol w:w="5545"/>
      </w:tblGrid>
      <w:tr w:rsidR="00D51222" w:rsidRPr="00D51222" w14:paraId="021DE5BC" w14:textId="77777777" w:rsidTr="00BB6F72">
        <w:trPr>
          <w:trHeight w:val="360"/>
        </w:trPr>
        <w:tc>
          <w:tcPr>
            <w:tcW w:w="3664" w:type="dxa"/>
          </w:tcPr>
          <w:p w14:paraId="1FE0CE16" w14:textId="77777777" w:rsidR="00D51222" w:rsidRPr="00D51222" w:rsidRDefault="00D51222" w:rsidP="00D51222">
            <w:pPr>
              <w:rPr>
                <w:b/>
                <w:bCs/>
                <w:sz w:val="22"/>
                <w:szCs w:val="22"/>
                <w:lang w:val="es-CR"/>
              </w:rPr>
            </w:pPr>
            <w:r w:rsidRPr="00D51222">
              <w:rPr>
                <w:b/>
                <w:bCs/>
                <w:sz w:val="22"/>
                <w:szCs w:val="22"/>
                <w:lang w:val="es-CR"/>
              </w:rPr>
              <w:t>Variables</w:t>
            </w:r>
          </w:p>
        </w:tc>
        <w:tc>
          <w:tcPr>
            <w:tcW w:w="5545" w:type="dxa"/>
          </w:tcPr>
          <w:p w14:paraId="0E4EDA6B" w14:textId="77777777" w:rsidR="00D51222" w:rsidRPr="00D51222" w:rsidRDefault="00D51222" w:rsidP="00D51222">
            <w:pPr>
              <w:rPr>
                <w:b/>
                <w:bCs/>
                <w:sz w:val="22"/>
                <w:szCs w:val="22"/>
                <w:lang w:val="es-CR"/>
              </w:rPr>
            </w:pPr>
            <w:r w:rsidRPr="00D51222">
              <w:rPr>
                <w:b/>
                <w:bCs/>
                <w:sz w:val="22"/>
                <w:szCs w:val="22"/>
                <w:lang w:val="es-CR"/>
              </w:rPr>
              <w:t>Adaptación</w:t>
            </w:r>
          </w:p>
        </w:tc>
      </w:tr>
      <w:tr w:rsidR="00D51222" w:rsidRPr="00D51222" w14:paraId="670B7B05" w14:textId="77777777" w:rsidTr="00BB6F72">
        <w:trPr>
          <w:trHeight w:val="356"/>
        </w:trPr>
        <w:tc>
          <w:tcPr>
            <w:tcW w:w="3664" w:type="dxa"/>
          </w:tcPr>
          <w:p w14:paraId="50030CE0" w14:textId="77777777" w:rsidR="00D51222" w:rsidRPr="00D51222" w:rsidRDefault="00D51222" w:rsidP="00D51222">
            <w:pPr>
              <w:rPr>
                <w:bCs/>
                <w:sz w:val="22"/>
                <w:szCs w:val="22"/>
                <w:lang w:val="es-CR"/>
              </w:rPr>
            </w:pPr>
            <w:r w:rsidRPr="00D51222">
              <w:rPr>
                <w:bCs/>
                <w:sz w:val="22"/>
                <w:szCs w:val="22"/>
                <w:lang w:val="es-CR"/>
              </w:rPr>
              <w:t>Discapacidad</w:t>
            </w:r>
          </w:p>
        </w:tc>
        <w:tc>
          <w:tcPr>
            <w:tcW w:w="5545" w:type="dxa"/>
          </w:tcPr>
          <w:p w14:paraId="2011D455" w14:textId="77777777" w:rsidR="00D51222" w:rsidRPr="00D51222" w:rsidRDefault="00D51222" w:rsidP="00D51222">
            <w:pPr>
              <w:rPr>
                <w:bCs/>
                <w:sz w:val="22"/>
                <w:szCs w:val="22"/>
                <w:lang w:val="es-CR"/>
              </w:rPr>
            </w:pPr>
            <w:r w:rsidRPr="00D51222">
              <w:rPr>
                <w:bCs/>
                <w:sz w:val="22"/>
                <w:szCs w:val="22"/>
                <w:lang w:val="es-CR"/>
              </w:rPr>
              <w:t>Se trabaja bajo el término de “herida” producto al accidente de tránsito, ya sea este herida grave o herida leve.</w:t>
            </w:r>
          </w:p>
        </w:tc>
      </w:tr>
      <w:tr w:rsidR="00D51222" w:rsidRPr="00D51222" w14:paraId="1CD67B6D" w14:textId="77777777" w:rsidTr="00BB6F72">
        <w:trPr>
          <w:trHeight w:val="723"/>
        </w:trPr>
        <w:tc>
          <w:tcPr>
            <w:tcW w:w="3664" w:type="dxa"/>
          </w:tcPr>
          <w:p w14:paraId="3E7B6D39" w14:textId="77777777" w:rsidR="00D51222" w:rsidRPr="00D51222" w:rsidRDefault="00D51222" w:rsidP="00D51222">
            <w:pPr>
              <w:rPr>
                <w:bCs/>
                <w:sz w:val="22"/>
                <w:szCs w:val="22"/>
                <w:lang w:val="es-CR"/>
              </w:rPr>
            </w:pPr>
            <w:r w:rsidRPr="00D51222">
              <w:rPr>
                <w:bCs/>
                <w:sz w:val="22"/>
                <w:szCs w:val="22"/>
                <w:lang w:val="es-CR"/>
              </w:rPr>
              <w:t>Peso de la Discapacidad</w:t>
            </w:r>
          </w:p>
        </w:tc>
        <w:tc>
          <w:tcPr>
            <w:tcW w:w="5545" w:type="dxa"/>
          </w:tcPr>
          <w:p w14:paraId="2019E798" w14:textId="77777777" w:rsidR="00D51222" w:rsidRPr="00D51222" w:rsidRDefault="00D51222" w:rsidP="00D51222">
            <w:pPr>
              <w:rPr>
                <w:bCs/>
                <w:sz w:val="22"/>
                <w:szCs w:val="22"/>
                <w:lang w:val="es-CR"/>
              </w:rPr>
            </w:pPr>
            <w:r w:rsidRPr="00D51222">
              <w:rPr>
                <w:bCs/>
                <w:sz w:val="22"/>
                <w:szCs w:val="22"/>
                <w:lang w:val="es-CR"/>
              </w:rPr>
              <w:t>Debido a lo anterior, las personas con heridas graves se les asigno un peso de 0,6 y las personas con heridas leves un peso de 0,24.</w:t>
            </w:r>
          </w:p>
        </w:tc>
      </w:tr>
      <w:tr w:rsidR="00D51222" w:rsidRPr="00D51222" w14:paraId="4BF922F4" w14:textId="77777777" w:rsidTr="00BB6F72">
        <w:trPr>
          <w:trHeight w:val="717"/>
        </w:trPr>
        <w:tc>
          <w:tcPr>
            <w:tcW w:w="3664" w:type="dxa"/>
          </w:tcPr>
          <w:p w14:paraId="6B49C9D4" w14:textId="77777777" w:rsidR="00D51222" w:rsidRPr="00D51222" w:rsidRDefault="00D51222" w:rsidP="00D51222">
            <w:pPr>
              <w:rPr>
                <w:bCs/>
                <w:sz w:val="22"/>
                <w:szCs w:val="22"/>
                <w:lang w:val="es-CR"/>
              </w:rPr>
            </w:pPr>
            <w:r w:rsidRPr="00D51222">
              <w:rPr>
                <w:bCs/>
                <w:sz w:val="22"/>
                <w:szCs w:val="22"/>
                <w:lang w:val="es-CR"/>
              </w:rPr>
              <w:t>Duración de la Discapacidad</w:t>
            </w:r>
          </w:p>
        </w:tc>
        <w:tc>
          <w:tcPr>
            <w:tcW w:w="5545" w:type="dxa"/>
          </w:tcPr>
          <w:p w14:paraId="08D0C3ED" w14:textId="77777777" w:rsidR="00D51222" w:rsidRPr="00D51222" w:rsidRDefault="00D51222" w:rsidP="00D51222">
            <w:pPr>
              <w:rPr>
                <w:bCs/>
                <w:sz w:val="22"/>
                <w:szCs w:val="22"/>
                <w:lang w:val="es-CR"/>
              </w:rPr>
            </w:pPr>
            <w:r w:rsidRPr="00D51222">
              <w:rPr>
                <w:bCs/>
                <w:sz w:val="22"/>
                <w:szCs w:val="22"/>
                <w:lang w:val="es-CR"/>
              </w:rPr>
              <w:t>Las personas con heridas graves quedan discapacitadas por el resto de su vida y las personas con heridas leves quedan discapacitadas con un tiempo promedio de un mes (0,0833 años).</w:t>
            </w:r>
          </w:p>
        </w:tc>
      </w:tr>
    </w:tbl>
    <w:p w14:paraId="41D3E202" w14:textId="77777777" w:rsidR="00ED519E" w:rsidRPr="008E7544" w:rsidRDefault="00ED519E">
      <w:pPr>
        <w:rPr>
          <w:lang w:val="es-CR"/>
        </w:rPr>
      </w:pPr>
    </w:p>
    <w:sectPr w:rsidR="00ED519E" w:rsidRPr="008E7544" w:rsidSect="00D512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44"/>
    <w:rsid w:val="005742BC"/>
    <w:rsid w:val="008845C7"/>
    <w:rsid w:val="008D6052"/>
    <w:rsid w:val="008E7544"/>
    <w:rsid w:val="00B93B73"/>
    <w:rsid w:val="00BB6F72"/>
    <w:rsid w:val="00D51222"/>
    <w:rsid w:val="00E850D9"/>
    <w:rsid w:val="00ED519E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2D80"/>
  <w15:chartTrackingRefBased/>
  <w15:docId w15:val="{A7E2FB1D-350A-0545-894D-9071521E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E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5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5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5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5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5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E75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8E754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54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54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54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54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54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54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E7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54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5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54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E7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54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E7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54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E754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E7544"/>
    <w:rPr>
      <w:b/>
      <w:bCs/>
    </w:rPr>
  </w:style>
  <w:style w:type="character" w:customStyle="1" w:styleId="apple-converted-space">
    <w:name w:val="apple-converted-space"/>
    <w:basedOn w:val="Fuentedeprrafopredeter"/>
    <w:rsid w:val="008E7544"/>
  </w:style>
  <w:style w:type="paragraph" w:styleId="NormalWeb">
    <w:name w:val="Normal (Web)"/>
    <w:basedOn w:val="Normal"/>
    <w:uiPriority w:val="99"/>
    <w:semiHidden/>
    <w:unhideWhenUsed/>
    <w:rsid w:val="008E75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customStyle="1" w:styleId="katex-mathml">
    <w:name w:val="katex-mathml"/>
    <w:basedOn w:val="Fuentedeprrafopredeter"/>
    <w:rsid w:val="008E7544"/>
  </w:style>
  <w:style w:type="character" w:customStyle="1" w:styleId="mord">
    <w:name w:val="mord"/>
    <w:basedOn w:val="Fuentedeprrafopredeter"/>
    <w:rsid w:val="008E7544"/>
  </w:style>
  <w:style w:type="character" w:customStyle="1" w:styleId="vlist-s">
    <w:name w:val="vlist-s"/>
    <w:basedOn w:val="Fuentedeprrafopredeter"/>
    <w:rsid w:val="008E7544"/>
  </w:style>
  <w:style w:type="character" w:customStyle="1" w:styleId="mrel">
    <w:name w:val="mrel"/>
    <w:basedOn w:val="Fuentedeprrafopredeter"/>
    <w:rsid w:val="008E7544"/>
  </w:style>
  <w:style w:type="character" w:customStyle="1" w:styleId="mbin">
    <w:name w:val="mbin"/>
    <w:basedOn w:val="Fuentedeprrafopredeter"/>
    <w:rsid w:val="008E7544"/>
  </w:style>
  <w:style w:type="table" w:styleId="Tablaconcuadrcula">
    <w:name w:val="Table Grid"/>
    <w:basedOn w:val="Tablanormal"/>
    <w:uiPriority w:val="39"/>
    <w:rsid w:val="008E75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5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1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9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9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6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9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5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53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8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4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2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9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4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1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7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5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2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0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578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4</cp:revision>
  <dcterms:created xsi:type="dcterms:W3CDTF">2025-07-22T18:29:00Z</dcterms:created>
  <dcterms:modified xsi:type="dcterms:W3CDTF">2025-08-20T20:13:00Z</dcterms:modified>
</cp:coreProperties>
</file>