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200"/>
        <w:jc w:val="center"/>
      </w:pPr>
      <w:r>
        <w:rPr>
          <w:rFonts w:ascii="Arial" w:cs="Arial" w:eastAsia="Arial" w:hAnsi="Arial"/>
          <w:b/>
          <w:bCs/>
          <w:color w:val="1F4E79"/>
          <w:sz w:val="32"/>
          <w:szCs w:val="32"/>
        </w:rPr>
        <w:t xml:space="preserve">DOCUMENTO TÉCNICO-PEDAGÓGICO</w:t>
      </w:r>
    </w:p>
    <w:p>
      <w:pPr>
        <w:spacing w:after="200"/>
        <w:jc w:val="center"/>
      </w:pPr>
      <w:r>
        <w:rPr>
          <w:rFonts w:ascii="Arial" w:cs="Arial" w:eastAsia="Arial" w:hAnsi="Arial"/>
          <w:b/>
          <w:bCs/>
          <w:color w:val="000000"/>
          <w:sz w:val="44"/>
          <w:szCs w:val="44"/>
        </w:rPr>
        <w:t xml:space="preserve">Métodos Cualitativos para la Gestión Marino-Costera</w:t>
      </w:r>
    </w:p>
    <w:p>
      <w:pPr>
        <w:spacing w:after="600"/>
        <w:jc w:val="center"/>
      </w:pPr>
      <w:r>
        <w:rPr>
          <w:rFonts w:ascii="Arial" w:cs="Arial" w:eastAsia="Arial" w:hAnsi="Arial"/>
          <w:i/>
          <w:iCs/>
          <w:color w:val="404040"/>
          <w:sz w:val="26"/>
          <w:szCs w:val="26"/>
        </w:rPr>
        <w:t xml:space="preserve">Fundamentación teórica, metodológica, técnica y traducción computacional en Python</w:t>
      </w:r>
    </w:p>
    <w:p>
      <w:pPr>
        <w:spacing w:after="2400"/>
        <w:jc w:val="center"/>
      </w:pPr>
      <w:r>
        <w:rPr>
          <w:rFonts w:ascii="Arial" w:cs="Arial" w:eastAsia="Arial" w:hAnsi="Arial"/>
          <w:color w:val="404040"/>
          <w:sz w:val="24"/>
          <w:szCs w:val="24"/>
        </w:rPr>
        <w:t xml:space="preserve">Guía docente para el acompañamiento de estudiantes de posgrado</w:t>
      </w:r>
    </w:p>
    <w:p>
      <w:pPr>
        <w:spacing w:after="80"/>
        <w:jc w:val="center"/>
      </w:pPr>
      <w:r>
        <w:rPr>
          <w:rFonts w:ascii="Arial" w:cs="Arial" w:eastAsia="Arial" w:hAnsi="Arial"/>
          <w:b/>
          <w:bCs/>
          <w:sz w:val="24"/>
          <w:szCs w:val="24"/>
        </w:rPr>
        <w:t xml:space="preserve">Agustín Gómez Meléndez, MSc./MSI.</w:t>
      </w:r>
    </w:p>
    <w:p>
      <w:pPr>
        <w:spacing w:after="60"/>
        <w:jc w:val="center"/>
      </w:pPr>
      <w:r>
        <w:rPr>
          <w:rFonts w:ascii="Arial" w:cs="Arial" w:eastAsia="Arial" w:hAnsi="Arial"/>
          <w:sz w:val="22"/>
          <w:szCs w:val="22"/>
        </w:rPr>
        <w:t xml:space="preserve">Centro de Investigación Observatorio del Desarrollo (CIOdD) – Universidad de Costa Rica</w:t>
      </w:r>
    </w:p>
    <w:p>
      <w:pPr>
        <w:spacing w:after="600"/>
        <w:jc w:val="center"/>
      </w:pPr>
      <w:r>
        <w:rPr>
          <w:rFonts w:ascii="Arial" w:cs="Arial" w:eastAsia="Arial" w:hAnsi="Arial"/>
          <w:sz w:val="22"/>
          <w:szCs w:val="22"/>
        </w:rPr>
        <w:t xml:space="preserve">Observatorio de MIPYMES (OMiPYME) – Universidad Estatal a Distancia</w:t>
      </w:r>
    </w:p>
    <w:p>
      <w:pPr>
        <w:jc w:val="center"/>
      </w:pPr>
      <w:r>
        <w:rPr>
          <w:rFonts w:ascii="Arial" w:cs="Arial" w:eastAsia="Arial" w:hAnsi="Arial"/>
          <w:i/>
          <w:iCs/>
          <w:sz w:val="22"/>
          <w:szCs w:val="22"/>
        </w:rPr>
        <w:t xml:space="preserve">Abril 2026</w:t>
      </w:r>
    </w:p>
    <w:p>
      <w:r>
        <w:br w:type="page"/>
      </w:r>
    </w:p>
    <w:p>
      <w:pPr>
        <w:pStyle w:val="Heading1"/>
        <w:pageBreakBefore/>
        <w:spacing w:after="200" w:before="360"/>
      </w:pPr>
      <w:r>
        <w:rPr>
          <w:rFonts w:ascii="Arial" w:cs="Arial" w:eastAsia="Arial" w:hAnsi="Arial"/>
          <w:b/>
          <w:bCs/>
          <w:color w:val="1F4E79"/>
          <w:sz w:val="32"/>
          <w:szCs w:val="32"/>
        </w:rPr>
        <w:t xml:space="preserve">1. Propósito del documento y modo de uso pedagógico</w:t>
      </w:r>
    </w:p>
    <w:p>
      <w:pPr>
        <w:spacing w:after="120" w:line="300"/>
        <w:jc w:val="both"/>
      </w:pPr>
      <w:r>
        <w:rPr>
          <w:rFonts w:ascii="Arial" w:cs="Arial" w:eastAsia="Arial" w:hAnsi="Arial"/>
          <w:b w:val="false"/>
          <w:bCs w:val="false"/>
          <w:i w:val="false"/>
          <w:iCs w:val="false"/>
          <w:color w:val="000000"/>
          <w:sz w:val="22"/>
          <w:szCs w:val="22"/>
        </w:rPr>
        <w:t xml:space="preserve">Este documento acompaña al paquete de once laboratorios Python diseñados para introducir al estudiantado de posgrado en los métodos cualitativos aplicados a la gestión marino-costera. No se trata de un manual de programación, sino de un tratado metodológico en el cual la implementación computacional opera como dispositivo didáctico: cada laboratorio materializa, en código reproducible, los supuestos teóricos, los procedimientos técnicos y las métricas de calidad propias de cada método. El propósito explícito es que la estudiante o el estudiante comprenda qué significa desarrollar cada metodología como un acto epistémico —con una historia intelectual, una ontología del objeto, una ética investigativa y un conjunto de criterios de rigor—, antes de comprender cómo la máquina la operacionaliza.</w:t>
      </w:r>
    </w:p>
    <w:p>
      <w:pPr>
        <w:spacing w:after="120" w:line="300"/>
        <w:jc w:val="both"/>
      </w:pPr>
      <w:r>
        <w:rPr>
          <w:rFonts w:ascii="Arial" w:cs="Arial" w:eastAsia="Arial" w:hAnsi="Arial"/>
          <w:b w:val="false"/>
          <w:bCs w:val="false"/>
          <w:i w:val="false"/>
          <w:iCs w:val="false"/>
          <w:color w:val="000000"/>
          <w:sz w:val="22"/>
          <w:szCs w:val="22"/>
        </w:rPr>
        <w:t xml:space="preserve">Se asume que quien lee este material cuenta ya con formación básica en diseño de investigación y con alfabetización estadística. La exposición, por tanto, opera en nivel doctoral: se privilegia la densidad conceptual, la trazabilidad bibliográfica y la discusión crítica sobre la simple descripción procedimental. Cada método se trata en una unidad autoconsistente con siete componentes: (i) fundamentación teórica e historia intelectual; (ii) supuestos ontológicos y epistemológicos; (iii) lógica metodológica; (iv) técnica y procedimientos; (v) traducción computacional en el laboratorio Python correspondiente; (vi) métricas de calidad y criterios de rigor; (vii) limitaciones, dilemas éticos y anclaje territorial en el litoral costarricense.</w:t>
      </w:r>
    </w:p>
    <w:p>
      <w:pPr>
        <w:spacing w:after="120" w:line="300"/>
        <w:jc w:val="both"/>
      </w:pPr>
      <w:r>
        <w:rPr>
          <w:rFonts w:ascii="Arial" w:cs="Arial" w:eastAsia="Arial" w:hAnsi="Arial"/>
          <w:b w:val="false"/>
          <w:bCs w:val="false"/>
          <w:i w:val="false"/>
          <w:iCs w:val="false"/>
          <w:color w:val="000000"/>
          <w:sz w:val="22"/>
          <w:szCs w:val="22"/>
        </w:rPr>
        <w:t xml:space="preserve">Es importante subrayar una tensión deliberada presente en todo el paquete: los laboratorios utilizan datos sintéticos reproducibles. Esta decisión no es una limitación residual, sino una opción pedagógica razonada. La ficción controlada permite a la estudiante observar el funcionamiento esperado de cada procedimiento sin que el ruido empírico enmascare la lógica del método. La docente, a su vez, puede modular la dificultad del ejercicio alterando la semilla aleatoria, el número de actores, los pesos de los perfiles o las reglas de vinculación. El desempeño esperado en campo debe ser siempre peor —y más rico— que el de la simulación: la distancia entre ambas mediciones es, en sí misma, un diagnóstico del objeto real.</w:t>
      </w:r>
    </w:p>
    <w:p>
      <w:pPr>
        <w:pStyle w:val="Heading2"/>
        <w:spacing w:after="140" w:before="280"/>
      </w:pPr>
      <w:r>
        <w:rPr>
          <w:rFonts w:ascii="Arial" w:cs="Arial" w:eastAsia="Arial" w:hAnsi="Arial"/>
          <w:b/>
          <w:bCs/>
          <w:color w:val="1F4E79"/>
          <w:sz w:val="26"/>
          <w:szCs w:val="26"/>
        </w:rPr>
        <w:t xml:space="preserve">1.1. Mapa de métodos del paquete</w:t>
      </w:r>
    </w:p>
    <w:p>
      <w:pPr>
        <w:spacing w:after="120" w:line="300"/>
        <w:jc w:val="both"/>
      </w:pPr>
      <w:r>
        <w:rPr>
          <w:rFonts w:ascii="Arial" w:cs="Arial" w:eastAsia="Arial" w:hAnsi="Arial"/>
          <w:b w:val="false"/>
          <w:bCs w:val="false"/>
          <w:i w:val="false"/>
          <w:iCs w:val="false"/>
          <w:color w:val="000000"/>
          <w:sz w:val="22"/>
          <w:szCs w:val="22"/>
        </w:rPr>
        <w:t xml:space="preserve">La tabla siguiente ofrece una cartografía sinóptica. Cada fila será desarrollada en su sección correspondiente.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Laboratorio</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Técnica</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Núcleo analítico</w:t>
            </w:r>
          </w:p>
        </w:tc>
      </w:tr>
      <w:tr>
        <w:tc>
          <w:tcPr>
            <w:tcW w:type="dxa" w:w="23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01</w:t>
            </w:r>
          </w:p>
        </w:tc>
        <w:tc>
          <w:tcPr>
            <w:tcW w:type="dxa" w:w="23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Entrevistas semi-estructuradas</w:t>
            </w:r>
          </w:p>
        </w:tc>
        <w:tc>
          <w:tcPr>
            <w:tcW w:type="dxa" w:w="23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Entrevista en profundidad</w:t>
            </w:r>
          </w:p>
        </w:tc>
        <w:tc>
          <w:tcPr>
            <w:tcW w:type="dxa" w:w="23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Codificación abierta/axial; Cohen κ; red temática</w:t>
            </w:r>
          </w:p>
        </w:tc>
      </w:tr>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02</w:t>
            </w:r>
          </w:p>
        </w:tc>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Grupos focales</w:t>
            </w:r>
          </w:p>
        </w:tc>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Dinámica de grupo moderada</w:t>
            </w:r>
          </w:p>
        </w:tc>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Gini conversacional; red valencia; consenso temático</w:t>
            </w:r>
          </w:p>
        </w:tc>
      </w:tr>
      <w:tr>
        <w:tc>
          <w:tcPr>
            <w:tcW w:type="dxa" w:w="23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03</w:t>
            </w:r>
          </w:p>
        </w:tc>
        <w:tc>
          <w:tcPr>
            <w:tcW w:type="dxa" w:w="23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Encuestas de percepción</w:t>
            </w:r>
          </w:p>
        </w:tc>
        <w:tc>
          <w:tcPr>
            <w:tcW w:type="dxa" w:w="23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Instrumento mixto Likert + abierta</w:t>
            </w:r>
          </w:p>
        </w:tc>
        <w:tc>
          <w:tcPr>
            <w:tcW w:type="dxa" w:w="23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Cronbach α; AFE varimax; matriz IPA</w:t>
            </w:r>
          </w:p>
        </w:tc>
      </w:tr>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04</w:t>
            </w:r>
          </w:p>
        </w:tc>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Mapeo participativo</w:t>
            </w:r>
          </w:p>
        </w:tc>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Cartografía social</w:t>
            </w:r>
          </w:p>
        </w:tc>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KDE; superposición de densidades; mapa Folium</w:t>
            </w:r>
          </w:p>
        </w:tc>
      </w:tr>
      <w:tr>
        <w:tc>
          <w:tcPr>
            <w:tcW w:type="dxa" w:w="23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05</w:t>
            </w:r>
          </w:p>
        </w:tc>
        <w:tc>
          <w:tcPr>
            <w:tcW w:type="dxa" w:w="23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Transectos</w:t>
            </w:r>
          </w:p>
        </w:tc>
        <w:tc>
          <w:tcPr>
            <w:tcW w:type="dxa" w:w="23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Observación lineal sistemática</w:t>
            </w:r>
          </w:p>
        </w:tc>
        <w:tc>
          <w:tcPr>
            <w:tcW w:type="dxa" w:w="23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Changepoints PELT; segmentación narrativa</w:t>
            </w:r>
          </w:p>
        </w:tc>
      </w:tr>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06</w:t>
            </w:r>
          </w:p>
        </w:tc>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Foto-voz</w:t>
            </w:r>
          </w:p>
        </w:tc>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Producción visual participativa</w:t>
            </w:r>
          </w:p>
        </w:tc>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TF-IDF; K-Means; red amenaza/fortaleza; SHOWeD</w:t>
            </w:r>
          </w:p>
        </w:tc>
      </w:tr>
      <w:tr>
        <w:tc>
          <w:tcPr>
            <w:tcW w:type="dxa" w:w="23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07</w:t>
            </w:r>
          </w:p>
        </w:tc>
        <w:tc>
          <w:tcPr>
            <w:tcW w:type="dxa" w:w="23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Redes de gobernanza</w:t>
            </w:r>
          </w:p>
        </w:tc>
        <w:tc>
          <w:tcPr>
            <w:tcW w:type="dxa" w:w="23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Mapeo de actores</w:t>
            </w:r>
          </w:p>
        </w:tc>
        <w:tc>
          <w:tcPr>
            <w:tcW w:type="dxa" w:w="23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Centralidades; Louvain; agujeros estructurales</w:t>
            </w:r>
          </w:p>
        </w:tc>
      </w:tr>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08</w:t>
            </w:r>
          </w:p>
        </w:tc>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Análisis de contenido</w:t>
            </w:r>
          </w:p>
        </w:tc>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Análisis documental</w:t>
            </w:r>
          </w:p>
        </w:tc>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TF-IDF; LDA; análisis de encuadre diacrónico</w:t>
            </w:r>
          </w:p>
        </w:tc>
      </w:tr>
      <w:tr>
        <w:tc>
          <w:tcPr>
            <w:tcW w:type="dxa" w:w="23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09</w:t>
            </w:r>
          </w:p>
        </w:tc>
        <w:tc>
          <w:tcPr>
            <w:tcW w:type="dxa" w:w="23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Observación participante</w:t>
            </w:r>
          </w:p>
        </w:tc>
        <w:tc>
          <w:tcPr>
            <w:tcW w:type="dxa" w:w="23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Etnografía institucional</w:t>
            </w:r>
          </w:p>
        </w:tc>
        <w:tc>
          <w:tcPr>
            <w:tcW w:type="dxa" w:w="23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Log de eventos; sociograma; rutas de decisión</w:t>
            </w:r>
          </w:p>
        </w:tc>
      </w:tr>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10</w:t>
            </w:r>
          </w:p>
        </w:tc>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Relatos de vida</w:t>
            </w:r>
          </w:p>
        </w:tc>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Historia oral biográfica</w:t>
            </w:r>
          </w:p>
        </w:tc>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Shifting baseline; Kendall τ; líneas de vida</w:t>
            </w:r>
          </w:p>
        </w:tc>
      </w:tr>
      <w:tr>
        <w:tc>
          <w:tcPr>
            <w:tcW w:type="dxa" w:w="23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11</w:t>
            </w:r>
          </w:p>
        </w:tc>
        <w:tc>
          <w:tcPr>
            <w:tcW w:type="dxa" w:w="23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Delphi cualitativo</w:t>
            </w:r>
          </w:p>
        </w:tc>
        <w:tc>
          <w:tcPr>
            <w:tcW w:type="dxa" w:w="23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Panel iterativo de expertos</w:t>
            </w:r>
          </w:p>
        </w:tc>
        <w:tc>
          <w:tcPr>
            <w:tcW w:type="dxa" w:w="23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Kendall W; Spearman ρ; reducción de IQR</w:t>
            </w:r>
          </w:p>
        </w:tc>
      </w:tr>
    </w:tbl>
    <w:p>
      <w:pPr>
        <w:pStyle w:val="Heading1"/>
        <w:pageBreakBefore/>
        <w:spacing w:after="200" w:before="360"/>
      </w:pPr>
      <w:r>
        <w:rPr>
          <w:rFonts w:ascii="Arial" w:cs="Arial" w:eastAsia="Arial" w:hAnsi="Arial"/>
          <w:b/>
          <w:bCs/>
          <w:color w:val="1F4E79"/>
          <w:sz w:val="32"/>
          <w:szCs w:val="32"/>
        </w:rPr>
        <w:t xml:space="preserve">2. Marco epistemológico común: lo cualitativo no es lo contrario de lo cuantitativo</w:t>
      </w:r>
    </w:p>
    <w:p>
      <w:pPr>
        <w:spacing w:after="120" w:line="300"/>
        <w:jc w:val="both"/>
      </w:pPr>
      <w:r>
        <w:rPr>
          <w:rFonts w:ascii="Arial" w:cs="Arial" w:eastAsia="Arial" w:hAnsi="Arial"/>
          <w:b w:val="false"/>
          <w:bCs w:val="false"/>
          <w:i w:val="false"/>
          <w:iCs w:val="false"/>
          <w:color w:val="000000"/>
          <w:sz w:val="22"/>
          <w:szCs w:val="22"/>
        </w:rPr>
        <w:t xml:space="preserve">Una primera confusión frecuente en la formación de posgrado es asumir que el método cualitativo se define por ausencia —por lo que no hace: no mide, no cuantifica, no generaliza— o bien por presencia estética: trabaja con palabras, imágenes y narrativas. Ambas lecturas son insuficientes y conducen a un uso instrumental pobre del método. Lo cualitativo se define, más precisamente, por el tipo de pregunta que puede responder y por el tipo de objeto que construye.</w:t>
      </w:r>
    </w:p>
    <w:p>
      <w:pPr>
        <w:pStyle w:val="Heading2"/>
        <w:spacing w:after="140" w:before="280"/>
      </w:pPr>
      <w:r>
        <w:rPr>
          <w:rFonts w:ascii="Arial" w:cs="Arial" w:eastAsia="Arial" w:hAnsi="Arial"/>
          <w:b/>
          <w:bCs/>
          <w:color w:val="1F4E79"/>
          <w:sz w:val="26"/>
          <w:szCs w:val="26"/>
        </w:rPr>
        <w:t xml:space="preserve">2.1. Ontología del objeto cualitativo</w:t>
      </w:r>
    </w:p>
    <w:p>
      <w:pPr>
        <w:spacing w:after="120" w:line="300"/>
        <w:jc w:val="both"/>
      </w:pPr>
      <w:r>
        <w:rPr>
          <w:rFonts w:ascii="Arial" w:cs="Arial" w:eastAsia="Arial" w:hAnsi="Arial"/>
          <w:b w:val="false"/>
          <w:bCs w:val="false"/>
          <w:i w:val="false"/>
          <w:iCs w:val="false"/>
          <w:color w:val="000000"/>
          <w:sz w:val="22"/>
          <w:szCs w:val="22"/>
        </w:rPr>
        <w:t xml:space="preserve">Los métodos cualitativos no presuponen que la realidad social esté compuesta por entidades discretas, estables e independientes de la observación. Asumen, en cambio, que los fenómenos socialmente relevantes son: (i) interpretativos, es decir, mediados por marcos de sentido compartidos; (ii) situados, es decir, enraizados en contextos históricos, materiales e institucionales específicos; (iii) relacionales, es decir, existentes sólo en tanto actores los co-producen en su interacción; y (iv) emergentes, es decir, no reducibles a la suma de sus componentes ni predecibles desde una teoría única. Esta ontología implica que el dato cualitativo no preexiste a su producción: la entrevista no descubre una opinión dormida, la construye; el mapa participativo no transcribe un saber latente, lo enuncia performativamente.</w:t>
      </w:r>
    </w:p>
    <w:p>
      <w:pPr>
        <w:pStyle w:val="Heading2"/>
        <w:spacing w:after="140" w:before="280"/>
      </w:pPr>
      <w:r>
        <w:rPr>
          <w:rFonts w:ascii="Arial" w:cs="Arial" w:eastAsia="Arial" w:hAnsi="Arial"/>
          <w:b/>
          <w:bCs/>
          <w:color w:val="1F4E79"/>
          <w:sz w:val="26"/>
          <w:szCs w:val="26"/>
        </w:rPr>
        <w:t xml:space="preserve">2.2. Epistemologías disponibles</w:t>
      </w:r>
    </w:p>
    <w:p>
      <w:pPr>
        <w:spacing w:after="120" w:line="300"/>
        <w:jc w:val="both"/>
      </w:pPr>
      <w:r>
        <w:rPr>
          <w:rFonts w:ascii="Arial" w:cs="Arial" w:eastAsia="Arial" w:hAnsi="Arial"/>
          <w:b w:val="false"/>
          <w:bCs w:val="false"/>
          <w:i w:val="false"/>
          <w:iCs w:val="false"/>
          <w:color w:val="000000"/>
          <w:sz w:val="22"/>
          <w:szCs w:val="22"/>
        </w:rPr>
        <w:t xml:space="preserve">Dentro del amplio paraguas cualitativo coexisten familias epistemológicas distinguibles y a veces incompatibles. Nombrarlas es ejercicio obligado en cualquier defensa de tesis:</w:t>
      </w:r>
    </w:p>
    <w:p>
      <w:pPr>
        <w:pStyle w:val="ListParagraph"/>
        <w:numPr>
          <w:ilvl w:val="0"/>
          <w:numId w:val="2"/>
        </w:numPr>
        <w:spacing w:after="60" w:line="280"/>
        <w:jc w:val="both"/>
      </w:pPr>
      <w:r>
        <w:rPr>
          <w:rFonts w:ascii="Arial" w:cs="Arial" w:eastAsia="Arial" w:hAnsi="Arial"/>
          <w:b/>
          <w:bCs/>
          <w:i w:val="false"/>
          <w:iCs w:val="false"/>
          <w:sz w:val="22"/>
          <w:szCs w:val="22"/>
        </w:rPr>
        <w:t xml:space="preserve">Interpretativismo hermenéutico</w:t>
      </w:r>
      <w:r>
        <w:rPr>
          <w:rFonts w:ascii="Arial" w:cs="Arial" w:eastAsia="Arial" w:hAnsi="Arial"/>
          <w:b w:val="false"/>
          <w:bCs w:val="false"/>
          <w:i w:val="false"/>
          <w:iCs w:val="false"/>
          <w:sz w:val="22"/>
          <w:szCs w:val="22"/>
        </w:rPr>
        <w:t xml:space="preserve"> (Dilthey, Gadamer, Geertz): el investigador describe densamente el sentido que los actores dan a sus prácticas.</w:t>
      </w:r>
    </w:p>
    <w:p>
      <w:pPr>
        <w:pStyle w:val="ListParagraph"/>
        <w:numPr>
          <w:ilvl w:val="0"/>
          <w:numId w:val="2"/>
        </w:numPr>
        <w:spacing w:after="60" w:line="280"/>
        <w:jc w:val="both"/>
      </w:pPr>
      <w:r>
        <w:rPr>
          <w:rFonts w:ascii="Arial" w:cs="Arial" w:eastAsia="Arial" w:hAnsi="Arial"/>
          <w:b/>
          <w:bCs/>
          <w:i w:val="false"/>
          <w:iCs w:val="false"/>
          <w:sz w:val="22"/>
          <w:szCs w:val="22"/>
        </w:rPr>
        <w:t xml:space="preserve">Constructivismo social</w:t>
      </w:r>
      <w:r>
        <w:rPr>
          <w:rFonts w:ascii="Arial" w:cs="Arial" w:eastAsia="Arial" w:hAnsi="Arial"/>
          <w:b w:val="false"/>
          <w:bCs w:val="false"/>
          <w:i w:val="false"/>
          <w:iCs w:val="false"/>
          <w:sz w:val="22"/>
          <w:szCs w:val="22"/>
        </w:rPr>
        <w:t xml:space="preserve"> (Berger &amp; Luckmann, Gergen): la realidad social se sostiene en procesos de tipificación e institucionalización del sentido.</w:t>
      </w:r>
    </w:p>
    <w:p>
      <w:pPr>
        <w:pStyle w:val="ListParagraph"/>
        <w:numPr>
          <w:ilvl w:val="0"/>
          <w:numId w:val="2"/>
        </w:numPr>
        <w:spacing w:after="60" w:line="280"/>
        <w:jc w:val="both"/>
      </w:pPr>
      <w:r>
        <w:rPr>
          <w:rFonts w:ascii="Arial" w:cs="Arial" w:eastAsia="Arial" w:hAnsi="Arial"/>
          <w:b/>
          <w:bCs/>
          <w:i w:val="false"/>
          <w:iCs w:val="false"/>
          <w:sz w:val="22"/>
          <w:szCs w:val="22"/>
        </w:rPr>
        <w:t xml:space="preserve">Grounded Theory</w:t>
      </w:r>
      <w:r>
        <w:rPr>
          <w:rFonts w:ascii="Arial" w:cs="Arial" w:eastAsia="Arial" w:hAnsi="Arial"/>
          <w:b w:val="false"/>
          <w:bCs w:val="false"/>
          <w:i w:val="false"/>
          <w:iCs w:val="false"/>
          <w:sz w:val="22"/>
          <w:szCs w:val="22"/>
        </w:rPr>
        <w:t xml:space="preserve"> (Glaser &amp; Strauss, 1967): la teoría emerge por abstracción iterativa desde los datos mediante muestreo teórico y saturación.</w:t>
      </w:r>
    </w:p>
    <w:p>
      <w:pPr>
        <w:pStyle w:val="ListParagraph"/>
        <w:numPr>
          <w:ilvl w:val="0"/>
          <w:numId w:val="2"/>
        </w:numPr>
        <w:spacing w:after="60" w:line="280"/>
        <w:jc w:val="both"/>
      </w:pPr>
      <w:r>
        <w:rPr>
          <w:rFonts w:ascii="Arial" w:cs="Arial" w:eastAsia="Arial" w:hAnsi="Arial"/>
          <w:b/>
          <w:bCs/>
          <w:i w:val="false"/>
          <w:iCs w:val="false"/>
          <w:sz w:val="22"/>
          <w:szCs w:val="22"/>
        </w:rPr>
        <w:t xml:space="preserve">Fenomenología</w:t>
      </w:r>
      <w:r>
        <w:rPr>
          <w:rFonts w:ascii="Arial" w:cs="Arial" w:eastAsia="Arial" w:hAnsi="Arial"/>
          <w:b w:val="false"/>
          <w:bCs w:val="false"/>
          <w:i w:val="false"/>
          <w:iCs w:val="false"/>
          <w:sz w:val="22"/>
          <w:szCs w:val="22"/>
        </w:rPr>
        <w:t xml:space="preserve"> (Husserl, Schütz, Van Manen): se describe la estructura invariante de la experiencia vivida mediante epojé y reducción eidética.</w:t>
      </w:r>
    </w:p>
    <w:p>
      <w:pPr>
        <w:pStyle w:val="ListParagraph"/>
        <w:numPr>
          <w:ilvl w:val="0"/>
          <w:numId w:val="2"/>
        </w:numPr>
        <w:spacing w:after="60" w:line="280"/>
        <w:jc w:val="both"/>
      </w:pPr>
      <w:r>
        <w:rPr>
          <w:rFonts w:ascii="Arial" w:cs="Arial" w:eastAsia="Arial" w:hAnsi="Arial"/>
          <w:b/>
          <w:bCs/>
          <w:i w:val="false"/>
          <w:iCs w:val="false"/>
          <w:sz w:val="22"/>
          <w:szCs w:val="22"/>
        </w:rPr>
        <w:t xml:space="preserve">Teoría crítica y decolonial</w:t>
      </w:r>
      <w:r>
        <w:rPr>
          <w:rFonts w:ascii="Arial" w:cs="Arial" w:eastAsia="Arial" w:hAnsi="Arial"/>
          <w:b w:val="false"/>
          <w:bCs w:val="false"/>
          <w:i w:val="false"/>
          <w:iCs w:val="false"/>
          <w:sz w:val="22"/>
          <w:szCs w:val="22"/>
        </w:rPr>
        <w:t xml:space="preserve"> (Freire, Fals Borda, de Sousa Santos): el método es herramienta de emancipación; el sujeto investigado es coinvestigador.</w:t>
      </w:r>
    </w:p>
    <w:p>
      <w:pPr>
        <w:pStyle w:val="ListParagraph"/>
        <w:numPr>
          <w:ilvl w:val="0"/>
          <w:numId w:val="2"/>
        </w:numPr>
        <w:spacing w:after="60" w:line="280"/>
        <w:jc w:val="both"/>
      </w:pPr>
      <w:r>
        <w:rPr>
          <w:rFonts w:ascii="Arial" w:cs="Arial" w:eastAsia="Arial" w:hAnsi="Arial"/>
          <w:b/>
          <w:bCs/>
          <w:i w:val="false"/>
          <w:iCs w:val="false"/>
          <w:sz w:val="22"/>
          <w:szCs w:val="22"/>
        </w:rPr>
        <w:t xml:space="preserve">Post-estructuralismo y análisis del discurso</w:t>
      </w:r>
      <w:r>
        <w:rPr>
          <w:rFonts w:ascii="Arial" w:cs="Arial" w:eastAsia="Arial" w:hAnsi="Arial"/>
          <w:b w:val="false"/>
          <w:bCs w:val="false"/>
          <w:i w:val="false"/>
          <w:iCs w:val="false"/>
          <w:sz w:val="22"/>
          <w:szCs w:val="22"/>
        </w:rPr>
        <w:t xml:space="preserve"> (Foucault, Laclau, Hajer): el lenguaje constituye lo real; los regímenes de verdad son efectos de poder.</w:t>
      </w:r>
    </w:p>
    <w:p>
      <w:pPr>
        <w:spacing w:after="120" w:line="300"/>
        <w:jc w:val="both"/>
      </w:pPr>
      <w:r>
        <w:rPr>
          <w:rFonts w:ascii="Arial" w:cs="Arial" w:eastAsia="Arial" w:hAnsi="Arial"/>
          <w:b w:val="false"/>
          <w:bCs w:val="false"/>
          <w:i w:val="false"/>
          <w:iCs w:val="false"/>
          <w:color w:val="000000"/>
          <w:sz w:val="22"/>
          <w:szCs w:val="22"/>
        </w:rPr>
        <w:t xml:space="preserve">Ningún método del paquete es epistemológicamente neutro. Un Delphi cualitativo implementado desde la teoría crítica difiere del mismo Delphi conducido bajo supuestos post-positivistas: cambian los criterios de selección del panel, las reglas de feedback y la propia definición de lo que significa consenso. La docente debería exigir al estudiantado que declare, al inicio de cada protocolo, qué familia epistemológica lo orienta.</w:t>
      </w:r>
    </w:p>
    <w:p>
      <w:pPr>
        <w:pStyle w:val="Heading2"/>
        <w:spacing w:after="140" w:before="280"/>
      </w:pPr>
      <w:r>
        <w:rPr>
          <w:rFonts w:ascii="Arial" w:cs="Arial" w:eastAsia="Arial" w:hAnsi="Arial"/>
          <w:b/>
          <w:bCs/>
          <w:color w:val="1F4E79"/>
          <w:sz w:val="26"/>
          <w:szCs w:val="26"/>
        </w:rPr>
        <w:t xml:space="preserve">2.3. Criterios de rigor cualitativo</w:t>
      </w:r>
    </w:p>
    <w:p>
      <w:pPr>
        <w:spacing w:after="120" w:line="300"/>
        <w:jc w:val="both"/>
      </w:pPr>
      <w:r>
        <w:rPr>
          <w:rFonts w:ascii="Arial" w:cs="Arial" w:eastAsia="Arial" w:hAnsi="Arial"/>
          <w:b w:val="false"/>
          <w:bCs w:val="false"/>
          <w:i w:val="false"/>
          <w:iCs w:val="false"/>
          <w:color w:val="000000"/>
          <w:sz w:val="22"/>
          <w:szCs w:val="22"/>
        </w:rPr>
        <w:t xml:space="preserve">Frente a los clásicos criterios psicométricos (validez interna, validez externa, confiabilidad, objetividad), Lincoln y Guba (1985) propusieron cuatro criterios equivalentes para la investigación cualitativa que siguen siendo canónicos:</w:t>
      </w:r>
    </w:p>
    <w:p>
      <w:pPr>
        <w:pStyle w:val="ListParagraph"/>
        <w:numPr>
          <w:ilvl w:val="0"/>
          <w:numId w:val="2"/>
        </w:numPr>
        <w:spacing w:after="60" w:line="280"/>
        <w:jc w:val="both"/>
      </w:pPr>
      <w:r>
        <w:rPr>
          <w:rFonts w:ascii="Arial" w:cs="Arial" w:eastAsia="Arial" w:hAnsi="Arial"/>
          <w:b/>
          <w:bCs/>
          <w:i w:val="false"/>
          <w:iCs w:val="false"/>
          <w:sz w:val="22"/>
          <w:szCs w:val="22"/>
        </w:rPr>
        <w:t xml:space="preserve">Credibilidad</w:t>
      </w:r>
      <w:r>
        <w:rPr>
          <w:rFonts w:ascii="Arial" w:cs="Arial" w:eastAsia="Arial" w:hAnsi="Arial"/>
          <w:b w:val="false"/>
          <w:bCs w:val="false"/>
          <w:i w:val="false"/>
          <w:iCs w:val="false"/>
          <w:sz w:val="22"/>
          <w:szCs w:val="22"/>
        </w:rPr>
        <w:t xml:space="preserve"> (validez interna): coherencia entre lo que el investigador interpreta y lo que los sujetos experimentan; se operacionaliza mediante triangulación, permanencia prolongada en campo, member checking y debate por pares.</w:t>
      </w:r>
    </w:p>
    <w:p>
      <w:pPr>
        <w:pStyle w:val="ListParagraph"/>
        <w:numPr>
          <w:ilvl w:val="0"/>
          <w:numId w:val="2"/>
        </w:numPr>
        <w:spacing w:after="60" w:line="280"/>
        <w:jc w:val="both"/>
      </w:pPr>
      <w:r>
        <w:rPr>
          <w:rFonts w:ascii="Arial" w:cs="Arial" w:eastAsia="Arial" w:hAnsi="Arial"/>
          <w:b/>
          <w:bCs/>
          <w:i w:val="false"/>
          <w:iCs w:val="false"/>
          <w:sz w:val="22"/>
          <w:szCs w:val="22"/>
        </w:rPr>
        <w:t xml:space="preserve">Transferibilidad</w:t>
      </w:r>
      <w:r>
        <w:rPr>
          <w:rFonts w:ascii="Arial" w:cs="Arial" w:eastAsia="Arial" w:hAnsi="Arial"/>
          <w:b w:val="false"/>
          <w:bCs w:val="false"/>
          <w:i w:val="false"/>
          <w:iCs w:val="false"/>
          <w:sz w:val="22"/>
          <w:szCs w:val="22"/>
        </w:rPr>
        <w:t xml:space="preserve"> (validez externa): posibilidad de que los hallazgos orienten otros contextos; se gestiona con descripción densa del caso que permita al lector juzgar la analogía.</w:t>
      </w:r>
    </w:p>
    <w:p>
      <w:pPr>
        <w:pStyle w:val="ListParagraph"/>
        <w:numPr>
          <w:ilvl w:val="0"/>
          <w:numId w:val="2"/>
        </w:numPr>
        <w:spacing w:after="60" w:line="280"/>
        <w:jc w:val="both"/>
      </w:pPr>
      <w:r>
        <w:rPr>
          <w:rFonts w:ascii="Arial" w:cs="Arial" w:eastAsia="Arial" w:hAnsi="Arial"/>
          <w:b/>
          <w:bCs/>
          <w:i w:val="false"/>
          <w:iCs w:val="false"/>
          <w:sz w:val="22"/>
          <w:szCs w:val="22"/>
        </w:rPr>
        <w:t xml:space="preserve">Dependabilidad</w:t>
      </w:r>
      <w:r>
        <w:rPr>
          <w:rFonts w:ascii="Arial" w:cs="Arial" w:eastAsia="Arial" w:hAnsi="Arial"/>
          <w:b w:val="false"/>
          <w:bCs w:val="false"/>
          <w:i w:val="false"/>
          <w:iCs w:val="false"/>
          <w:sz w:val="22"/>
          <w:szCs w:val="22"/>
        </w:rPr>
        <w:t xml:space="preserve"> (confiabilidad): estabilidad del procedimiento ante replicación por otros investigadores; se documenta con auditoría de huellas del proceso (audit trail).</w:t>
      </w:r>
    </w:p>
    <w:p>
      <w:pPr>
        <w:pStyle w:val="ListParagraph"/>
        <w:numPr>
          <w:ilvl w:val="0"/>
          <w:numId w:val="2"/>
        </w:numPr>
        <w:spacing w:after="60" w:line="280"/>
        <w:jc w:val="both"/>
      </w:pPr>
      <w:r>
        <w:rPr>
          <w:rFonts w:ascii="Arial" w:cs="Arial" w:eastAsia="Arial" w:hAnsi="Arial"/>
          <w:b/>
          <w:bCs/>
          <w:i w:val="false"/>
          <w:iCs w:val="false"/>
          <w:sz w:val="22"/>
          <w:szCs w:val="22"/>
        </w:rPr>
        <w:t xml:space="preserve">Confirmabilidad</w:t>
      </w:r>
      <w:r>
        <w:rPr>
          <w:rFonts w:ascii="Arial" w:cs="Arial" w:eastAsia="Arial" w:hAnsi="Arial"/>
          <w:b w:val="false"/>
          <w:bCs w:val="false"/>
          <w:i w:val="false"/>
          <w:iCs w:val="false"/>
          <w:sz w:val="22"/>
          <w:szCs w:val="22"/>
        </w:rPr>
        <w:t xml:space="preserve"> (objetividad): trazabilidad de los hallazgos hasta la evidencia; reflexividad explícita sobre el lugar del investigador.</w:t>
      </w:r>
    </w:p>
    <w:p>
      <w:pPr>
        <w:spacing w:after="120" w:line="300"/>
        <w:jc w:val="both"/>
      </w:pPr>
      <w:r>
        <w:rPr>
          <w:rFonts w:ascii="Arial" w:cs="Arial" w:eastAsia="Arial" w:hAnsi="Arial"/>
          <w:b w:val="false"/>
          <w:bCs w:val="false"/>
          <w:i w:val="false"/>
          <w:iCs w:val="false"/>
          <w:color w:val="000000"/>
          <w:sz w:val="22"/>
          <w:szCs w:val="22"/>
        </w:rPr>
        <w:t xml:space="preserve">Los laboratorios Python no eluden estos criterios: los reformulan en métricas específicas. Cohen κ para fiabilidad intercodificadores, Kendall W para concordancia experta, reducción de IQR para convergencia deliberativa, índice Gini conversacional para equidad participativa, entre otras. Estas métricas no reemplazan el juicio interpretativo; lo disciplinan.</w:t>
      </w:r>
    </w:p>
    <w:p>
      <w:pPr>
        <w:pStyle w:val="Heading2"/>
        <w:spacing w:after="140" w:before="280"/>
      </w:pPr>
      <w:r>
        <w:rPr>
          <w:rFonts w:ascii="Arial" w:cs="Arial" w:eastAsia="Arial" w:hAnsi="Arial"/>
          <w:b/>
          <w:bCs/>
          <w:color w:val="1F4E79"/>
          <w:sz w:val="26"/>
          <w:szCs w:val="26"/>
        </w:rPr>
        <w:t xml:space="preserve">2.4. Reflexividad del investigador</w:t>
      </w:r>
    </w:p>
    <w:p>
      <w:pPr>
        <w:spacing w:after="120" w:line="300"/>
        <w:jc w:val="both"/>
      </w:pPr>
      <w:r>
        <w:rPr>
          <w:rFonts w:ascii="Arial" w:cs="Arial" w:eastAsia="Arial" w:hAnsi="Arial"/>
          <w:b w:val="false"/>
          <w:bCs w:val="false"/>
          <w:i w:val="false"/>
          <w:iCs w:val="false"/>
          <w:color w:val="000000"/>
          <w:sz w:val="22"/>
          <w:szCs w:val="22"/>
        </w:rPr>
        <w:t xml:space="preserve">La reflexividad es el reconocimiento explícito de que el investigador es parte del instrumento: su posición social, sus marcos teóricos, sus compromisos políticos, sus afectos y sus limitaciones sensoriales configuran lo que puede ver. En los laboratorios, esta dimensión aparece especialmente en Observación Participante (donde el OBSERVADOR es un nodo más de la red), en Foto-voz (donde la imagen del sujeto prevalece sobre la interpretación del analista) y en Mapeo Participativo (donde el mapa es co-producido). El estudiantado debe llevar un diario metodológico paralelo al diario de campo: en el primero, registra las decisiones analíticas; en el segundo, la evidencia. La separación de estos dos registros es condición de confirmabilidad.</w:t>
      </w:r>
    </w:p>
    <w:p>
      <w:pPr>
        <w:pStyle w:val="Heading2"/>
        <w:spacing w:after="140" w:before="280"/>
      </w:pPr>
      <w:r>
        <w:rPr>
          <w:rFonts w:ascii="Arial" w:cs="Arial" w:eastAsia="Arial" w:hAnsi="Arial"/>
          <w:b/>
          <w:bCs/>
          <w:color w:val="1F4E79"/>
          <w:sz w:val="26"/>
          <w:szCs w:val="26"/>
        </w:rPr>
        <w:t xml:space="preserve">2.5. El papel de Python en un método cualitativo</w:t>
      </w:r>
    </w:p>
    <w:p>
      <w:pPr>
        <w:spacing w:after="120" w:line="300"/>
        <w:jc w:val="both"/>
      </w:pPr>
      <w:r>
        <w:rPr>
          <w:rFonts w:ascii="Arial" w:cs="Arial" w:eastAsia="Arial" w:hAnsi="Arial"/>
          <w:b w:val="false"/>
          <w:bCs w:val="false"/>
          <w:i w:val="false"/>
          <w:iCs w:val="false"/>
          <w:color w:val="000000"/>
          <w:sz w:val="22"/>
          <w:szCs w:val="22"/>
        </w:rPr>
        <w:t xml:space="preserve">La incorporación de técnicas computacionales —vectorización TF-IDF, clustering, modelos de tópicos, redes— en investigación cualitativa no convierte al método en cuantitativo ni lo deshumaniza. Lo que cambia es la escala tratable y la trazabilidad del procedimiento. Donde un investigador podía codificar a mano 30 entrevistas, con Python puede codificar 3000; donde podía inspeccionar visualmente una matriz de co-ocurrencias, puede detectar comunidades con algoritmo de Louvain. El riesgo simétrico es el olvido del dato primario: ninguna métrica sustituye la lectura lenta. Un uso virtuoso combina distant reading (la vista aérea del corpus) con close reading (la lectura densa de segmentos críticos). Todos los laboratorios del paquete están diseñados para facilitar este vaivén.</w:t>
      </w:r>
    </w:p>
    <w:p>
      <w:pPr>
        <w:pStyle w:val="Heading1"/>
        <w:pageBreakBefore/>
        <w:spacing w:after="200" w:before="360"/>
      </w:pPr>
      <w:r>
        <w:rPr>
          <w:rFonts w:ascii="Arial" w:cs="Arial" w:eastAsia="Arial" w:hAnsi="Arial"/>
          <w:b/>
          <w:bCs/>
          <w:color w:val="1F4E79"/>
          <w:sz w:val="32"/>
          <w:szCs w:val="32"/>
        </w:rPr>
        <w:t xml:space="preserve">3. Laboratorio 01 — Entrevistas semi-estructuradas</w:t>
      </w:r>
    </w:p>
    <w:p>
      <w:pPr>
        <w:pStyle w:val="Heading2"/>
        <w:spacing w:after="140" w:before="280"/>
      </w:pPr>
      <w:r>
        <w:rPr>
          <w:rFonts w:ascii="Arial" w:cs="Arial" w:eastAsia="Arial" w:hAnsi="Arial"/>
          <w:b/>
          <w:bCs/>
          <w:color w:val="1F4E79"/>
          <w:sz w:val="26"/>
          <w:szCs w:val="26"/>
        </w:rPr>
        <w:t xml:space="preserve">3.1. Fundamentación teórica</w:t>
      </w:r>
    </w:p>
    <w:p>
      <w:pPr>
        <w:spacing w:after="120" w:line="300"/>
        <w:jc w:val="both"/>
      </w:pPr>
      <w:r>
        <w:rPr>
          <w:rFonts w:ascii="Arial" w:cs="Arial" w:eastAsia="Arial" w:hAnsi="Arial"/>
          <w:b w:val="false"/>
          <w:bCs w:val="false"/>
          <w:i w:val="false"/>
          <w:iCs w:val="false"/>
          <w:color w:val="000000"/>
          <w:sz w:val="22"/>
          <w:szCs w:val="22"/>
        </w:rPr>
        <w:t xml:space="preserve">La entrevista semi-estructurada es el método matriz de la tradición cualitativa contemporánea. Hereda del psicoanálisis la escucha asimétrica, de la antropología el diálogo etnográfico (Malinowski, Boas) y de la sociología clínica la reconstrucción biográfica (Chicago School). Su fundamento teórico contemporáneo se articula alrededor de la Grounded Theory de Glaser y Strauss (1967), reformulada por Strauss y Corbin (1990) y posteriormente por Charmaz (2006) en clave constructivista. La hipótesis fuerte es que la teoría social puede y debe emerger inductivamente desde los datos, no aplicarse deductivamente a ellos.</w:t>
      </w:r>
    </w:p>
    <w:p>
      <w:pPr>
        <w:spacing w:after="120" w:line="300"/>
        <w:jc w:val="both"/>
      </w:pPr>
      <w:r>
        <w:rPr>
          <w:rFonts w:ascii="Arial" w:cs="Arial" w:eastAsia="Arial" w:hAnsi="Arial"/>
          <w:b w:val="false"/>
          <w:bCs w:val="false"/>
          <w:i w:val="false"/>
          <w:iCs w:val="false"/>
          <w:color w:val="000000"/>
          <w:sz w:val="22"/>
          <w:szCs w:val="22"/>
        </w:rPr>
        <w:t xml:space="preserve">En la tradición grounded, la entrevista no es un cuestionario verbal: es un dispositivo dialógico destinado a producir datos cuya densidad categorial permita la comparación constante (Glaser), la codificación abierta-axial-selectiva (Strauss) y la saturación teórica. Se distingue de la entrevista estructurada —idéntica para todos los informantes, replicable— y de la no estructurada —conversacional abierta, propia del registro biográfico— por su guía flexible de tópicos, que garantiza cobertura temática sin sacrificar la emergencia.</w:t>
      </w:r>
    </w:p>
    <w:p>
      <w:pPr>
        <w:pStyle w:val="Heading2"/>
        <w:spacing w:after="140" w:before="280"/>
      </w:pPr>
      <w:r>
        <w:rPr>
          <w:rFonts w:ascii="Arial" w:cs="Arial" w:eastAsia="Arial" w:hAnsi="Arial"/>
          <w:b/>
          <w:bCs/>
          <w:color w:val="1F4E79"/>
          <w:sz w:val="26"/>
          <w:szCs w:val="26"/>
        </w:rPr>
        <w:t xml:space="preserve">3.2. Supuestos</w:t>
      </w:r>
    </w:p>
    <w:p>
      <w:pPr>
        <w:pStyle w:val="Heading3"/>
        <w:spacing w:after="100" w:before="220"/>
      </w:pPr>
      <w:r>
        <w:rPr>
          <w:rFonts w:ascii="Arial" w:cs="Arial" w:eastAsia="Arial" w:hAnsi="Arial"/>
          <w:b/>
          <w:bCs/>
          <w:color w:val="2E75B6"/>
          <w:sz w:val="23"/>
          <w:szCs w:val="23"/>
        </w:rPr>
        <w:t xml:space="preserve">Ontológicos</w:t>
      </w:r>
    </w:p>
    <w:p>
      <w:pPr>
        <w:spacing w:after="120" w:line="300"/>
        <w:jc w:val="both"/>
      </w:pPr>
      <w:r>
        <w:rPr>
          <w:rFonts w:ascii="Arial" w:cs="Arial" w:eastAsia="Arial" w:hAnsi="Arial"/>
          <w:b w:val="false"/>
          <w:bCs w:val="false"/>
          <w:i w:val="false"/>
          <w:iCs w:val="false"/>
          <w:color w:val="000000"/>
          <w:sz w:val="22"/>
          <w:szCs w:val="22"/>
        </w:rPr>
        <w:t xml:space="preserve">La realidad social accesible por entrevista es una realidad interpretada: lo que el informante dice no es un reporte transparente sobre un hecho externo, sino una construcción situada que articula memoria, identidad, audiencia imaginada y posición enunciativa. El pescador artesanal que afirma «aquí la veda no se respeta porque la gente tiene que comer» no está proporcionando una medición de incumplimiento: está haciendo una declaración normativa que vincula sobrevivencia, legitimidad moral y crítica institucional.</w:t>
      </w:r>
    </w:p>
    <w:p>
      <w:pPr>
        <w:pStyle w:val="Heading3"/>
        <w:spacing w:after="100" w:before="220"/>
      </w:pPr>
      <w:r>
        <w:rPr>
          <w:rFonts w:ascii="Arial" w:cs="Arial" w:eastAsia="Arial" w:hAnsi="Arial"/>
          <w:b/>
          <w:bCs/>
          <w:color w:val="2E75B6"/>
          <w:sz w:val="23"/>
          <w:szCs w:val="23"/>
        </w:rPr>
        <w:t xml:space="preserve">Epistemológicos</w:t>
      </w:r>
    </w:p>
    <w:p>
      <w:pPr>
        <w:spacing w:after="120" w:line="300"/>
        <w:jc w:val="both"/>
      </w:pPr>
      <w:r>
        <w:rPr>
          <w:rFonts w:ascii="Arial" w:cs="Arial" w:eastAsia="Arial" w:hAnsi="Arial"/>
          <w:b w:val="false"/>
          <w:bCs w:val="false"/>
          <w:i w:val="false"/>
          <w:iCs w:val="false"/>
          <w:color w:val="000000"/>
          <w:sz w:val="22"/>
          <w:szCs w:val="22"/>
        </w:rPr>
        <w:t xml:space="preserve">El conocimiento producido por entrevista es co-construido entre investigador e informante. Los sesgos del entrevistador (habitus, lenguaje, vestimenta, género, edad) forman parte del instrumento y no pueden eliminarse, sólo reconocerse y gestionarse. La validez se sostiene en la triangulación con otras fuentes, el member checking y la saturación teórica.</w:t>
      </w:r>
    </w:p>
    <w:p>
      <w:pPr>
        <w:pStyle w:val="Heading3"/>
        <w:spacing w:after="100" w:before="220"/>
      </w:pPr>
      <w:r>
        <w:rPr>
          <w:rFonts w:ascii="Arial" w:cs="Arial" w:eastAsia="Arial" w:hAnsi="Arial"/>
          <w:b/>
          <w:bCs/>
          <w:color w:val="2E75B6"/>
          <w:sz w:val="23"/>
          <w:szCs w:val="23"/>
        </w:rPr>
        <w:t xml:space="preserve">Metodológicos</w:t>
      </w:r>
    </w:p>
    <w:p>
      <w:pPr>
        <w:spacing w:after="120" w:line="300"/>
        <w:jc w:val="both"/>
      </w:pPr>
      <w:r>
        <w:rPr>
          <w:rFonts w:ascii="Arial" w:cs="Arial" w:eastAsia="Arial" w:hAnsi="Arial"/>
          <w:b w:val="false"/>
          <w:bCs w:val="false"/>
          <w:i w:val="false"/>
          <w:iCs w:val="false"/>
          <w:color w:val="000000"/>
          <w:sz w:val="22"/>
          <w:szCs w:val="22"/>
        </w:rPr>
        <w:t xml:space="preserve">Se asume que: (i) la muestra es teórica y no probabilística; (ii) su tamaño se decide por saturación —momento en el que nuevas entrevistas dejan de producir categorías nuevas—; (iii) la codificación procede en tres fases acumulativas (abierta, axial, selectiva); (iv) dos o más codificadores mejoran la fiabilidad; y (v) las divergencias de codificación son oportunidad analítica, no error a suprimir.</w:t>
      </w:r>
    </w:p>
    <w:p>
      <w:pPr>
        <w:pStyle w:val="Heading2"/>
        <w:spacing w:after="140" w:before="280"/>
      </w:pPr>
      <w:r>
        <w:rPr>
          <w:rFonts w:ascii="Arial" w:cs="Arial" w:eastAsia="Arial" w:hAnsi="Arial"/>
          <w:b/>
          <w:bCs/>
          <w:color w:val="1F4E79"/>
          <w:sz w:val="26"/>
          <w:szCs w:val="26"/>
        </w:rPr>
        <w:t xml:space="preserve">3.3. Lógica metodológica</w:t>
      </w:r>
    </w:p>
    <w:p>
      <w:pPr>
        <w:spacing w:after="120" w:line="300"/>
        <w:jc w:val="both"/>
      </w:pPr>
      <w:r>
        <w:rPr>
          <w:rFonts w:ascii="Arial" w:cs="Arial" w:eastAsia="Arial" w:hAnsi="Arial"/>
          <w:b w:val="false"/>
          <w:bCs w:val="false"/>
          <w:i w:val="false"/>
          <w:iCs w:val="false"/>
          <w:color w:val="000000"/>
          <w:sz w:val="22"/>
          <w:szCs w:val="22"/>
        </w:rPr>
        <w:t xml:space="preserve">El ciclo completo incluye seis fases: diseño del guion, muestreo teórico, realización, transcripción, codificación multinivel y construcción teórica. La guía de entrevista debe construirse alrededor de ejes temáticos abiertos, no de preguntas cerradas. Una buena pregunta semi-estructurada invita a narrativa («Cuénteme cómo era la pesca aquí cuando usted empezó») y no induce valencia («¿No le parece que la pesca ha empeorado?»). El entrevistador se prepara para repreguntar sin interrumpir, tolerar silencios y pedir ejemplos concretos siempre que aparezca una generalización.</w:t>
      </w:r>
    </w:p>
    <w:p>
      <w:pPr>
        <w:spacing w:after="120" w:line="300"/>
        <w:jc w:val="both"/>
      </w:pPr>
      <w:r>
        <w:rPr>
          <w:rFonts w:ascii="Arial" w:cs="Arial" w:eastAsia="Arial" w:hAnsi="Arial"/>
          <w:b w:val="false"/>
          <w:bCs w:val="false"/>
          <w:i w:val="false"/>
          <w:iCs w:val="false"/>
          <w:color w:val="000000"/>
          <w:sz w:val="22"/>
          <w:szCs w:val="22"/>
        </w:rPr>
        <w:t xml:space="preserve">La codificación abierta segmenta el corpus en unidades de análisis y les asigna etiquetas descriptivas de bajo nivel inferencial. La codificación axial agrupa códigos descriptivos en categorías más abstractas y establece relaciones entre ellas (causales, consecuenciales, condicionales). La codificación selectiva identifica una categoría núcleo que integra el resto y sostiene la teoría emergente.</w:t>
      </w:r>
    </w:p>
    <w:p>
      <w:pPr>
        <w:pStyle w:val="Heading2"/>
        <w:spacing w:after="140" w:before="280"/>
      </w:pPr>
      <w:r>
        <w:rPr>
          <w:rFonts w:ascii="Arial" w:cs="Arial" w:eastAsia="Arial" w:hAnsi="Arial"/>
          <w:b/>
          <w:bCs/>
          <w:color w:val="1F4E79"/>
          <w:sz w:val="26"/>
          <w:szCs w:val="26"/>
        </w:rPr>
        <w:t xml:space="preserve">3.4. Técnica</w:t>
      </w:r>
    </w:p>
    <w:p>
      <w:pPr>
        <w:spacing w:after="120" w:line="300"/>
        <w:jc w:val="both"/>
      </w:pPr>
      <w:r>
        <w:rPr>
          <w:rFonts w:ascii="Arial" w:cs="Arial" w:eastAsia="Arial" w:hAnsi="Arial"/>
          <w:b w:val="false"/>
          <w:bCs w:val="false"/>
          <w:i w:val="false"/>
          <w:iCs w:val="false"/>
          <w:color w:val="000000"/>
          <w:sz w:val="22"/>
          <w:szCs w:val="22"/>
        </w:rPr>
        <w:t xml:space="preserve">En el laboratorio, la técnica se operacionaliza en los siguientes pasos:</w:t>
      </w:r>
    </w:p>
    <w:p>
      <w:pPr>
        <w:pStyle w:val="ListParagraph"/>
        <w:numPr>
          <w:ilvl w:val="0"/>
          <w:numId w:val="2"/>
        </w:numPr>
        <w:spacing w:after="60" w:line="280"/>
        <w:jc w:val="both"/>
      </w:pPr>
      <w:r>
        <w:rPr>
          <w:rFonts w:ascii="Arial" w:cs="Arial" w:eastAsia="Arial" w:hAnsi="Arial"/>
          <w:sz w:val="22"/>
          <w:szCs w:val="22"/>
        </w:rPr>
        <w:t xml:space="preserve">Generación sintética de un corpus de 12 entrevistas a actores del litoral costarricense (pescadores, piangüeras, funcionarios de INCOPESCA y MINAE, operadores turísticos, bióloga marina, líderes comunitarios), con 8 a 14 segmentos cada una.</w:t>
      </w:r>
    </w:p>
    <w:p>
      <w:pPr>
        <w:pStyle w:val="ListParagraph"/>
        <w:numPr>
          <w:ilvl w:val="0"/>
          <w:numId w:val="2"/>
        </w:numPr>
        <w:spacing w:after="60" w:line="280"/>
        <w:jc w:val="both"/>
      </w:pPr>
      <w:r>
        <w:rPr>
          <w:rFonts w:ascii="Arial" w:cs="Arial" w:eastAsia="Arial" w:hAnsi="Arial"/>
          <w:sz w:val="22"/>
          <w:szCs w:val="22"/>
        </w:rPr>
        <w:t xml:space="preserve">Codificación automatizada por dos codificadores simulados. El codificador A aplica un diccionario de pistas de palabra clave (keyword-in-context). El codificador B replica al A con 10% de divergencia aleatoria, emulando la variabilidad humana real.</w:t>
      </w:r>
    </w:p>
    <w:p>
      <w:pPr>
        <w:pStyle w:val="ListParagraph"/>
        <w:numPr>
          <w:ilvl w:val="0"/>
          <w:numId w:val="2"/>
        </w:numPr>
        <w:spacing w:after="60" w:line="280"/>
        <w:jc w:val="both"/>
      </w:pPr>
      <w:r>
        <w:rPr>
          <w:rFonts w:ascii="Arial" w:cs="Arial" w:eastAsia="Arial" w:hAnsi="Arial"/>
          <w:sz w:val="22"/>
          <w:szCs w:val="22"/>
        </w:rPr>
        <w:t xml:space="preserve">Medición de fiabilidad intercodificadores con el coeficiente κ de Cohen (1960), que corrige la proporción de acuerdo observada por la proporción de acuerdo esperada por azar.</w:t>
      </w:r>
    </w:p>
    <w:p>
      <w:pPr>
        <w:pStyle w:val="ListParagraph"/>
        <w:numPr>
          <w:ilvl w:val="0"/>
          <w:numId w:val="2"/>
        </w:numPr>
        <w:spacing w:after="60" w:line="280"/>
        <w:jc w:val="both"/>
      </w:pPr>
      <w:r>
        <w:rPr>
          <w:rFonts w:ascii="Arial" w:cs="Arial" w:eastAsia="Arial" w:hAnsi="Arial"/>
          <w:sz w:val="22"/>
          <w:szCs w:val="22"/>
        </w:rPr>
        <w:t xml:space="preserve">Construcción de una matriz de co-ocurrencia entre códigos (dos códigos co-ocurren si aparecen en la misma entrevista) y visualización como red temática en la que los nodos son códigos, el tamaño representa frecuencia y el grosor de la arista la co-ocurrencia.</w:t>
      </w:r>
    </w:p>
    <w:p>
      <w:pPr>
        <w:pStyle w:val="Heading3"/>
        <w:spacing w:after="100" w:before="220"/>
      </w:pPr>
      <w:r>
        <w:rPr>
          <w:rFonts w:ascii="Arial" w:cs="Arial" w:eastAsia="Arial" w:hAnsi="Arial"/>
          <w:b/>
          <w:bCs/>
          <w:color w:val="2E75B6"/>
          <w:sz w:val="23"/>
          <w:szCs w:val="23"/>
        </w:rPr>
        <w:t xml:space="preserve">Expresión formal del κ de Cohen</w:t>
      </w:r>
    </w:p>
    <w:p>
      <w:pPr>
        <w:pBdr>
          <w:top w:val="single" w:color="DDDDDD" w:sz="4" w:space="4"/>
          <w:bottom w:val="single" w:color="DDDDDD" w:sz="4" w:space="4"/>
          <w:left w:val="single" w:color="DDDDDD" w:sz="4" w:space="4"/>
          <w:right w:val="single" w:color="DDDDDD" w:sz="4" w:space="4"/>
        </w:pBdr>
        <w:shd w:fill="F5F5F5" w:val="clear"/>
        <w:spacing w:after="120" w:before="80" w:line="260"/>
        <w:ind w:left="360" w:right="360"/>
      </w:pPr>
      <w:r>
        <w:rPr>
          <w:rFonts w:ascii="Consolas" w:cs="Consolas" w:eastAsia="Consolas" w:hAnsi="Consolas"/>
          <w:color w:val="333333"/>
          <w:sz w:val="20"/>
          <w:szCs w:val="20"/>
        </w:rPr>
        <w:t xml:space="preserve">κ = (P_o − P_e) / (1 − P_e)</w:t>
      </w:r>
    </w:p>
    <w:p>
      <w:pPr>
        <w:spacing w:after="120" w:line="300"/>
        <w:jc w:val="both"/>
      </w:pPr>
      <w:r>
        <w:rPr>
          <w:rFonts w:ascii="Arial" w:cs="Arial" w:eastAsia="Arial" w:hAnsi="Arial"/>
          <w:b w:val="false"/>
          <w:bCs w:val="false"/>
          <w:i w:val="false"/>
          <w:iCs w:val="false"/>
          <w:color w:val="000000"/>
          <w:sz w:val="22"/>
          <w:szCs w:val="22"/>
        </w:rPr>
        <w:t xml:space="preserve">Donde P_o es la proporción observada de acuerdo y P_e la proporción esperada por azar. Landis y Koch (1977) sugieren la siguiente escala de interpretación: κ &lt; 0.20 pobre; 0.21–0.40 débil; 0.41–0.60 moderada; 0.61–0.80 sustancial; &gt; 0.80 casi perfecta. En fases exploratorias 0.60 es aceptable; para publicación se exige normalmente κ ≥ 0.70.</w:t>
      </w:r>
    </w:p>
    <w:p>
      <w:pPr>
        <w:pStyle w:val="Heading2"/>
        <w:spacing w:after="140" w:before="280"/>
      </w:pPr>
      <w:r>
        <w:rPr>
          <w:rFonts w:ascii="Arial" w:cs="Arial" w:eastAsia="Arial" w:hAnsi="Arial"/>
          <w:b/>
          <w:bCs/>
          <w:color w:val="1F4E79"/>
          <w:sz w:val="26"/>
          <w:szCs w:val="26"/>
        </w:rPr>
        <w:t xml:space="preserve">3.5. Implementación computacional</w:t>
      </w:r>
    </w:p>
    <w:p>
      <w:pPr>
        <w:spacing w:after="120" w:line="300"/>
        <w:jc w:val="both"/>
      </w:pPr>
      <w:r>
        <w:rPr>
          <w:rFonts w:ascii="Arial" w:cs="Arial" w:eastAsia="Arial" w:hAnsi="Arial"/>
          <w:b w:val="false"/>
          <w:bCs w:val="false"/>
          <w:i w:val="false"/>
          <w:iCs w:val="false"/>
          <w:color w:val="000000"/>
          <w:sz w:val="22"/>
          <w:szCs w:val="22"/>
        </w:rPr>
        <w:t xml:space="preserve">El laboratorio utiliza pandas para la gestión del corpus, scikit-learn para el cálculo de κ, networkx para la construcción de la red axial y matplotlib para la visualización. Aspectos pedagógicamente destacables:</w:t>
      </w:r>
    </w:p>
    <w:p>
      <w:pPr>
        <w:pStyle w:val="ListParagraph"/>
        <w:numPr>
          <w:ilvl w:val="0"/>
          <w:numId w:val="2"/>
        </w:numPr>
        <w:spacing w:after="60" w:line="280"/>
        <w:jc w:val="both"/>
      </w:pPr>
      <w:r>
        <w:rPr>
          <w:rFonts w:ascii="Arial" w:cs="Arial" w:eastAsia="Arial" w:hAnsi="Arial"/>
          <w:sz w:val="22"/>
          <w:szCs w:val="22"/>
        </w:rPr>
        <w:t xml:space="preserve">La semilla SEED=2026 garantiza reproducibilidad: distintas ejecuciones producen resultados idénticos, lo cual facilita la verificación didáctica.</w:t>
      </w:r>
    </w:p>
    <w:p>
      <w:pPr>
        <w:pStyle w:val="ListParagraph"/>
        <w:numPr>
          <w:ilvl w:val="0"/>
          <w:numId w:val="2"/>
        </w:numPr>
        <w:spacing w:after="60" w:line="280"/>
        <w:jc w:val="both"/>
      </w:pPr>
      <w:r>
        <w:rPr>
          <w:rFonts w:ascii="Arial" w:cs="Arial" w:eastAsia="Arial" w:hAnsi="Arial"/>
          <w:sz w:val="22"/>
          <w:szCs w:val="22"/>
        </w:rPr>
        <w:t xml:space="preserve">El diccionario PISTAS emula un libro de códigos; la estudiante puede modificarlo para observar cómo cambia κ, ejemplo operacional de cómo la calidad del libro de códigos determina la fiabilidad.</w:t>
      </w:r>
    </w:p>
    <w:p>
      <w:pPr>
        <w:pStyle w:val="ListParagraph"/>
        <w:numPr>
          <w:ilvl w:val="0"/>
          <w:numId w:val="2"/>
        </w:numPr>
        <w:spacing w:after="60" w:line="280"/>
        <w:jc w:val="both"/>
      </w:pPr>
      <w:r>
        <w:rPr>
          <w:rFonts w:ascii="Arial" w:cs="Arial" w:eastAsia="Arial" w:hAnsi="Arial"/>
          <w:sz w:val="22"/>
          <w:szCs w:val="22"/>
        </w:rPr>
        <w:t xml:space="preserve">La red axial se dibuja con spring-layout (Fruchterman-Reingold), no con un layout arbitrario: la cercanía física entre nodos refleja co-ocurrencia, lo cual es analíticamente significativo.</w:t>
      </w:r>
    </w:p>
    <w:p>
      <w:pPr>
        <w:pStyle w:val="Heading2"/>
        <w:spacing w:after="140" w:before="280"/>
      </w:pPr>
      <w:r>
        <w:rPr>
          <w:rFonts w:ascii="Arial" w:cs="Arial" w:eastAsia="Arial" w:hAnsi="Arial"/>
          <w:b/>
          <w:bCs/>
          <w:color w:val="1F4E79"/>
          <w:sz w:val="26"/>
          <w:szCs w:val="26"/>
        </w:rPr>
        <w:t xml:space="preserve">3.6. Métricas de calidad y limitaciones</w:t>
      </w:r>
    </w:p>
    <w:p>
      <w:pPr>
        <w:spacing w:after="120" w:line="300"/>
        <w:jc w:val="both"/>
      </w:pPr>
      <w:r>
        <w:rPr>
          <w:rFonts w:ascii="Arial" w:cs="Arial" w:eastAsia="Arial" w:hAnsi="Arial"/>
          <w:b w:val="false"/>
          <w:bCs w:val="false"/>
          <w:i w:val="false"/>
          <w:iCs w:val="false"/>
          <w:color w:val="000000"/>
          <w:sz w:val="22"/>
          <w:szCs w:val="22"/>
        </w:rPr>
        <w:t xml:space="preserve">Dos limitaciones estructurales merecen explicitarse. Primero, la codificación por diccionario es una aproximación pobre a la codificación humana real: no detecta ironía, metáfora ni contradicción performativa. En investigación empírica se recomienda combinar diccionarios con clasificadores supervisados entrenados con un subcorpus codificado manualmente. Segundo, la matriz de co-ocurrencia a nivel de entrevista es menos granular que la co-ocurrencia a nivel de segmento: para análisis fino conviene disminuir la unidad de análisis a párrafo o turno.</w:t>
      </w:r>
    </w:p>
    <w:p>
      <w:pPr>
        <w:pStyle w:val="Heading2"/>
        <w:spacing w:after="140" w:before="280"/>
      </w:pPr>
      <w:r>
        <w:rPr>
          <w:rFonts w:ascii="Arial" w:cs="Arial" w:eastAsia="Arial" w:hAnsi="Arial"/>
          <w:b/>
          <w:bCs/>
          <w:color w:val="1F4E79"/>
          <w:sz w:val="26"/>
          <w:szCs w:val="26"/>
        </w:rPr>
        <w:t xml:space="preserve">3.7. Consideraciones éticas y anclaje territorial</w:t>
      </w:r>
    </w:p>
    <w:p>
      <w:pPr>
        <w:spacing w:after="120" w:line="300"/>
        <w:jc w:val="both"/>
      </w:pPr>
      <w:r>
        <w:rPr>
          <w:rFonts w:ascii="Arial" w:cs="Arial" w:eastAsia="Arial" w:hAnsi="Arial"/>
          <w:b w:val="false"/>
          <w:bCs w:val="false"/>
          <w:i w:val="false"/>
          <w:iCs w:val="false"/>
          <w:color w:val="000000"/>
          <w:sz w:val="22"/>
          <w:szCs w:val="22"/>
        </w:rPr>
        <w:t xml:space="preserve">La entrevista implica relación asimétrica de poder. El consentimiento informado debe ser libre y revocable; el anonimato se protege especialmente en comunidades pequeñas donde pocos rasgos identifican a la persona. En el contexto costarricense, los comités éticos universitarios (CEC-UCR, CECI-UNED) revisan protocolos donde participan pescadores artesanales o piangüeras, con especial atención a no instrumentalizar el conocimiento tradicional. La devolución de resultados a las comunidades no es un gesto cortés, sino condición de la investigación responsable.</w:t>
      </w:r>
    </w:p>
    <w:p>
      <w:pPr>
        <w:pStyle w:val="Heading1"/>
        <w:pageBreakBefore/>
        <w:spacing w:after="200" w:before="360"/>
      </w:pPr>
      <w:r>
        <w:rPr>
          <w:rFonts w:ascii="Arial" w:cs="Arial" w:eastAsia="Arial" w:hAnsi="Arial"/>
          <w:b/>
          <w:bCs/>
          <w:color w:val="1F4E79"/>
          <w:sz w:val="32"/>
          <w:szCs w:val="32"/>
        </w:rPr>
        <w:t xml:space="preserve">4. Laboratorio 02 — Grupos focales</w:t>
      </w:r>
    </w:p>
    <w:p>
      <w:pPr>
        <w:pStyle w:val="Heading2"/>
        <w:spacing w:after="140" w:before="280"/>
      </w:pPr>
      <w:r>
        <w:rPr>
          <w:rFonts w:ascii="Arial" w:cs="Arial" w:eastAsia="Arial" w:hAnsi="Arial"/>
          <w:b/>
          <w:bCs/>
          <w:color w:val="1F4E79"/>
          <w:sz w:val="26"/>
          <w:szCs w:val="26"/>
        </w:rPr>
        <w:t xml:space="preserve">4.1. Fundamentación teórica</w:t>
      </w:r>
    </w:p>
    <w:p>
      <w:pPr>
        <w:spacing w:after="120" w:line="300"/>
        <w:jc w:val="both"/>
      </w:pPr>
      <w:r>
        <w:rPr>
          <w:rFonts w:ascii="Arial" w:cs="Arial" w:eastAsia="Arial" w:hAnsi="Arial"/>
          <w:b w:val="false"/>
          <w:bCs w:val="false"/>
          <w:i w:val="false"/>
          <w:iCs w:val="false"/>
          <w:color w:val="000000"/>
          <w:sz w:val="22"/>
          <w:szCs w:val="22"/>
        </w:rPr>
        <w:t xml:space="preserve">El grupo focal moderno nace en la sociología aplicada de Merton y Lazarsfeld (1946) en el contexto de investigación de audiencias durante la Segunda Guerra Mundial, y se consolida como método en Morgan (1988, 2019). Su justificación teórica descansa en el interaccionismo simbólico de Blumer (1969): el significado no es propiedad individual, sino efecto de la interacción; lo que las personas «realmente piensan» sobre un tema emerge cuando deben ajustar su postura frente a la de otros similares a ellas. El grupo focal produce, por tanto, un tipo de dato que la entrevista individual no puede producir: la dinámica de acuerdo, disenso, auto-censura, ajuste normativo y construcción colectiva de consenso.</w:t>
      </w:r>
    </w:p>
    <w:p>
      <w:pPr>
        <w:pStyle w:val="Heading2"/>
        <w:spacing w:after="140" w:before="280"/>
      </w:pPr>
      <w:r>
        <w:rPr>
          <w:rFonts w:ascii="Arial" w:cs="Arial" w:eastAsia="Arial" w:hAnsi="Arial"/>
          <w:b/>
          <w:bCs/>
          <w:color w:val="1F4E79"/>
          <w:sz w:val="26"/>
          <w:szCs w:val="26"/>
        </w:rPr>
        <w:t xml:space="preserve">4.2. Supuestos</w:t>
      </w:r>
    </w:p>
    <w:p>
      <w:pPr>
        <w:pStyle w:val="Heading3"/>
        <w:spacing w:after="100" w:before="220"/>
      </w:pPr>
      <w:r>
        <w:rPr>
          <w:rFonts w:ascii="Arial" w:cs="Arial" w:eastAsia="Arial" w:hAnsi="Arial"/>
          <w:b/>
          <w:bCs/>
          <w:color w:val="2E75B6"/>
          <w:sz w:val="23"/>
          <w:szCs w:val="23"/>
        </w:rPr>
        <w:t xml:space="preserve">Ontológicos</w:t>
      </w:r>
    </w:p>
    <w:p>
      <w:pPr>
        <w:spacing w:after="120" w:line="300"/>
        <w:jc w:val="both"/>
      </w:pPr>
      <w:r>
        <w:rPr>
          <w:rFonts w:ascii="Arial" w:cs="Arial" w:eastAsia="Arial" w:hAnsi="Arial"/>
          <w:b w:val="false"/>
          <w:bCs w:val="false"/>
          <w:i w:val="false"/>
          <w:iCs w:val="false"/>
          <w:color w:val="000000"/>
          <w:sz w:val="22"/>
          <w:szCs w:val="22"/>
        </w:rPr>
        <w:t xml:space="preserve">El significado social es colectivo antes que individual. Las opiniones individuales reportadas en encuestas son, en gran medida, subproductos situacionales de interacciones sociales previas. El grupo focal reproduce, en miniatura, esas interacciones.</w:t>
      </w:r>
    </w:p>
    <w:p>
      <w:pPr>
        <w:pStyle w:val="Heading3"/>
        <w:spacing w:after="100" w:before="220"/>
      </w:pPr>
      <w:r>
        <w:rPr>
          <w:rFonts w:ascii="Arial" w:cs="Arial" w:eastAsia="Arial" w:hAnsi="Arial"/>
          <w:b/>
          <w:bCs/>
          <w:color w:val="2E75B6"/>
          <w:sz w:val="23"/>
          <w:szCs w:val="23"/>
        </w:rPr>
        <w:t xml:space="preserve">Epistemológicos</w:t>
      </w:r>
    </w:p>
    <w:p>
      <w:pPr>
        <w:spacing w:after="120" w:line="300"/>
        <w:jc w:val="both"/>
      </w:pPr>
      <w:r>
        <w:rPr>
          <w:rFonts w:ascii="Arial" w:cs="Arial" w:eastAsia="Arial" w:hAnsi="Arial"/>
          <w:b w:val="false"/>
          <w:bCs w:val="false"/>
          <w:i w:val="false"/>
          <w:iCs w:val="false"/>
          <w:color w:val="000000"/>
          <w:sz w:val="22"/>
          <w:szCs w:val="22"/>
        </w:rPr>
        <w:t xml:space="preserve">Se privilegia la emergencia sobre la exhaustividad. El objetivo no es obtener la opinión de cada participante sobre cada tópico, sino observar qué temas emergen espontáneamente, con qué intensidad y con qué configuración de acuerdo/disenso. La facilitación debe ser mínima pero estructurada.</w:t>
      </w:r>
    </w:p>
    <w:p>
      <w:pPr>
        <w:pStyle w:val="Heading3"/>
        <w:spacing w:after="100" w:before="220"/>
      </w:pPr>
      <w:r>
        <w:rPr>
          <w:rFonts w:ascii="Arial" w:cs="Arial" w:eastAsia="Arial" w:hAnsi="Arial"/>
          <w:b/>
          <w:bCs/>
          <w:color w:val="2E75B6"/>
          <w:sz w:val="23"/>
          <w:szCs w:val="23"/>
        </w:rPr>
        <w:t xml:space="preserve">Metodológicos</w:t>
      </w:r>
    </w:p>
    <w:p>
      <w:pPr>
        <w:spacing w:after="120" w:line="300"/>
        <w:jc w:val="both"/>
      </w:pPr>
      <w:r>
        <w:rPr>
          <w:rFonts w:ascii="Arial" w:cs="Arial" w:eastAsia="Arial" w:hAnsi="Arial"/>
          <w:b w:val="false"/>
          <w:bCs w:val="false"/>
          <w:i w:val="false"/>
          <w:iCs w:val="false"/>
          <w:color w:val="000000"/>
          <w:sz w:val="22"/>
          <w:szCs w:val="22"/>
        </w:rPr>
        <w:t xml:space="preserve">Se postulan homogeneidad interna (los participantes comparten un atributo relevante: piangüeras, pescadores de un mismo golfo) y heterogeneidad externa (distintos grupos focales permiten contrastes intergrupales). El número ideal de participantes por grupo es 6 a 10: por debajo de 6 la dinámica se apaga; por encima de 10 se fragmenta.</w:t>
      </w:r>
    </w:p>
    <w:p>
      <w:pPr>
        <w:pStyle w:val="Heading2"/>
        <w:spacing w:after="140" w:before="280"/>
      </w:pPr>
      <w:r>
        <w:rPr>
          <w:rFonts w:ascii="Arial" w:cs="Arial" w:eastAsia="Arial" w:hAnsi="Arial"/>
          <w:b/>
          <w:bCs/>
          <w:color w:val="1F4E79"/>
          <w:sz w:val="26"/>
          <w:szCs w:val="26"/>
        </w:rPr>
        <w:t xml:space="preserve">4.3. Lógica metodológica</w:t>
      </w:r>
    </w:p>
    <w:p>
      <w:pPr>
        <w:spacing w:after="120" w:line="300"/>
        <w:jc w:val="both"/>
      </w:pPr>
      <w:r>
        <w:rPr>
          <w:rFonts w:ascii="Arial" w:cs="Arial" w:eastAsia="Arial" w:hAnsi="Arial"/>
          <w:b w:val="false"/>
          <w:bCs w:val="false"/>
          <w:i w:val="false"/>
          <w:iCs w:val="false"/>
          <w:color w:val="000000"/>
          <w:sz w:val="22"/>
          <w:szCs w:val="22"/>
        </w:rPr>
        <w:t xml:space="preserve">La sesión dura 90 a 120 minutos y se guía por una agenda con 4 a 6 tópicos. El moderador opera en dos modos complementarios: modo directivo al abrir cada tópico y al cerrar consensos, modo no directivo durante el desarrollo. Un segundo investigador (relator) toma notas de campo sobre dinámica no verbal: quién mira a quién, quién interrumpe, quién calla. El registro audiovisual se transcribe con marcas de turno; la codificación es análoga a la de entrevistas pero añade una dimensión interaccional.</w:t>
      </w:r>
    </w:p>
    <w:p>
      <w:pPr>
        <w:pStyle w:val="Heading2"/>
        <w:spacing w:after="140" w:before="280"/>
      </w:pPr>
      <w:r>
        <w:rPr>
          <w:rFonts w:ascii="Arial" w:cs="Arial" w:eastAsia="Arial" w:hAnsi="Arial"/>
          <w:b/>
          <w:bCs/>
          <w:color w:val="1F4E79"/>
          <w:sz w:val="26"/>
          <w:szCs w:val="26"/>
        </w:rPr>
        <w:t xml:space="preserve">4.4. Técnica</w:t>
      </w:r>
    </w:p>
    <w:p>
      <w:pPr>
        <w:spacing w:after="120" w:line="300"/>
        <w:jc w:val="both"/>
      </w:pPr>
      <w:r>
        <w:rPr>
          <w:rFonts w:ascii="Arial" w:cs="Arial" w:eastAsia="Arial" w:hAnsi="Arial"/>
          <w:b w:val="false"/>
          <w:bCs w:val="false"/>
          <w:i w:val="false"/>
          <w:iCs w:val="false"/>
          <w:color w:val="000000"/>
          <w:sz w:val="22"/>
          <w:szCs w:val="22"/>
        </w:rPr>
        <w:t xml:space="preserve">El laboratorio simula una sesión con 8 piangüeras de Térraba-Sierpe, con roles prefigurados (lideresa, dominante, silenciosa, veterana, nueva, moderada) y probabilidades de intervención calibradas. Cada turno registra: hablante, tema, valencia respecto al turno previo (acuerdo +1, neutral 0, desacuerdo −1) y cambio temático natural. Se computan tres métricas:</w:t>
      </w:r>
    </w:p>
    <w:p>
      <w:pPr>
        <w:pStyle w:val="ListParagraph"/>
        <w:numPr>
          <w:ilvl w:val="0"/>
          <w:numId w:val="2"/>
        </w:numPr>
        <w:spacing w:after="60" w:line="280"/>
        <w:jc w:val="both"/>
      </w:pPr>
      <w:r>
        <w:rPr>
          <w:rFonts w:ascii="Arial" w:cs="Arial" w:eastAsia="Arial" w:hAnsi="Arial"/>
          <w:sz w:val="22"/>
          <w:szCs w:val="22"/>
        </w:rPr>
        <w:t xml:space="preserve">Índice Gini conversacional: aplica la fórmula del Gini económico al número de turnos por participante. Gini = 0 indica equidad perfecta; Gini = 1 monopolio absoluto. Valores &gt; 0.40 señalan que el moderador no está redistribuyendo la palabra.</w:t>
      </w:r>
    </w:p>
    <w:p>
      <w:pPr>
        <w:pStyle w:val="ListParagraph"/>
        <w:numPr>
          <w:ilvl w:val="0"/>
          <w:numId w:val="2"/>
        </w:numPr>
        <w:spacing w:after="60" w:line="280"/>
        <w:jc w:val="both"/>
      </w:pPr>
      <w:r>
        <w:rPr>
          <w:rFonts w:ascii="Arial" w:cs="Arial" w:eastAsia="Arial" w:hAnsi="Arial"/>
          <w:sz w:val="22"/>
          <w:szCs w:val="22"/>
        </w:rPr>
        <w:t xml:space="preserve">Red de valencia (DiGraph): los nodos son participantes; las aristas son dirigidas del hablante actual hacia el hablante previo, con peso igual al saldo de valencia. Aristas verdes indican apoyo; rojas, oposición.</w:t>
      </w:r>
    </w:p>
    <w:p>
      <w:pPr>
        <w:pStyle w:val="ListParagraph"/>
        <w:numPr>
          <w:ilvl w:val="0"/>
          <w:numId w:val="2"/>
        </w:numPr>
        <w:spacing w:after="60" w:line="280"/>
        <w:jc w:val="both"/>
      </w:pPr>
      <w:r>
        <w:rPr>
          <w:rFonts w:ascii="Arial" w:cs="Arial" w:eastAsia="Arial" w:hAnsi="Arial"/>
          <w:sz w:val="22"/>
          <w:szCs w:val="22"/>
        </w:rPr>
        <w:t xml:space="preserve">Saldo temático: media de valencia por tópico, que identifica temas con consenso (&gt; 0.30), debate (entre −0.20 y 0.30) o fractura (&lt; −0.20).</w:t>
      </w:r>
    </w:p>
    <w:p>
      <w:pPr>
        <w:pStyle w:val="Heading2"/>
        <w:spacing w:after="140" w:before="280"/>
      </w:pPr>
      <w:r>
        <w:rPr>
          <w:rFonts w:ascii="Arial" w:cs="Arial" w:eastAsia="Arial" w:hAnsi="Arial"/>
          <w:b/>
          <w:bCs/>
          <w:color w:val="1F4E79"/>
          <w:sz w:val="26"/>
          <w:szCs w:val="26"/>
        </w:rPr>
        <w:t xml:space="preserve">4.5. Implementación computacional</w:t>
      </w:r>
    </w:p>
    <w:p>
      <w:pPr>
        <w:pBdr>
          <w:top w:val="single" w:color="DDDDDD" w:sz="4" w:space="4"/>
          <w:bottom w:val="single" w:color="DDDDDD" w:sz="4" w:space="4"/>
          <w:left w:val="single" w:color="DDDDDD" w:sz="4" w:space="4"/>
          <w:right w:val="single" w:color="DDDDDD" w:sz="4" w:space="4"/>
        </w:pBdr>
        <w:shd w:fill="F5F5F5" w:val="clear"/>
        <w:spacing w:after="120" w:before="80" w:line="260"/>
        <w:ind w:left="360" w:right="360"/>
      </w:pPr>
      <w:r>
        <w:rPr>
          <w:rFonts w:ascii="Consolas" w:cs="Consolas" w:eastAsia="Consolas" w:hAnsi="Consolas"/>
          <w:color w:val="333333"/>
          <w:sz w:val="20"/>
          <w:szCs w:val="20"/>
        </w:rPr>
        <w:t xml:space="preserve">G = gini(conteos.values)   # equidad participativa
G_net = nx.DiGraph()         # red de agreement/disagreement
consenso = df.groupby('tema')['valencia'].mean()</w:t>
      </w:r>
    </w:p>
    <w:p>
      <w:pPr>
        <w:spacing w:after="120" w:line="300"/>
        <w:jc w:val="both"/>
      </w:pPr>
      <w:r>
        <w:rPr>
          <w:rFonts w:ascii="Arial" w:cs="Arial" w:eastAsia="Arial" w:hAnsi="Arial"/>
          <w:b w:val="false"/>
          <w:bCs w:val="false"/>
          <w:i w:val="false"/>
          <w:iCs w:val="false"/>
          <w:color w:val="000000"/>
          <w:sz w:val="22"/>
          <w:szCs w:val="22"/>
        </w:rPr>
        <w:t xml:space="preserve">La simulación calibra la probabilidad de hablar por perfil: el rol «dominante» tiene probabilidad 0.27, la «silenciosa» apenas 0.04. La estudiante puede editar estas probabilidades para observar cómo cambia el Gini y la red. Este ejercicio es valioso porque visibiliza que las dinámicas grupales no son fallas de facilitación: son fenómenos estructurales que requieren diseño.</w:t>
      </w:r>
    </w:p>
    <w:p>
      <w:pPr>
        <w:pStyle w:val="Heading2"/>
        <w:spacing w:after="140" w:before="280"/>
      </w:pPr>
      <w:r>
        <w:rPr>
          <w:rFonts w:ascii="Arial" w:cs="Arial" w:eastAsia="Arial" w:hAnsi="Arial"/>
          <w:b/>
          <w:bCs/>
          <w:color w:val="1F4E79"/>
          <w:sz w:val="26"/>
          <w:szCs w:val="26"/>
        </w:rPr>
        <w:t xml:space="preserve">4.6. Métricas de calidad</w:t>
      </w:r>
    </w:p>
    <w:p>
      <w:pPr>
        <w:spacing w:after="120" w:line="300"/>
        <w:jc w:val="both"/>
      </w:pPr>
      <w:r>
        <w:rPr>
          <w:rFonts w:ascii="Arial" w:cs="Arial" w:eastAsia="Arial" w:hAnsi="Arial"/>
          <w:b w:val="false"/>
          <w:bCs w:val="false"/>
          <w:i w:val="false"/>
          <w:iCs w:val="false"/>
          <w:color w:val="000000"/>
          <w:sz w:val="22"/>
          <w:szCs w:val="22"/>
        </w:rPr>
        <w:t xml:space="preserve">Además del Gini, se sugieren en la literatura: Krippendorff α nominal para consenso categorial (preferible al κ cuando hay más de dos codificadores o niveles no balanceados), análisis de secuencias (sequence analysis) para detectar patrones repetidos turno-a-turno y análisis de entropía temática para cuantificar la exploración del espacio de tópicos.</w:t>
      </w:r>
    </w:p>
    <w:p>
      <w:pPr>
        <w:pStyle w:val="Heading2"/>
        <w:spacing w:after="140" w:before="280"/>
      </w:pPr>
      <w:r>
        <w:rPr>
          <w:rFonts w:ascii="Arial" w:cs="Arial" w:eastAsia="Arial" w:hAnsi="Arial"/>
          <w:b/>
          <w:bCs/>
          <w:color w:val="1F4E79"/>
          <w:sz w:val="26"/>
          <w:szCs w:val="26"/>
        </w:rPr>
        <w:t xml:space="preserve">4.7. Limitaciones</w:t>
      </w:r>
    </w:p>
    <w:p>
      <w:pPr>
        <w:spacing w:after="120" w:line="300"/>
        <w:jc w:val="both"/>
      </w:pPr>
      <w:r>
        <w:rPr>
          <w:rFonts w:ascii="Arial" w:cs="Arial" w:eastAsia="Arial" w:hAnsi="Arial"/>
          <w:b w:val="false"/>
          <w:bCs w:val="false"/>
          <w:i w:val="false"/>
          <w:iCs w:val="false"/>
          <w:color w:val="000000"/>
          <w:sz w:val="22"/>
          <w:szCs w:val="22"/>
        </w:rPr>
        <w:t xml:space="preserve">Tres limitaciones son teóricamente irreducibles. Primero, el efecto groupthink: el grupo puede converger prematuramente en una posición común por presión social, enmascarando disenso genuino. Segundo, el efecto dominante: un participante carismático puede silenciar al resto. Tercero, la auto-censura diferencial: temas tabú o políticamente costosos se subexpresan en grupo. La triangulación con entrevistas individuales posteriores es buena práctica.</w:t>
      </w:r>
    </w:p>
    <w:p>
      <w:pPr>
        <w:pStyle w:val="Heading2"/>
        <w:spacing w:after="140" w:before="280"/>
      </w:pPr>
      <w:r>
        <w:rPr>
          <w:rFonts w:ascii="Arial" w:cs="Arial" w:eastAsia="Arial" w:hAnsi="Arial"/>
          <w:b/>
          <w:bCs/>
          <w:color w:val="1F4E79"/>
          <w:sz w:val="26"/>
          <w:szCs w:val="26"/>
        </w:rPr>
        <w:t xml:space="preserve">4.8. Anclaje territorial</w:t>
      </w:r>
    </w:p>
    <w:p>
      <w:pPr>
        <w:spacing w:after="120" w:line="300"/>
        <w:jc w:val="both"/>
      </w:pPr>
      <w:r>
        <w:rPr>
          <w:rFonts w:ascii="Arial" w:cs="Arial" w:eastAsia="Arial" w:hAnsi="Arial"/>
          <w:b w:val="false"/>
          <w:bCs w:val="false"/>
          <w:i w:val="false"/>
          <w:iCs w:val="false"/>
          <w:color w:val="000000"/>
          <w:sz w:val="22"/>
          <w:szCs w:val="22"/>
        </w:rPr>
        <w:t xml:space="preserve">En comunidades de piangüeras del Pacífico sur costarricense, los grupos focales han permitido documentar conflictos de precio en la cadena de comercialización, desigualdades de género en la distribución de beneficios y estrategias de resistencia frente al cierre de manglares por concesión privada. La composición del grupo importa: mezclar piangüeras con intermediarios produce silencios; separarlos produce voz.</w:t>
      </w:r>
    </w:p>
    <w:p>
      <w:pPr>
        <w:pStyle w:val="Heading1"/>
        <w:pageBreakBefore/>
        <w:spacing w:after="200" w:before="360"/>
      </w:pPr>
      <w:r>
        <w:rPr>
          <w:rFonts w:ascii="Arial" w:cs="Arial" w:eastAsia="Arial" w:hAnsi="Arial"/>
          <w:b/>
          <w:bCs/>
          <w:color w:val="1F4E79"/>
          <w:sz w:val="32"/>
          <w:szCs w:val="32"/>
        </w:rPr>
        <w:t xml:space="preserve">5. Laboratorio 03 — Encuestas de percepción</w:t>
      </w:r>
    </w:p>
    <w:p>
      <w:pPr>
        <w:pStyle w:val="Heading2"/>
        <w:spacing w:after="140" w:before="280"/>
      </w:pPr>
      <w:r>
        <w:rPr>
          <w:rFonts w:ascii="Arial" w:cs="Arial" w:eastAsia="Arial" w:hAnsi="Arial"/>
          <w:b/>
          <w:bCs/>
          <w:color w:val="1F4E79"/>
          <w:sz w:val="26"/>
          <w:szCs w:val="26"/>
        </w:rPr>
        <w:t xml:space="preserve">5.1. Fundamentación teórica</w:t>
      </w:r>
    </w:p>
    <w:p>
      <w:pPr>
        <w:spacing w:after="120" w:line="300"/>
        <w:jc w:val="both"/>
      </w:pPr>
      <w:r>
        <w:rPr>
          <w:rFonts w:ascii="Arial" w:cs="Arial" w:eastAsia="Arial" w:hAnsi="Arial"/>
          <w:b w:val="false"/>
          <w:bCs w:val="false"/>
          <w:i w:val="false"/>
          <w:iCs w:val="false"/>
          <w:color w:val="000000"/>
          <w:sz w:val="22"/>
          <w:szCs w:val="22"/>
        </w:rPr>
        <w:t xml:space="preserve">La encuesta de percepción se sitúa, estrictamente hablando, en el límite entre lo cualitativo y lo cuantitativo. Su inclusión en un paquete cualitativo se justifica porque (i) opera sobre constructos interpretativos (satisfacción, confianza, identidad) que no tienen referente empírico directo; (ii) incorpora preguntas abiertas que exigen codificación temática; y (iii) la validez de sus ítems depende de un trabajo previo cualitativo de exploración conceptual. Teóricamente, descansa en la Teoría Clásica de los Tests (Spearman, 1904), ampliada por la teoría de respuesta al ítem (IRT) y, sobre todo, por la teoría de validez de constructo de Cronbach y Meehl (1955) y Messick (1989).</w:t>
      </w:r>
    </w:p>
    <w:p>
      <w:pPr>
        <w:spacing w:after="120" w:line="300"/>
        <w:jc w:val="both"/>
      </w:pPr>
      <w:r>
        <w:rPr>
          <w:rFonts w:ascii="Arial" w:cs="Arial" w:eastAsia="Arial" w:hAnsi="Arial"/>
          <w:b w:val="false"/>
          <w:bCs w:val="false"/>
          <w:i w:val="false"/>
          <w:iCs w:val="false"/>
          <w:color w:val="000000"/>
          <w:sz w:val="22"/>
          <w:szCs w:val="22"/>
        </w:rPr>
        <w:t xml:space="preserve">La percepción, en este marco, es un constructo latente: no es observable directamente, pero se manifiesta en respuestas a ítems diseñados como sus indicadores. Una encuesta bien construida es un modelo de medición explícito: cada ítem tiene una expectativa teórica de carga en un factor; la estructura factorial recuperada debe confirmar o desafiar la teoría.</w:t>
      </w:r>
    </w:p>
    <w:p>
      <w:pPr>
        <w:pStyle w:val="Heading2"/>
        <w:spacing w:after="140" w:before="280"/>
      </w:pPr>
      <w:r>
        <w:rPr>
          <w:rFonts w:ascii="Arial" w:cs="Arial" w:eastAsia="Arial" w:hAnsi="Arial"/>
          <w:b/>
          <w:bCs/>
          <w:color w:val="1F4E79"/>
          <w:sz w:val="26"/>
          <w:szCs w:val="26"/>
        </w:rPr>
        <w:t xml:space="preserve">5.2. Supuestos</w:t>
      </w:r>
    </w:p>
    <w:p>
      <w:pPr>
        <w:pStyle w:val="Heading3"/>
        <w:spacing w:after="100" w:before="220"/>
      </w:pPr>
      <w:r>
        <w:rPr>
          <w:rFonts w:ascii="Arial" w:cs="Arial" w:eastAsia="Arial" w:hAnsi="Arial"/>
          <w:b/>
          <w:bCs/>
          <w:color w:val="2E75B6"/>
          <w:sz w:val="23"/>
          <w:szCs w:val="23"/>
        </w:rPr>
        <w:t xml:space="preserve">Ontológicos</w:t>
      </w:r>
    </w:p>
    <w:p>
      <w:pPr>
        <w:spacing w:after="120" w:line="300"/>
        <w:jc w:val="both"/>
      </w:pPr>
      <w:r>
        <w:rPr>
          <w:rFonts w:ascii="Arial" w:cs="Arial" w:eastAsia="Arial" w:hAnsi="Arial"/>
          <w:b w:val="false"/>
          <w:bCs w:val="false"/>
          <w:i w:val="false"/>
          <w:iCs w:val="false"/>
          <w:color w:val="000000"/>
          <w:sz w:val="22"/>
          <w:szCs w:val="22"/>
        </w:rPr>
        <w:t xml:space="preserve">La percepción existe como estado mental disposicional. Aunque no directamente observable, produce regularidades conductuales y declarativas. No se supone estabilidad absoluta: las percepciones cambian con la experiencia, pero en el corto plazo poseen suficiente consistencia para ser medidas.</w:t>
      </w:r>
    </w:p>
    <w:p>
      <w:pPr>
        <w:pStyle w:val="Heading3"/>
        <w:spacing w:after="100" w:before="220"/>
      </w:pPr>
      <w:r>
        <w:rPr>
          <w:rFonts w:ascii="Arial" w:cs="Arial" w:eastAsia="Arial" w:hAnsi="Arial"/>
          <w:b/>
          <w:bCs/>
          <w:color w:val="2E75B6"/>
          <w:sz w:val="23"/>
          <w:szCs w:val="23"/>
        </w:rPr>
        <w:t xml:space="preserve">Epistemológicos</w:t>
      </w:r>
    </w:p>
    <w:p>
      <w:pPr>
        <w:spacing w:after="120" w:line="300"/>
        <w:jc w:val="both"/>
      </w:pPr>
      <w:r>
        <w:rPr>
          <w:rFonts w:ascii="Arial" w:cs="Arial" w:eastAsia="Arial" w:hAnsi="Arial"/>
          <w:b w:val="false"/>
          <w:bCs w:val="false"/>
          <w:i w:val="false"/>
          <w:iCs w:val="false"/>
          <w:color w:val="000000"/>
          <w:sz w:val="22"/>
          <w:szCs w:val="22"/>
        </w:rPr>
        <w:t xml:space="preserve">El error de medición es aleatorio y descomponible: Y observado = T verdadero + e. La confiabilidad se estima como proporción de la varianza observada atribuible a la varianza verdadera; la validez se argumenta, no se demuestra, y requiere evidencia convergente y discriminante.</w:t>
      </w:r>
    </w:p>
    <w:p>
      <w:pPr>
        <w:pStyle w:val="Heading3"/>
        <w:spacing w:after="100" w:before="220"/>
      </w:pPr>
      <w:r>
        <w:rPr>
          <w:rFonts w:ascii="Arial" w:cs="Arial" w:eastAsia="Arial" w:hAnsi="Arial"/>
          <w:b/>
          <w:bCs/>
          <w:color w:val="2E75B6"/>
          <w:sz w:val="23"/>
          <w:szCs w:val="23"/>
        </w:rPr>
        <w:t xml:space="preserve">Metodológicos</w:t>
      </w:r>
    </w:p>
    <w:p>
      <w:pPr>
        <w:spacing w:after="120" w:line="300"/>
        <w:jc w:val="both"/>
      </w:pPr>
      <w:r>
        <w:rPr>
          <w:rFonts w:ascii="Arial" w:cs="Arial" w:eastAsia="Arial" w:hAnsi="Arial"/>
          <w:b w:val="false"/>
          <w:bCs w:val="false"/>
          <w:i w:val="false"/>
          <w:iCs w:val="false"/>
          <w:color w:val="000000"/>
          <w:sz w:val="22"/>
          <w:szCs w:val="22"/>
        </w:rPr>
        <w:t xml:space="preserve">El diseño requiere (i) conceptualización cualitativa previa del constructo, (ii) pool inicial de ítems generosamente amplio, (iii) juicio de expertos, (iv) pilotaje cognitivo, (v) pilotaje estadístico con n mínimo para AFE (regla conservadora: 10 casos por ítem, mínimo 200 casos), (vi) depuración del instrumento, (vii) aplicación en muestra final. El laboratorio simula los pasos (v) a (vii).</w:t>
      </w:r>
    </w:p>
    <w:p>
      <w:pPr>
        <w:pStyle w:val="Heading2"/>
        <w:spacing w:after="140" w:before="280"/>
      </w:pPr>
      <w:r>
        <w:rPr>
          <w:rFonts w:ascii="Arial" w:cs="Arial" w:eastAsia="Arial" w:hAnsi="Arial"/>
          <w:b/>
          <w:bCs/>
          <w:color w:val="1F4E79"/>
          <w:sz w:val="26"/>
          <w:szCs w:val="26"/>
        </w:rPr>
        <w:t xml:space="preserve">5.3. Técnica</w:t>
      </w:r>
    </w:p>
    <w:p>
      <w:pPr>
        <w:spacing w:after="120" w:line="300"/>
        <w:jc w:val="both"/>
      </w:pPr>
      <w:r>
        <w:rPr>
          <w:rFonts w:ascii="Arial" w:cs="Arial" w:eastAsia="Arial" w:hAnsi="Arial"/>
          <w:b w:val="false"/>
          <w:bCs w:val="false"/>
          <w:i w:val="false"/>
          <w:iCs w:val="false"/>
          <w:color w:val="000000"/>
          <w:sz w:val="22"/>
          <w:szCs w:val="22"/>
        </w:rPr>
        <w:t xml:space="preserve">El instrumento tiene cinco dimensiones conceptuales: calidad de agua, gestión pública, recurso pesquero, turismo sostenible y participación. Cada dimensión se mide con cuatro ítems en escala Likert de 5 puntos. La muestra simulada es de 400 residentes costeros con cinco perfiles latentes (optimista, crítico, ambivalente, desinformado, activista), cada uno con patrón de respuesta esperado distinto. Se calculan:</w:t>
      </w:r>
    </w:p>
    <w:p>
      <w:pPr>
        <w:pStyle w:val="Heading3"/>
        <w:spacing w:after="100" w:before="220"/>
      </w:pPr>
      <w:r>
        <w:rPr>
          <w:rFonts w:ascii="Arial" w:cs="Arial" w:eastAsia="Arial" w:hAnsi="Arial"/>
          <w:b/>
          <w:bCs/>
          <w:color w:val="2E75B6"/>
          <w:sz w:val="23"/>
          <w:szCs w:val="23"/>
        </w:rPr>
        <w:t xml:space="preserve">Alfa de Cronbach</w:t>
      </w:r>
    </w:p>
    <w:p>
      <w:pPr>
        <w:pBdr>
          <w:top w:val="single" w:color="DDDDDD" w:sz="4" w:space="4"/>
          <w:bottom w:val="single" w:color="DDDDDD" w:sz="4" w:space="4"/>
          <w:left w:val="single" w:color="DDDDDD" w:sz="4" w:space="4"/>
          <w:right w:val="single" w:color="DDDDDD" w:sz="4" w:space="4"/>
        </w:pBdr>
        <w:shd w:fill="F5F5F5" w:val="clear"/>
        <w:spacing w:after="120" w:before="80" w:line="260"/>
        <w:ind w:left="360" w:right="360"/>
      </w:pPr>
      <w:r>
        <w:rPr>
          <w:rFonts w:ascii="Consolas" w:cs="Consolas" w:eastAsia="Consolas" w:hAnsi="Consolas"/>
          <w:color w:val="333333"/>
          <w:sz w:val="20"/>
          <w:szCs w:val="20"/>
        </w:rPr>
        <w:t xml:space="preserve">α = (k / (k−1)) × (1 − Σσ²ᵢ / σ²ₜ)</w:t>
      </w:r>
    </w:p>
    <w:p>
      <w:pPr>
        <w:spacing w:after="120" w:line="300"/>
        <w:jc w:val="both"/>
      </w:pPr>
      <w:r>
        <w:rPr>
          <w:rFonts w:ascii="Arial" w:cs="Arial" w:eastAsia="Arial" w:hAnsi="Arial"/>
          <w:b w:val="false"/>
          <w:bCs w:val="false"/>
          <w:i w:val="false"/>
          <w:iCs w:val="false"/>
          <w:color w:val="000000"/>
          <w:sz w:val="22"/>
          <w:szCs w:val="22"/>
        </w:rPr>
        <w:t xml:space="preserve">Donde k es el número de ítems, σ²ᵢ la varianza del ítem i y σ²ₜ la varianza de la suma. Nunnally (1978) sugiere α ≥ 0.70 como umbral de aceptabilidad para fases exploratorias y 0.80 para investigación aplicada. Un α &lt; 0.70 indica que la escala no mide un constructo único y debe revisarse.</w:t>
      </w:r>
    </w:p>
    <w:p>
      <w:pPr>
        <w:pStyle w:val="Heading3"/>
        <w:spacing w:after="100" w:before="220"/>
      </w:pPr>
      <w:r>
        <w:rPr>
          <w:rFonts w:ascii="Arial" w:cs="Arial" w:eastAsia="Arial" w:hAnsi="Arial"/>
          <w:b/>
          <w:bCs/>
          <w:color w:val="2E75B6"/>
          <w:sz w:val="23"/>
          <w:szCs w:val="23"/>
        </w:rPr>
        <w:t xml:space="preserve">Análisis factorial exploratorio (AFE)</w:t>
      </w:r>
    </w:p>
    <w:p>
      <w:pPr>
        <w:spacing w:after="120" w:line="300"/>
        <w:jc w:val="both"/>
      </w:pPr>
      <w:r>
        <w:rPr>
          <w:rFonts w:ascii="Arial" w:cs="Arial" w:eastAsia="Arial" w:hAnsi="Arial"/>
          <w:b w:val="false"/>
          <w:bCs w:val="false"/>
          <w:i w:val="false"/>
          <w:iCs w:val="false"/>
          <w:color w:val="000000"/>
          <w:sz w:val="22"/>
          <w:szCs w:val="22"/>
        </w:rPr>
        <w:t xml:space="preserve">Se extraen cinco factores con rotación varimax (ortogonal). La estructura recuperada se compara con la estructura teórica esperada. Cargas por encima de |0.30| se consideran significativas; por encima de |0.50| son interpretativamente sólidas. Es preferible reportar cargas rotadas, comunalidades y varianza explicada acumulada.</w:t>
      </w:r>
    </w:p>
    <w:p>
      <w:pPr>
        <w:pStyle w:val="Heading3"/>
        <w:spacing w:after="100" w:before="220"/>
      </w:pPr>
      <w:r>
        <w:rPr>
          <w:rFonts w:ascii="Arial" w:cs="Arial" w:eastAsia="Arial" w:hAnsi="Arial"/>
          <w:b/>
          <w:bCs/>
          <w:color w:val="2E75B6"/>
          <w:sz w:val="23"/>
          <w:szCs w:val="23"/>
        </w:rPr>
        <w:t xml:space="preserve">Matriz Importancia-Desempeño (IPA)</w:t>
      </w:r>
    </w:p>
    <w:p>
      <w:pPr>
        <w:spacing w:after="120" w:line="300"/>
        <w:jc w:val="both"/>
      </w:pPr>
      <w:r>
        <w:rPr>
          <w:rFonts w:ascii="Arial" w:cs="Arial" w:eastAsia="Arial" w:hAnsi="Arial"/>
          <w:b w:val="false"/>
          <w:bCs w:val="false"/>
          <w:i w:val="false"/>
          <w:iCs w:val="false"/>
          <w:color w:val="000000"/>
          <w:sz w:val="22"/>
          <w:szCs w:val="22"/>
        </w:rPr>
        <w:t xml:space="preserve">Martilla y James (1977) propusieron un cuadrante estratégico que cruza importancia (derivada de la correlación del ítem con la satisfacción global) y desempeño (media del ítem). El cuadrante superior-izquierdo —alta importancia, bajo desempeño— identifica prioridades de política. Esta lectura tiene utilidad directa en diseño de intervención.</w:t>
      </w:r>
    </w:p>
    <w:p>
      <w:pPr>
        <w:pStyle w:val="Heading2"/>
        <w:spacing w:after="140" w:before="280"/>
      </w:pPr>
      <w:r>
        <w:rPr>
          <w:rFonts w:ascii="Arial" w:cs="Arial" w:eastAsia="Arial" w:hAnsi="Arial"/>
          <w:b/>
          <w:bCs/>
          <w:color w:val="1F4E79"/>
          <w:sz w:val="26"/>
          <w:szCs w:val="26"/>
        </w:rPr>
        <w:t xml:space="preserve">5.4. Implementación computacional</w:t>
      </w:r>
    </w:p>
    <w:p>
      <w:pPr>
        <w:spacing w:after="120" w:line="300"/>
        <w:jc w:val="both"/>
      </w:pPr>
      <w:r>
        <w:rPr>
          <w:rFonts w:ascii="Arial" w:cs="Arial" w:eastAsia="Arial" w:hAnsi="Arial"/>
          <w:b w:val="false"/>
          <w:bCs w:val="false"/>
          <w:i w:val="false"/>
          <w:iCs w:val="false"/>
          <w:color w:val="000000"/>
          <w:sz w:val="22"/>
          <w:szCs w:val="22"/>
        </w:rPr>
        <w:t xml:space="preserve">El laboratorio usa sklearn.decomposition.FactorAnalysis con rotation="varimax". La codificación de respuesta abierta emula un análisis temático mínimo mediante un léxico de 5 categorías. La matriz IPA se grafica con cuadrantes anotados. Un detalle pedagógico relevante: la estructura latente subyacente no es conocida por el algoritmo; si el AFE recupera cinco factores consistentes con las cinco dimensiones teóricas, esa coincidencia es evidencia de validez de constructo.</w:t>
      </w:r>
    </w:p>
    <w:p>
      <w:pPr>
        <w:pStyle w:val="Heading2"/>
        <w:spacing w:after="140" w:before="280"/>
      </w:pPr>
      <w:r>
        <w:rPr>
          <w:rFonts w:ascii="Arial" w:cs="Arial" w:eastAsia="Arial" w:hAnsi="Arial"/>
          <w:b/>
          <w:bCs/>
          <w:color w:val="1F4E79"/>
          <w:sz w:val="26"/>
          <w:szCs w:val="26"/>
        </w:rPr>
        <w:t xml:space="preserve">5.5. Limitaciones</w:t>
      </w:r>
    </w:p>
    <w:p>
      <w:pPr>
        <w:spacing w:after="120" w:line="300"/>
        <w:jc w:val="both"/>
      </w:pPr>
      <w:r>
        <w:rPr>
          <w:rFonts w:ascii="Arial" w:cs="Arial" w:eastAsia="Arial" w:hAnsi="Arial"/>
          <w:b w:val="false"/>
          <w:bCs w:val="false"/>
          <w:i w:val="false"/>
          <w:iCs w:val="false"/>
          <w:color w:val="000000"/>
          <w:sz w:val="22"/>
          <w:szCs w:val="22"/>
        </w:rPr>
        <w:t xml:space="preserve">La escala Likert supone intervalos iguales que raramente se cumplen; tratamientos alternativos —logit ordinal, IRT politómica— son más apropiados cuando la precisión importa. El AFE con rotación ortogonal asume independencia de factores; cuando los constructos están correlacionados (lo habitual en ciencias sociales) corresponde rotación oblicua (promax, oblimin). Finalmente, la IPA en su forma clásica usa importancia autoreportada; la variante derivada por correlación —implementada aquí— es más conservadora y menos vulnerable a sesgo social.</w:t>
      </w:r>
    </w:p>
    <w:p>
      <w:pPr>
        <w:pStyle w:val="Heading2"/>
        <w:spacing w:after="140" w:before="280"/>
      </w:pPr>
      <w:r>
        <w:rPr>
          <w:rFonts w:ascii="Arial" w:cs="Arial" w:eastAsia="Arial" w:hAnsi="Arial"/>
          <w:b/>
          <w:bCs/>
          <w:color w:val="1F4E79"/>
          <w:sz w:val="26"/>
          <w:szCs w:val="26"/>
        </w:rPr>
        <w:t xml:space="preserve">5.6. Anclaje territorial</w:t>
      </w:r>
    </w:p>
    <w:p>
      <w:pPr>
        <w:spacing w:after="120" w:line="300"/>
        <w:jc w:val="both"/>
      </w:pPr>
      <w:r>
        <w:rPr>
          <w:rFonts w:ascii="Arial" w:cs="Arial" w:eastAsia="Arial" w:hAnsi="Arial"/>
          <w:b w:val="false"/>
          <w:bCs w:val="false"/>
          <w:i w:val="false"/>
          <w:iCs w:val="false"/>
          <w:color w:val="000000"/>
          <w:sz w:val="22"/>
          <w:szCs w:val="22"/>
        </w:rPr>
        <w:t xml:space="preserve">En Costa Rica, encuestas de percepción costera se han aplicado en el marco del programa Bandera Azul Ecológica, del Índice de Gestión Municipal costero y de evaluaciones de visitantes en ASP marinas. El reto recurrente es la representatividad de comunidades pesqueras artesanales, sub-representadas en marcos muestrales oficiales. El muestreo por bola de nieve complementado con cuotas por zona es una práctica habitual y metodológicamente defendible cuando se documenta.</w:t>
      </w:r>
    </w:p>
    <w:p>
      <w:pPr>
        <w:pStyle w:val="Heading1"/>
        <w:pageBreakBefore/>
        <w:spacing w:after="200" w:before="360"/>
      </w:pPr>
      <w:r>
        <w:rPr>
          <w:rFonts w:ascii="Arial" w:cs="Arial" w:eastAsia="Arial" w:hAnsi="Arial"/>
          <w:b/>
          <w:bCs/>
          <w:color w:val="1F4E79"/>
          <w:sz w:val="32"/>
          <w:szCs w:val="32"/>
        </w:rPr>
        <w:t xml:space="preserve">6. Laboratorio 04 — Mapeo participativo</w:t>
      </w:r>
    </w:p>
    <w:p>
      <w:pPr>
        <w:pStyle w:val="Heading2"/>
        <w:spacing w:after="140" w:before="280"/>
      </w:pPr>
      <w:r>
        <w:rPr>
          <w:rFonts w:ascii="Arial" w:cs="Arial" w:eastAsia="Arial" w:hAnsi="Arial"/>
          <w:b/>
          <w:bCs/>
          <w:color w:val="1F4E79"/>
          <w:sz w:val="26"/>
          <w:szCs w:val="26"/>
        </w:rPr>
        <w:t xml:space="preserve">6.1. Fundamentación teórica</w:t>
      </w:r>
    </w:p>
    <w:p>
      <w:pPr>
        <w:spacing w:after="120" w:line="300"/>
        <w:jc w:val="both"/>
      </w:pPr>
      <w:r>
        <w:rPr>
          <w:rFonts w:ascii="Arial" w:cs="Arial" w:eastAsia="Arial" w:hAnsi="Arial"/>
          <w:b w:val="false"/>
          <w:bCs w:val="false"/>
          <w:i w:val="false"/>
          <w:iCs w:val="false"/>
          <w:color w:val="000000"/>
          <w:sz w:val="22"/>
          <w:szCs w:val="22"/>
        </w:rPr>
        <w:t xml:space="preserve">El mapeo participativo —también llamado cartografía social, PPGIS (Public Participation Geographic Information Systems) o VGI (Volunteered Geographic Information)— tiene raíces convergentes en el Participatory Rural Appraisal de Robert Chambers (1994), en la geografía crítica de Harvey y Soja, y en la decolonialidad espacial de autores como Walter Mignolo y Arturo Escobar. Su premisa es política antes que técnica: el mapa oficial del Estado no es el único mapa posible, y el saber territorial de las comunidades constituye conocimiento espacial válido, con frecuencia más preciso y actualizado que el cartografiado institucional.</w:t>
      </w:r>
    </w:p>
    <w:p>
      <w:pPr>
        <w:spacing w:after="120" w:line="300"/>
        <w:jc w:val="both"/>
      </w:pPr>
      <w:r>
        <w:rPr>
          <w:rFonts w:ascii="Arial" w:cs="Arial" w:eastAsia="Arial" w:hAnsi="Arial"/>
          <w:b w:val="false"/>
          <w:bCs w:val="false"/>
          <w:i w:val="false"/>
          <w:iCs w:val="false"/>
          <w:color w:val="000000"/>
          <w:sz w:val="22"/>
          <w:szCs w:val="22"/>
        </w:rPr>
        <w:t xml:space="preserve">McCall (2021) y Brown &amp; Fagerholm (2015) consolidan el método como triangulación entre el dibujo comunitario, la validación de campo (ground-truthing) y la integración en sistemas SIG. El mapa resultante no es sólo un producto, sino un acto performativo: nombrar un lugar, trazar un límite, dibujar un sitio sagrado, son actos que enuncian reivindicaciones territoriales susceptibles de movilización política.</w:t>
      </w:r>
    </w:p>
    <w:p>
      <w:pPr>
        <w:pStyle w:val="Heading2"/>
        <w:spacing w:after="140" w:before="280"/>
      </w:pPr>
      <w:r>
        <w:rPr>
          <w:rFonts w:ascii="Arial" w:cs="Arial" w:eastAsia="Arial" w:hAnsi="Arial"/>
          <w:b/>
          <w:bCs/>
          <w:color w:val="1F4E79"/>
          <w:sz w:val="26"/>
          <w:szCs w:val="26"/>
        </w:rPr>
        <w:t xml:space="preserve">6.2. Supuestos</w:t>
      </w:r>
    </w:p>
    <w:p>
      <w:pPr>
        <w:pStyle w:val="Heading3"/>
        <w:spacing w:after="100" w:before="220"/>
      </w:pPr>
      <w:r>
        <w:rPr>
          <w:rFonts w:ascii="Arial" w:cs="Arial" w:eastAsia="Arial" w:hAnsi="Arial"/>
          <w:b/>
          <w:bCs/>
          <w:color w:val="2E75B6"/>
          <w:sz w:val="23"/>
          <w:szCs w:val="23"/>
        </w:rPr>
        <w:t xml:space="preserve">Ontológicos</w:t>
      </w:r>
    </w:p>
    <w:p>
      <w:pPr>
        <w:spacing w:after="120" w:line="300"/>
        <w:jc w:val="both"/>
      </w:pPr>
      <w:r>
        <w:rPr>
          <w:rFonts w:ascii="Arial" w:cs="Arial" w:eastAsia="Arial" w:hAnsi="Arial"/>
          <w:b w:val="false"/>
          <w:bCs w:val="false"/>
          <w:i w:val="false"/>
          <w:iCs w:val="false"/>
          <w:color w:val="000000"/>
          <w:sz w:val="22"/>
          <w:szCs w:val="22"/>
        </w:rPr>
        <w:t xml:space="preserve">El territorio es polisémico: el mismo espacio geográfico es simultáneamente zona de pesca, sitio sagrado, área protegida, concesión hotelera y ruta migratoria. Estas capas de sentido no son reducibles entre sí; su coexistencia produce tanto cooperación como conflicto.</w:t>
      </w:r>
    </w:p>
    <w:p>
      <w:pPr>
        <w:pStyle w:val="Heading3"/>
        <w:spacing w:after="100" w:before="220"/>
      </w:pPr>
      <w:r>
        <w:rPr>
          <w:rFonts w:ascii="Arial" w:cs="Arial" w:eastAsia="Arial" w:hAnsi="Arial"/>
          <w:b/>
          <w:bCs/>
          <w:color w:val="2E75B6"/>
          <w:sz w:val="23"/>
          <w:szCs w:val="23"/>
        </w:rPr>
        <w:t xml:space="preserve">Epistemológicos</w:t>
      </w:r>
    </w:p>
    <w:p>
      <w:pPr>
        <w:spacing w:after="120" w:line="300"/>
        <w:jc w:val="both"/>
      </w:pPr>
      <w:r>
        <w:rPr>
          <w:rFonts w:ascii="Arial" w:cs="Arial" w:eastAsia="Arial" w:hAnsi="Arial"/>
          <w:b w:val="false"/>
          <w:bCs w:val="false"/>
          <w:i w:val="false"/>
          <w:iCs w:val="false"/>
          <w:color w:val="000000"/>
          <w:sz w:val="22"/>
          <w:szCs w:val="22"/>
        </w:rPr>
        <w:t xml:space="preserve">El conocimiento espacial local no es subjetividad anecdótica: es conocimiento experto situado, verificable, trazable y con frecuencia más granular que los productos cartográficos oficiales. La validez no se sostiene en la precisión milimétrica, sino en la credibilidad comunitaria del mapa producido.</w:t>
      </w:r>
    </w:p>
    <w:p>
      <w:pPr>
        <w:pStyle w:val="Heading3"/>
        <w:spacing w:after="100" w:before="220"/>
      </w:pPr>
      <w:r>
        <w:rPr>
          <w:rFonts w:ascii="Arial" w:cs="Arial" w:eastAsia="Arial" w:hAnsi="Arial"/>
          <w:b/>
          <w:bCs/>
          <w:color w:val="2E75B6"/>
          <w:sz w:val="23"/>
          <w:szCs w:val="23"/>
        </w:rPr>
        <w:t xml:space="preserve">Metodológicos</w:t>
      </w:r>
    </w:p>
    <w:p>
      <w:pPr>
        <w:spacing w:after="120" w:line="300"/>
        <w:jc w:val="both"/>
      </w:pPr>
      <w:r>
        <w:rPr>
          <w:rFonts w:ascii="Arial" w:cs="Arial" w:eastAsia="Arial" w:hAnsi="Arial"/>
          <w:b w:val="false"/>
          <w:bCs w:val="false"/>
          <w:i w:val="false"/>
          <w:iCs w:val="false"/>
          <w:color w:val="000000"/>
          <w:sz w:val="22"/>
          <w:szCs w:val="22"/>
        </w:rPr>
        <w:t xml:space="preserve">Se asume (i) que el taller cartográfico debe desarrollarse con materiales adecuados (ortofoto de base, acetatos, marcadores de color, o tabletas con QGIS móvil); (ii) que los dibujantes son representativos de los grupos de interés —hombres y mujeres, jóvenes y adultos mayores—; (iii) que el mapa producido debe devolverse a la comunidad para ground-truthing; y (iv) que las categorías de uso no están predefinidas por el investigador, sino co-negociadas.</w:t>
      </w:r>
    </w:p>
    <w:p>
      <w:pPr>
        <w:pStyle w:val="Heading2"/>
        <w:spacing w:after="140" w:before="280"/>
      </w:pPr>
      <w:r>
        <w:rPr>
          <w:rFonts w:ascii="Arial" w:cs="Arial" w:eastAsia="Arial" w:hAnsi="Arial"/>
          <w:b/>
          <w:bCs/>
          <w:color w:val="1F4E79"/>
          <w:sz w:val="26"/>
          <w:szCs w:val="26"/>
        </w:rPr>
        <w:t xml:space="preserve">6.3. Técnica</w:t>
      </w:r>
    </w:p>
    <w:p>
      <w:pPr>
        <w:spacing w:after="120" w:line="300"/>
        <w:jc w:val="both"/>
      </w:pPr>
      <w:r>
        <w:rPr>
          <w:rFonts w:ascii="Arial" w:cs="Arial" w:eastAsia="Arial" w:hAnsi="Arial"/>
          <w:b w:val="false"/>
          <w:bCs w:val="false"/>
          <w:i w:val="false"/>
          <w:iCs w:val="false"/>
          <w:color w:val="000000"/>
          <w:sz w:val="22"/>
          <w:szCs w:val="22"/>
        </w:rPr>
        <w:t xml:space="preserve">El laboratorio simula, en el Golfo de Nicoya, un ejercicio con 20 actores locales que dibujan puntos para cinco categorías de uso: pesca artesanal, turismo hotelero, sitio sagrado, zona de conflicto, área de conservación. Cada punto tiene un identificador de actor, coordenadas y una intensidad declarada de 1 a 5. Los procedimientos analíticos son:</w:t>
      </w:r>
    </w:p>
    <w:p>
      <w:pPr>
        <w:pStyle w:val="ListParagraph"/>
        <w:numPr>
          <w:ilvl w:val="0"/>
          <w:numId w:val="2"/>
        </w:numPr>
        <w:spacing w:after="60" w:line="280"/>
        <w:jc w:val="both"/>
      </w:pPr>
      <w:r>
        <w:rPr>
          <w:rFonts w:ascii="Arial" w:cs="Arial" w:eastAsia="Arial" w:hAnsi="Arial"/>
          <w:sz w:val="22"/>
          <w:szCs w:val="22"/>
        </w:rPr>
        <w:t xml:space="preserve">Estimación de densidad por kernel (KDE) con kernel gaussiano y ancho de banda fijo. Para cada categoría se obtiene una superficie de densidad sobre una grilla regular.</w:t>
      </w:r>
    </w:p>
    <w:p>
      <w:pPr>
        <w:pStyle w:val="ListParagraph"/>
        <w:numPr>
          <w:ilvl w:val="0"/>
          <w:numId w:val="2"/>
        </w:numPr>
        <w:spacing w:after="60" w:line="280"/>
        <w:jc w:val="both"/>
      </w:pPr>
      <w:r>
        <w:rPr>
          <w:rFonts w:ascii="Arial" w:cs="Arial" w:eastAsia="Arial" w:hAnsi="Arial"/>
          <w:sz w:val="22"/>
          <w:szCs w:val="22"/>
        </w:rPr>
        <w:t xml:space="preserve">Identificación de zonas grises por superposición. Para pesca artesanal y turismo hotelero, se calcula el mínimo de las densidades normalizadas: donde ambos valores son altos, el conflicto es estructural.</w:t>
      </w:r>
    </w:p>
    <w:p>
      <w:pPr>
        <w:pStyle w:val="ListParagraph"/>
        <w:numPr>
          <w:ilvl w:val="0"/>
          <w:numId w:val="2"/>
        </w:numPr>
        <w:spacing w:after="60" w:line="280"/>
        <w:jc w:val="both"/>
      </w:pPr>
      <w:r>
        <w:rPr>
          <w:rFonts w:ascii="Arial" w:cs="Arial" w:eastAsia="Arial" w:hAnsi="Arial"/>
          <w:sz w:val="22"/>
          <w:szCs w:val="22"/>
        </w:rPr>
        <w:t xml:space="preserve">Visualización estática (matplotlib contourf) e interactiva (Folium) con capas superpuestas, marcadores escalados por intensidad y mapa de calor para los puntos de conflicto.</w:t>
      </w:r>
    </w:p>
    <w:p>
      <w:pPr>
        <w:pStyle w:val="Heading3"/>
        <w:spacing w:after="100" w:before="220"/>
      </w:pPr>
      <w:r>
        <w:rPr>
          <w:rFonts w:ascii="Arial" w:cs="Arial" w:eastAsia="Arial" w:hAnsi="Arial"/>
          <w:b/>
          <w:bCs/>
          <w:color w:val="2E75B6"/>
          <w:sz w:val="23"/>
          <w:szCs w:val="23"/>
        </w:rPr>
        <w:t xml:space="preserve">Formulación del KDE</w:t>
      </w:r>
    </w:p>
    <w:p>
      <w:pPr>
        <w:pBdr>
          <w:top w:val="single" w:color="DDDDDD" w:sz="4" w:space="4"/>
          <w:bottom w:val="single" w:color="DDDDDD" w:sz="4" w:space="4"/>
          <w:left w:val="single" w:color="DDDDDD" w:sz="4" w:space="4"/>
          <w:right w:val="single" w:color="DDDDDD" w:sz="4" w:space="4"/>
        </w:pBdr>
        <w:shd w:fill="F5F5F5" w:val="clear"/>
        <w:spacing w:after="120" w:before="80" w:line="260"/>
        <w:ind w:left="360" w:right="360"/>
      </w:pPr>
      <w:r>
        <w:rPr>
          <w:rFonts w:ascii="Consolas" w:cs="Consolas" w:eastAsia="Consolas" w:hAnsi="Consolas"/>
          <w:color w:val="333333"/>
          <w:sz w:val="20"/>
          <w:szCs w:val="20"/>
        </w:rPr>
        <w:t xml:space="preserve">f̂(x) = (1 / nh) × Σᵢ K((x − xᵢ) / h)</w:t>
      </w:r>
    </w:p>
    <w:p>
      <w:pPr>
        <w:spacing w:after="120" w:line="300"/>
        <w:jc w:val="both"/>
      </w:pPr>
      <w:r>
        <w:rPr>
          <w:rFonts w:ascii="Arial" w:cs="Arial" w:eastAsia="Arial" w:hAnsi="Arial"/>
          <w:b w:val="false"/>
          <w:bCs w:val="false"/>
          <w:i w:val="false"/>
          <w:iCs w:val="false"/>
          <w:color w:val="000000"/>
          <w:sz w:val="22"/>
          <w:szCs w:val="22"/>
        </w:rPr>
        <w:t xml:space="preserve">Donde K es el kernel gaussiano, h es el ancho de banda (bandwidth) y n el número de puntos. La elección de h es crítica: h pequeño produce una superficie ruidosa con sobreajuste; h grande la aplana. Silverman (1986) y Sheather-Jones (1991) ofrecen reglas automáticas de selección; para mapeo participativo conviene calibrar h visualmente con usuarios.</w:t>
      </w:r>
    </w:p>
    <w:p>
      <w:pPr>
        <w:pStyle w:val="Heading2"/>
        <w:spacing w:after="140" w:before="280"/>
      </w:pPr>
      <w:r>
        <w:rPr>
          <w:rFonts w:ascii="Arial" w:cs="Arial" w:eastAsia="Arial" w:hAnsi="Arial"/>
          <w:b/>
          <w:bCs/>
          <w:color w:val="1F4E79"/>
          <w:sz w:val="26"/>
          <w:szCs w:val="26"/>
        </w:rPr>
        <w:t xml:space="preserve">6.4. Implementación computacional</w:t>
      </w:r>
    </w:p>
    <w:p>
      <w:pPr>
        <w:spacing w:after="120" w:line="300"/>
        <w:jc w:val="both"/>
      </w:pPr>
      <w:r>
        <w:rPr>
          <w:rFonts w:ascii="Arial" w:cs="Arial" w:eastAsia="Arial" w:hAnsi="Arial"/>
          <w:b w:val="false"/>
          <w:bCs w:val="false"/>
          <w:i w:val="false"/>
          <w:iCs w:val="false"/>
          <w:color w:val="000000"/>
          <w:sz w:val="22"/>
          <w:szCs w:val="22"/>
        </w:rPr>
        <w:t xml:space="preserve">El laboratorio usa scipy.stats.gaussian_kde para la estimación y folium + HeatMap para el mapa interactivo. El umbral de conflicto se fija en 0.50 sobre densidades normalizadas: por encima de este valor ambas actividades son intensas. La métrica reportada —celdas en conflicto sobre total— permite comparar intensidades territoriales entre litorales. El mapa Folium (lab04_mapa_interactivo.html) se abre en navegador y es interactivo, lo cual tiene valor pedagógico y también utilidad en devolución comunitaria.</w:t>
      </w:r>
    </w:p>
    <w:p>
      <w:pPr>
        <w:pStyle w:val="Heading2"/>
        <w:spacing w:after="140" w:before="280"/>
      </w:pPr>
      <w:r>
        <w:rPr>
          <w:rFonts w:ascii="Arial" w:cs="Arial" w:eastAsia="Arial" w:hAnsi="Arial"/>
          <w:b/>
          <w:bCs/>
          <w:color w:val="1F4E79"/>
          <w:sz w:val="26"/>
          <w:szCs w:val="26"/>
        </w:rPr>
        <w:t xml:space="preserve">6.5. Limitaciones</w:t>
      </w:r>
    </w:p>
    <w:p>
      <w:pPr>
        <w:spacing w:after="120" w:line="300"/>
        <w:jc w:val="both"/>
      </w:pPr>
      <w:r>
        <w:rPr>
          <w:rFonts w:ascii="Arial" w:cs="Arial" w:eastAsia="Arial" w:hAnsi="Arial"/>
          <w:b w:val="false"/>
          <w:bCs w:val="false"/>
          <w:i w:val="false"/>
          <w:iCs w:val="false"/>
          <w:color w:val="000000"/>
          <w:sz w:val="22"/>
          <w:szCs w:val="22"/>
        </w:rPr>
        <w:t xml:space="preserve">El KDE trata el espacio geográfico como isotrópico, lo cual es falso en contextos costeros donde el mar y la tierra operan bajo lógicas distintas. Análisis más sofisticados incluyen kernels anisotrópicos, KDE espacio-temporal (cuando hay fechas) y kernels restringidos a la red (network KDE) cuando la actividad ocurre sobre caminos o canales. Adicionalmente, el número de puntos aportados por actor no es independiente: un actor que dibuja muchos puntos pesa más, lo cual puede corregirse con ponderación inversa al volumen individual.</w:t>
      </w:r>
    </w:p>
    <w:p>
      <w:pPr>
        <w:pStyle w:val="Heading2"/>
        <w:spacing w:after="140" w:before="280"/>
      </w:pPr>
      <w:r>
        <w:rPr>
          <w:rFonts w:ascii="Arial" w:cs="Arial" w:eastAsia="Arial" w:hAnsi="Arial"/>
          <w:b/>
          <w:bCs/>
          <w:color w:val="1F4E79"/>
          <w:sz w:val="26"/>
          <w:szCs w:val="26"/>
        </w:rPr>
        <w:t xml:space="preserve">6.6. Ética del mapeo</w:t>
      </w:r>
    </w:p>
    <w:p>
      <w:pPr>
        <w:spacing w:after="120" w:line="300"/>
        <w:jc w:val="both"/>
      </w:pPr>
      <w:r>
        <w:rPr>
          <w:rFonts w:ascii="Arial" w:cs="Arial" w:eastAsia="Arial" w:hAnsi="Arial"/>
          <w:b w:val="false"/>
          <w:bCs w:val="false"/>
          <w:i w:val="false"/>
          <w:iCs w:val="false"/>
          <w:color w:val="000000"/>
          <w:sz w:val="22"/>
          <w:szCs w:val="22"/>
        </w:rPr>
        <w:t xml:space="preserve">El mapa puede usarse contra la comunidad que lo produjo: revelar la ubicación de sitios sagrados, zonas de pesca preferentes o áreas de refugio puede atraer extracción externa, turismo intrusivo o represión institucional. El consentimiento informado debe ser explícito respecto al uso final del mapa y, en ciertos casos, corresponde mantener información sensible fuera del producto público (counter-mapping responsable).</w:t>
      </w:r>
    </w:p>
    <w:p>
      <w:pPr>
        <w:pStyle w:val="Heading1"/>
        <w:pageBreakBefore/>
        <w:spacing w:after="200" w:before="360"/>
      </w:pPr>
      <w:r>
        <w:rPr>
          <w:rFonts w:ascii="Arial" w:cs="Arial" w:eastAsia="Arial" w:hAnsi="Arial"/>
          <w:b/>
          <w:bCs/>
          <w:color w:val="1F4E79"/>
          <w:sz w:val="32"/>
          <w:szCs w:val="32"/>
        </w:rPr>
        <w:t xml:space="preserve">7. Laboratorio 05 — Transectos caminados y navegados</w:t>
      </w:r>
    </w:p>
    <w:p>
      <w:pPr>
        <w:pStyle w:val="Heading2"/>
        <w:spacing w:after="140" w:before="280"/>
      </w:pPr>
      <w:r>
        <w:rPr>
          <w:rFonts w:ascii="Arial" w:cs="Arial" w:eastAsia="Arial" w:hAnsi="Arial"/>
          <w:b/>
          <w:bCs/>
          <w:color w:val="1F4E79"/>
          <w:sz w:val="26"/>
          <w:szCs w:val="26"/>
        </w:rPr>
        <w:t xml:space="preserve">7.1. Fundamentación teórica</w:t>
      </w:r>
    </w:p>
    <w:p>
      <w:pPr>
        <w:spacing w:after="120" w:line="300"/>
        <w:jc w:val="both"/>
      </w:pPr>
      <w:r>
        <w:rPr>
          <w:rFonts w:ascii="Arial" w:cs="Arial" w:eastAsia="Arial" w:hAnsi="Arial"/>
          <w:b w:val="false"/>
          <w:bCs w:val="false"/>
          <w:i w:val="false"/>
          <w:iCs w:val="false"/>
          <w:color w:val="000000"/>
          <w:sz w:val="22"/>
          <w:szCs w:val="22"/>
        </w:rPr>
        <w:t xml:space="preserve">El transecto es una técnica heredada de la ecología de campo (Canfield, 1941; Gentry, 1982) e incorporada al repertorio participativo por Chambers (1994) en el marco del Participatory Rural Appraisal. Su fundamento es simple y potente: un recorrido lineal sistemático a través de un gradiente espacial produce datos comparables entre puntos y permite identificar fronteras, discontinuidades y transiciones que el muestreo puntual desagregado no detecta. Cuando se camina (o navega) el transecto con un guía local, el método combina datos cuantitativos ambientales con observaciones cualitativas in situ, produciendo una narrativa geolocalizada.</w:t>
      </w:r>
    </w:p>
    <w:p>
      <w:pPr>
        <w:spacing w:after="120" w:line="300"/>
        <w:jc w:val="both"/>
      </w:pPr>
      <w:r>
        <w:rPr>
          <w:rFonts w:ascii="Arial" w:cs="Arial" w:eastAsia="Arial" w:hAnsi="Arial"/>
          <w:b w:val="false"/>
          <w:bCs w:val="false"/>
          <w:i w:val="false"/>
          <w:iCs w:val="false"/>
          <w:color w:val="000000"/>
          <w:sz w:val="22"/>
          <w:szCs w:val="22"/>
        </w:rPr>
        <w:t xml:space="preserve">Teóricamente, el transecto participativo encuentra sustento en la etnoecología (Toledo), en la teoría de la percepción del paisaje (Ingold, 2000: dwelling perspective) y en la hipótesis del conocimiento ecológico tradicional (TEK) como sistema observacional longitudinal no escrito (Berkes, 2018).</w:t>
      </w:r>
    </w:p>
    <w:p>
      <w:pPr>
        <w:pStyle w:val="Heading2"/>
        <w:spacing w:after="140" w:before="280"/>
      </w:pPr>
      <w:r>
        <w:rPr>
          <w:rFonts w:ascii="Arial" w:cs="Arial" w:eastAsia="Arial" w:hAnsi="Arial"/>
          <w:b/>
          <w:bCs/>
          <w:color w:val="1F4E79"/>
          <w:sz w:val="26"/>
          <w:szCs w:val="26"/>
        </w:rPr>
        <w:t xml:space="preserve">7.2. Supuestos</w:t>
      </w:r>
    </w:p>
    <w:p>
      <w:pPr>
        <w:pStyle w:val="Heading3"/>
        <w:spacing w:after="100" w:before="220"/>
      </w:pPr>
      <w:r>
        <w:rPr>
          <w:rFonts w:ascii="Arial" w:cs="Arial" w:eastAsia="Arial" w:hAnsi="Arial"/>
          <w:b/>
          <w:bCs/>
          <w:color w:val="2E75B6"/>
          <w:sz w:val="23"/>
          <w:szCs w:val="23"/>
        </w:rPr>
        <w:t xml:space="preserve">Ontológicos</w:t>
      </w:r>
    </w:p>
    <w:p>
      <w:pPr>
        <w:spacing w:after="120" w:line="300"/>
        <w:jc w:val="both"/>
      </w:pPr>
      <w:r>
        <w:rPr>
          <w:rFonts w:ascii="Arial" w:cs="Arial" w:eastAsia="Arial" w:hAnsi="Arial"/>
          <w:b w:val="false"/>
          <w:bCs w:val="false"/>
          <w:i w:val="false"/>
          <w:iCs w:val="false"/>
          <w:color w:val="000000"/>
          <w:sz w:val="22"/>
          <w:szCs w:val="22"/>
        </w:rPr>
        <w:t xml:space="preserve">El espacio costero está organizado en gradientes y zonas, no en categorías discretas homogéneas. Existen umbrales ecológicos donde el sistema cambia cualitativamente: un manglar prístino cede paso a una zona de transición que desemboca en una zona degradada por camaronera. Estos umbrales son, en parte, detectables por instrumentos y, en parte, por el ojo educado del habitante.</w:t>
      </w:r>
    </w:p>
    <w:p>
      <w:pPr>
        <w:pStyle w:val="Heading3"/>
        <w:spacing w:after="100" w:before="220"/>
      </w:pPr>
      <w:r>
        <w:rPr>
          <w:rFonts w:ascii="Arial" w:cs="Arial" w:eastAsia="Arial" w:hAnsi="Arial"/>
          <w:b/>
          <w:bCs/>
          <w:color w:val="2E75B6"/>
          <w:sz w:val="23"/>
          <w:szCs w:val="23"/>
        </w:rPr>
        <w:t xml:space="preserve">Epistemológicos</w:t>
      </w:r>
    </w:p>
    <w:p>
      <w:pPr>
        <w:spacing w:after="120" w:line="300"/>
        <w:jc w:val="both"/>
      </w:pPr>
      <w:r>
        <w:rPr>
          <w:rFonts w:ascii="Arial" w:cs="Arial" w:eastAsia="Arial" w:hAnsi="Arial"/>
          <w:b w:val="false"/>
          <w:bCs w:val="false"/>
          <w:i w:val="false"/>
          <w:iCs w:val="false"/>
          <w:color w:val="000000"/>
          <w:sz w:val="22"/>
          <w:szCs w:val="22"/>
        </w:rPr>
        <w:t xml:space="preserve">El conocimiento del guía local tiene carácter experto: su capacidad de identificar la frontera entre zonas es, con frecuencia, superior a la de un instrumento sin contexto. La validación cruzada cuanti-cuali es simétrica: el z-score ambiental puede confirmar la narrativa del guía y viceversa.</w:t>
      </w:r>
    </w:p>
    <w:p>
      <w:pPr>
        <w:pStyle w:val="Heading3"/>
        <w:spacing w:after="100" w:before="220"/>
      </w:pPr>
      <w:r>
        <w:rPr>
          <w:rFonts w:ascii="Arial" w:cs="Arial" w:eastAsia="Arial" w:hAnsi="Arial"/>
          <w:b/>
          <w:bCs/>
          <w:color w:val="2E75B6"/>
          <w:sz w:val="23"/>
          <w:szCs w:val="23"/>
        </w:rPr>
        <w:t xml:space="preserve">Metodológicos</w:t>
      </w:r>
    </w:p>
    <w:p>
      <w:pPr>
        <w:spacing w:after="120" w:line="300"/>
        <w:jc w:val="both"/>
      </w:pPr>
      <w:r>
        <w:rPr>
          <w:rFonts w:ascii="Arial" w:cs="Arial" w:eastAsia="Arial" w:hAnsi="Arial"/>
          <w:b w:val="false"/>
          <w:bCs w:val="false"/>
          <w:i w:val="false"/>
          <w:iCs w:val="false"/>
          <w:color w:val="000000"/>
          <w:sz w:val="22"/>
          <w:szCs w:val="22"/>
        </w:rPr>
        <w:t xml:space="preserve">Se asume (i) waypoints equidistantes (cada 250 m en el laboratorio, 50–500 m en aplicación real según escala del fenómeno); (ii) registro paralelo de 2–5 variables ambientales y de narrativa in situ; (iii) marcación de eventos destacados (hallazgos puntuales que rompen la cadencia); y (iv) análisis posterior tanto estadístico como interpretativo.</w:t>
      </w:r>
    </w:p>
    <w:p>
      <w:pPr>
        <w:pStyle w:val="Heading2"/>
        <w:spacing w:after="140" w:before="280"/>
      </w:pPr>
      <w:r>
        <w:rPr>
          <w:rFonts w:ascii="Arial" w:cs="Arial" w:eastAsia="Arial" w:hAnsi="Arial"/>
          <w:b/>
          <w:bCs/>
          <w:color w:val="1F4E79"/>
          <w:sz w:val="26"/>
          <w:szCs w:val="26"/>
        </w:rPr>
        <w:t xml:space="preserve">7.3. Técnica</w:t>
      </w:r>
    </w:p>
    <w:p>
      <w:pPr>
        <w:spacing w:after="120" w:line="300"/>
        <w:jc w:val="both"/>
      </w:pPr>
      <w:r>
        <w:rPr>
          <w:rFonts w:ascii="Arial" w:cs="Arial" w:eastAsia="Arial" w:hAnsi="Arial"/>
          <w:b w:val="false"/>
          <w:bCs w:val="false"/>
          <w:i w:val="false"/>
          <w:iCs w:val="false"/>
          <w:color w:val="000000"/>
          <w:sz w:val="22"/>
          <w:szCs w:val="22"/>
        </w:rPr>
        <w:t xml:space="preserve">El laboratorio diseña un transecto de 5 km con 21 waypoints, atraviesa cuatro zonas ecológicas (manglar prístino, transición, zona degradada por camaronera, estuario recuperado) y registra salinidad, turbidez y cobertura de manglar junto con la narrativa verbal del guía. Cuatro eventos puntuales se marcan en el recorrido. El análisis aplica:</w:t>
      </w:r>
    </w:p>
    <w:p>
      <w:pPr>
        <w:pStyle w:val="ListParagraph"/>
        <w:numPr>
          <w:ilvl w:val="0"/>
          <w:numId w:val="2"/>
        </w:numPr>
        <w:spacing w:after="60" w:line="280"/>
        <w:jc w:val="both"/>
      </w:pPr>
      <w:r>
        <w:rPr>
          <w:rFonts w:ascii="Arial" w:cs="Arial" w:eastAsia="Arial" w:hAnsi="Arial"/>
          <w:sz w:val="22"/>
          <w:szCs w:val="22"/>
        </w:rPr>
        <w:t xml:space="preserve">Construcción de una señal compuesta por z-scores: salinidad estandarizada + turbidez estandarizada − manglar estandarizado. Esta señal captura el deterioro ambiental multidimensional.</w:t>
      </w:r>
    </w:p>
    <w:p>
      <w:pPr>
        <w:pStyle w:val="ListParagraph"/>
        <w:numPr>
          <w:ilvl w:val="0"/>
          <w:numId w:val="2"/>
        </w:numPr>
        <w:spacing w:after="60" w:line="280"/>
        <w:jc w:val="both"/>
      </w:pPr>
      <w:r>
        <w:rPr>
          <w:rFonts w:ascii="Arial" w:cs="Arial" w:eastAsia="Arial" w:hAnsi="Arial"/>
          <w:sz w:val="22"/>
          <w:szCs w:val="22"/>
        </w:rPr>
        <w:t xml:space="preserve">Detección de changepoints con el algoritmo PELT (Pruned Exact Linear Time) de Killick y Eckley (2014), usando un kernel RBF y penalización ajustable.</w:t>
      </w:r>
    </w:p>
    <w:p>
      <w:pPr>
        <w:pStyle w:val="ListParagraph"/>
        <w:numPr>
          <w:ilvl w:val="0"/>
          <w:numId w:val="2"/>
        </w:numPr>
        <w:spacing w:after="60" w:line="280"/>
        <w:jc w:val="both"/>
      </w:pPr>
      <w:r>
        <w:rPr>
          <w:rFonts w:ascii="Arial" w:cs="Arial" w:eastAsia="Arial" w:hAnsi="Arial"/>
          <w:sz w:val="22"/>
          <w:szCs w:val="22"/>
        </w:rPr>
        <w:t xml:space="preserve">Comparación de los changepoints detectados con las fronteras narrativas enunciadas por el guía: la coincidencia es evidencia de validez convergente.</w:t>
      </w:r>
    </w:p>
    <w:p>
      <w:pPr>
        <w:pStyle w:val="Heading3"/>
        <w:spacing w:after="100" w:before="220"/>
      </w:pPr>
      <w:r>
        <w:rPr>
          <w:rFonts w:ascii="Arial" w:cs="Arial" w:eastAsia="Arial" w:hAnsi="Arial"/>
          <w:b/>
          <w:bCs/>
          <w:color w:val="2E75B6"/>
          <w:sz w:val="23"/>
          <w:szCs w:val="23"/>
        </w:rPr>
        <w:t xml:space="preserve">Formulación de PELT</w:t>
      </w:r>
    </w:p>
    <w:p>
      <w:pPr>
        <w:spacing w:after="120" w:line="300"/>
        <w:jc w:val="both"/>
      </w:pPr>
      <w:r>
        <w:rPr>
          <w:rFonts w:ascii="Arial" w:cs="Arial" w:eastAsia="Arial" w:hAnsi="Arial"/>
          <w:b w:val="false"/>
          <w:bCs w:val="false"/>
          <w:i w:val="false"/>
          <w:iCs w:val="false"/>
          <w:color w:val="000000"/>
          <w:sz w:val="22"/>
          <w:szCs w:val="22"/>
        </w:rPr>
        <w:t xml:space="preserve">PELT resuelve el problema de segmentación óptima con penalización lineal:</w:t>
      </w:r>
    </w:p>
    <w:p>
      <w:pPr>
        <w:pBdr>
          <w:top w:val="single" w:color="DDDDDD" w:sz="4" w:space="4"/>
          <w:bottom w:val="single" w:color="DDDDDD" w:sz="4" w:space="4"/>
          <w:left w:val="single" w:color="DDDDDD" w:sz="4" w:space="4"/>
          <w:right w:val="single" w:color="DDDDDD" w:sz="4" w:space="4"/>
        </w:pBdr>
        <w:shd w:fill="F5F5F5" w:val="clear"/>
        <w:spacing w:after="120" w:before="80" w:line="260"/>
        <w:ind w:left="360" w:right="360"/>
      </w:pPr>
      <w:r>
        <w:rPr>
          <w:rFonts w:ascii="Consolas" w:cs="Consolas" w:eastAsia="Consolas" w:hAnsi="Consolas"/>
          <w:color w:val="333333"/>
          <w:sz w:val="20"/>
          <w:szCs w:val="20"/>
        </w:rPr>
        <w:t xml:space="preserve">min Σᵢ C(yτᵢ₋₁₊₁ : τᵢ) + β × m</w:t>
      </w:r>
    </w:p>
    <w:p>
      <w:pPr>
        <w:spacing w:after="120" w:line="300"/>
        <w:jc w:val="both"/>
      </w:pPr>
      <w:r>
        <w:rPr>
          <w:rFonts w:ascii="Arial" w:cs="Arial" w:eastAsia="Arial" w:hAnsi="Arial"/>
          <w:b w:val="false"/>
          <w:bCs w:val="false"/>
          <w:i w:val="false"/>
          <w:iCs w:val="false"/>
          <w:color w:val="000000"/>
          <w:sz w:val="22"/>
          <w:szCs w:val="22"/>
        </w:rPr>
        <w:t xml:space="preserve">Donde C es una función de coste (negativo log-verosimilitud o equivalente), τᵢ son los puntos de cambio, m es su número y β es la penalización por cada changepoint adicional. La complejidad es lineal en el número de observaciones bajo ciertas condiciones de regularidad, lo cual lo hace adecuado para series largas.</w:t>
      </w:r>
    </w:p>
    <w:p>
      <w:pPr>
        <w:pStyle w:val="Heading2"/>
        <w:spacing w:after="140" w:before="280"/>
      </w:pPr>
      <w:r>
        <w:rPr>
          <w:rFonts w:ascii="Arial" w:cs="Arial" w:eastAsia="Arial" w:hAnsi="Arial"/>
          <w:b/>
          <w:bCs/>
          <w:color w:val="1F4E79"/>
          <w:sz w:val="26"/>
          <w:szCs w:val="26"/>
        </w:rPr>
        <w:t xml:space="preserve">7.4. Implementación computacional</w:t>
      </w:r>
    </w:p>
    <w:p>
      <w:pPr>
        <w:spacing w:after="120" w:line="300"/>
        <w:jc w:val="both"/>
      </w:pPr>
      <w:r>
        <w:rPr>
          <w:rFonts w:ascii="Arial" w:cs="Arial" w:eastAsia="Arial" w:hAnsi="Arial"/>
          <w:b w:val="false"/>
          <w:bCs w:val="false"/>
          <w:i w:val="false"/>
          <w:iCs w:val="false"/>
          <w:color w:val="000000"/>
          <w:sz w:val="22"/>
          <w:szCs w:val="22"/>
        </w:rPr>
        <w:t xml:space="preserve">Se utiliza la biblioteca ruptures con el método rpt.Pelt(model="rbf", min_size=2) y penalización pen=3. El min_size evita segmentos demasiado cortos; la penalización regula la sensibilidad. Una exploración pedagógicamente valiosa es modificar pen entre 1 y 10 y observar cómo cambia el número de changepoints: la estudiante comprende así que la detección no es oracular, sino condicional a un hiperparámetro.</w:t>
      </w:r>
    </w:p>
    <w:p>
      <w:pPr>
        <w:pStyle w:val="Heading2"/>
        <w:spacing w:after="140" w:before="280"/>
      </w:pPr>
      <w:r>
        <w:rPr>
          <w:rFonts w:ascii="Arial" w:cs="Arial" w:eastAsia="Arial" w:hAnsi="Arial"/>
          <w:b/>
          <w:bCs/>
          <w:color w:val="1F4E79"/>
          <w:sz w:val="26"/>
          <w:szCs w:val="26"/>
        </w:rPr>
        <w:t xml:space="preserve">7.5. Métricas de calidad</w:t>
      </w:r>
    </w:p>
    <w:p>
      <w:pPr>
        <w:spacing w:after="120" w:line="300"/>
        <w:jc w:val="both"/>
      </w:pPr>
      <w:r>
        <w:rPr>
          <w:rFonts w:ascii="Arial" w:cs="Arial" w:eastAsia="Arial" w:hAnsi="Arial"/>
          <w:b w:val="false"/>
          <w:bCs w:val="false"/>
          <w:i w:val="false"/>
          <w:iCs w:val="false"/>
          <w:color w:val="000000"/>
          <w:sz w:val="22"/>
          <w:szCs w:val="22"/>
        </w:rPr>
        <w:t xml:space="preserve">La validación del transecto opera por triangulación: (i) coincidencia entre changepoints estadísticos y fronteras narrativas; (ii) estabilidad de la segmentación ante variaciones en la penalización; (iii) reproducibilidad con recorridos repetidos en tiempos distintos (transecto longitudinal); (iv) saturación cuando transectos paralelos producen segmentaciones similares.</w:t>
      </w:r>
    </w:p>
    <w:p>
      <w:pPr>
        <w:pStyle w:val="Heading2"/>
        <w:spacing w:after="140" w:before="280"/>
      </w:pPr>
      <w:r>
        <w:rPr>
          <w:rFonts w:ascii="Arial" w:cs="Arial" w:eastAsia="Arial" w:hAnsi="Arial"/>
          <w:b/>
          <w:bCs/>
          <w:color w:val="1F4E79"/>
          <w:sz w:val="26"/>
          <w:szCs w:val="26"/>
        </w:rPr>
        <w:t xml:space="preserve">7.6. Limitaciones</w:t>
      </w:r>
    </w:p>
    <w:p>
      <w:pPr>
        <w:spacing w:after="120" w:line="300"/>
        <w:jc w:val="both"/>
      </w:pPr>
      <w:r>
        <w:rPr>
          <w:rFonts w:ascii="Arial" w:cs="Arial" w:eastAsia="Arial" w:hAnsi="Arial"/>
          <w:b w:val="false"/>
          <w:bCs w:val="false"/>
          <w:i w:val="false"/>
          <w:iCs w:val="false"/>
          <w:color w:val="000000"/>
          <w:sz w:val="22"/>
          <w:szCs w:val="22"/>
        </w:rPr>
        <w:t xml:space="preserve">El transecto es lineal por definición y no captura heterogeneidad lateral. Fenómenos en mosaico requieren transectos paralelos o diseño radial. Adicionalmente, la selección del guía es determinante: un guía con agenda política puede dirigir la atención a ciertas zonas y no a otras. La triangulación con múltiples guías (idealmente de perfiles distintos: hombre/mujer, joven/mayor, pescador/piangüera) reduce este sesgo.</w:t>
      </w:r>
    </w:p>
    <w:p>
      <w:pPr>
        <w:pStyle w:val="Heading2"/>
        <w:spacing w:after="140" w:before="280"/>
      </w:pPr>
      <w:r>
        <w:rPr>
          <w:rFonts w:ascii="Arial" w:cs="Arial" w:eastAsia="Arial" w:hAnsi="Arial"/>
          <w:b/>
          <w:bCs/>
          <w:color w:val="1F4E79"/>
          <w:sz w:val="26"/>
          <w:szCs w:val="26"/>
        </w:rPr>
        <w:t xml:space="preserve">7.7. Anclaje territorial</w:t>
      </w:r>
    </w:p>
    <w:p>
      <w:pPr>
        <w:spacing w:after="120" w:line="300"/>
        <w:jc w:val="both"/>
      </w:pPr>
      <w:r>
        <w:rPr>
          <w:rFonts w:ascii="Arial" w:cs="Arial" w:eastAsia="Arial" w:hAnsi="Arial"/>
          <w:b w:val="false"/>
          <w:bCs w:val="false"/>
          <w:i w:val="false"/>
          <w:iCs w:val="false"/>
          <w:color w:val="000000"/>
          <w:sz w:val="22"/>
          <w:szCs w:val="22"/>
        </w:rPr>
        <w:t xml:space="preserve">En Térraba-Sierpe, transectos navegados con guías pescadores han documentado el retroceso del frente de manglar, la aparición de canales artificiales de camaroneras abandonadas y la recuperación de bancos de piangua en zonas con vedas aplicadas. En el Golfo Dulce, transectos de buceo apoyados por asociaciones locales contribuyen al monitoreo de arrecifes y manglares submarinos.</w:t>
      </w:r>
    </w:p>
    <w:p>
      <w:pPr>
        <w:pStyle w:val="Heading1"/>
        <w:pageBreakBefore/>
        <w:spacing w:after="200" w:before="360"/>
      </w:pPr>
      <w:r>
        <w:rPr>
          <w:rFonts w:ascii="Arial" w:cs="Arial" w:eastAsia="Arial" w:hAnsi="Arial"/>
          <w:b/>
          <w:bCs/>
          <w:color w:val="1F4E79"/>
          <w:sz w:val="32"/>
          <w:szCs w:val="32"/>
        </w:rPr>
        <w:t xml:space="preserve">8. Laboratorio 06 — Foto-voz (PhotoVoice)</w:t>
      </w:r>
    </w:p>
    <w:p>
      <w:pPr>
        <w:pStyle w:val="Heading2"/>
        <w:spacing w:after="140" w:before="280"/>
      </w:pPr>
      <w:r>
        <w:rPr>
          <w:rFonts w:ascii="Arial" w:cs="Arial" w:eastAsia="Arial" w:hAnsi="Arial"/>
          <w:b/>
          <w:bCs/>
          <w:color w:val="1F4E79"/>
          <w:sz w:val="26"/>
          <w:szCs w:val="26"/>
        </w:rPr>
        <w:t xml:space="preserve">8.1. Fundamentación teórica</w:t>
      </w:r>
    </w:p>
    <w:p>
      <w:pPr>
        <w:spacing w:after="120" w:line="300"/>
        <w:jc w:val="both"/>
      </w:pPr>
      <w:r>
        <w:rPr>
          <w:rFonts w:ascii="Arial" w:cs="Arial" w:eastAsia="Arial" w:hAnsi="Arial"/>
          <w:b w:val="false"/>
          <w:bCs w:val="false"/>
          <w:i w:val="false"/>
          <w:iCs w:val="false"/>
          <w:color w:val="000000"/>
          <w:sz w:val="22"/>
          <w:szCs w:val="22"/>
        </w:rPr>
        <w:t xml:space="preserve">Foto-voz es, junto con la investigación acción participativa, uno de los métodos más explícitamente emancipatorios de la tradición cualitativa. Fue formalizado por Caroline Wang y Mary Ann Burris (1994, 1997) en el contexto de la salud pública comunitaria en la China rural, a partir de la convergencia de tres linajes: la pedagogía del oprimido de Paulo Freire (conciencia crítica y codificación visual), el feminismo documental (la cámara como herramienta de poder narrativo) y la teoría de la comunicación visual de John Berger (Ways of Seeing, 1972).</w:t>
      </w:r>
    </w:p>
    <w:p>
      <w:pPr>
        <w:spacing w:after="120" w:line="300"/>
        <w:jc w:val="both"/>
      </w:pPr>
      <w:r>
        <w:rPr>
          <w:rFonts w:ascii="Arial" w:cs="Arial" w:eastAsia="Arial" w:hAnsi="Arial"/>
          <w:b w:val="false"/>
          <w:bCs w:val="false"/>
          <w:i w:val="false"/>
          <w:iCs w:val="false"/>
          <w:color w:val="000000"/>
          <w:sz w:val="22"/>
          <w:szCs w:val="22"/>
        </w:rPr>
        <w:t xml:space="preserve">Su premisa política es que las personas típicamente fotografiadas —comunidades vulnerables, mujeres, poblaciones rurales— deben ser las que tomen las fotos: pasar de objeto pasivo de la cámara a sujeto activo de enunciación. La imagen producida por el sujeto, acompañada de su narrativa, constituye un testimonio cuya autoridad epistémica supera la del investigador externo por más documentado que éste sea.</w:t>
      </w:r>
    </w:p>
    <w:p>
      <w:pPr>
        <w:pStyle w:val="Heading2"/>
        <w:spacing w:after="140" w:before="280"/>
      </w:pPr>
      <w:r>
        <w:rPr>
          <w:rFonts w:ascii="Arial" w:cs="Arial" w:eastAsia="Arial" w:hAnsi="Arial"/>
          <w:b/>
          <w:bCs/>
          <w:color w:val="1F4E79"/>
          <w:sz w:val="26"/>
          <w:szCs w:val="26"/>
        </w:rPr>
        <w:t xml:space="preserve">8.2. Supuestos</w:t>
      </w:r>
    </w:p>
    <w:p>
      <w:pPr>
        <w:pStyle w:val="Heading3"/>
        <w:spacing w:after="100" w:before="220"/>
      </w:pPr>
      <w:r>
        <w:rPr>
          <w:rFonts w:ascii="Arial" w:cs="Arial" w:eastAsia="Arial" w:hAnsi="Arial"/>
          <w:b/>
          <w:bCs/>
          <w:color w:val="2E75B6"/>
          <w:sz w:val="23"/>
          <w:szCs w:val="23"/>
        </w:rPr>
        <w:t xml:space="preserve">Ontológicos</w:t>
      </w:r>
    </w:p>
    <w:p>
      <w:pPr>
        <w:spacing w:after="120" w:line="300"/>
        <w:jc w:val="both"/>
      </w:pPr>
      <w:r>
        <w:rPr>
          <w:rFonts w:ascii="Arial" w:cs="Arial" w:eastAsia="Arial" w:hAnsi="Arial"/>
          <w:b w:val="false"/>
          <w:bCs w:val="false"/>
          <w:i w:val="false"/>
          <w:iCs w:val="false"/>
          <w:color w:val="000000"/>
          <w:sz w:val="22"/>
          <w:szCs w:val="22"/>
        </w:rPr>
        <w:t xml:space="preserve">La realidad comunitaria es en parte inefable en lenguaje verbal: hay experiencias que se fotografían mejor de lo que se dicen. La imagen no sustituye al texto; lo complementa abriendo registros afectivos, estéticos y materiales que el lenguaje verbal reprime o pierde.</w:t>
      </w:r>
    </w:p>
    <w:p>
      <w:pPr>
        <w:pStyle w:val="Heading3"/>
        <w:spacing w:after="100" w:before="220"/>
      </w:pPr>
      <w:r>
        <w:rPr>
          <w:rFonts w:ascii="Arial" w:cs="Arial" w:eastAsia="Arial" w:hAnsi="Arial"/>
          <w:b/>
          <w:bCs/>
          <w:color w:val="2E75B6"/>
          <w:sz w:val="23"/>
          <w:szCs w:val="23"/>
        </w:rPr>
        <w:t xml:space="preserve">Epistemológicos</w:t>
      </w:r>
    </w:p>
    <w:p>
      <w:pPr>
        <w:spacing w:after="120" w:line="300"/>
        <w:jc w:val="both"/>
      </w:pPr>
      <w:r>
        <w:rPr>
          <w:rFonts w:ascii="Arial" w:cs="Arial" w:eastAsia="Arial" w:hAnsi="Arial"/>
          <w:b w:val="false"/>
          <w:bCs w:val="false"/>
          <w:i w:val="false"/>
          <w:iCs w:val="false"/>
          <w:color w:val="000000"/>
          <w:sz w:val="22"/>
          <w:szCs w:val="22"/>
        </w:rPr>
        <w:t xml:space="preserve">La voz del sujeto prevalece sobre la interpretación del analista. El investigador no interpreta solo la foto: la foto se interpreta en co-presencia del autor, quien explica qué muestra, qué significa, por qué la tomó y qué sugiere hacer al respecto.</w:t>
      </w:r>
    </w:p>
    <w:p>
      <w:pPr>
        <w:pStyle w:val="Heading3"/>
        <w:spacing w:after="100" w:before="220"/>
      </w:pPr>
      <w:r>
        <w:rPr>
          <w:rFonts w:ascii="Arial" w:cs="Arial" w:eastAsia="Arial" w:hAnsi="Arial"/>
          <w:b/>
          <w:bCs/>
          <w:color w:val="2E75B6"/>
          <w:sz w:val="23"/>
          <w:szCs w:val="23"/>
        </w:rPr>
        <w:t xml:space="preserve">Metodológicos</w:t>
      </w:r>
    </w:p>
    <w:p>
      <w:pPr>
        <w:spacing w:after="120" w:line="300"/>
        <w:jc w:val="both"/>
      </w:pPr>
      <w:r>
        <w:rPr>
          <w:rFonts w:ascii="Arial" w:cs="Arial" w:eastAsia="Arial" w:hAnsi="Arial"/>
          <w:b w:val="false"/>
          <w:bCs w:val="false"/>
          <w:i w:val="false"/>
          <w:iCs w:val="false"/>
          <w:color w:val="000000"/>
          <w:sz w:val="22"/>
          <w:szCs w:val="22"/>
        </w:rPr>
        <w:t xml:space="preserve">El protocolo estándar incluye: (i) formación ética y técnica en fotografía; (ii) dotación de cámaras o teléfonos; (iii) producción de fotos con consignas mínimas (ej. «lo que amenaza y lo que fortalece mi comunidad»); (iv) sesiones grupales donde cada participante presenta sus fotos seguidas del protocolo SHOWeD; (v) selección colectiva de fotos para exposición pública; (vi) exhibición con autoridades y formuladores de política.</w:t>
      </w:r>
    </w:p>
    <w:p>
      <w:pPr>
        <w:pStyle w:val="Heading3"/>
        <w:spacing w:after="100" w:before="220"/>
      </w:pPr>
      <w:r>
        <w:rPr>
          <w:rFonts w:ascii="Arial" w:cs="Arial" w:eastAsia="Arial" w:hAnsi="Arial"/>
          <w:b/>
          <w:bCs/>
          <w:color w:val="2E75B6"/>
          <w:sz w:val="23"/>
          <w:szCs w:val="23"/>
        </w:rPr>
        <w:t xml:space="preserve">El protocolo SHOWeD</w:t>
      </w:r>
    </w:p>
    <w:p>
      <w:pPr>
        <w:spacing w:after="120" w:line="300"/>
        <w:jc w:val="both"/>
      </w:pPr>
      <w:r>
        <w:rPr>
          <w:rFonts w:ascii="Arial" w:cs="Arial" w:eastAsia="Arial" w:hAnsi="Arial"/>
          <w:b w:val="false"/>
          <w:bCs w:val="false"/>
          <w:i w:val="false"/>
          <w:iCs w:val="false"/>
          <w:color w:val="000000"/>
          <w:sz w:val="22"/>
          <w:szCs w:val="22"/>
        </w:rPr>
        <w:t xml:space="preserve">Las cinco preguntas dialógicas de Wang estructuran la discusión:</w:t>
      </w:r>
    </w:p>
    <w:p>
      <w:pPr>
        <w:pStyle w:val="ListParagraph"/>
        <w:numPr>
          <w:ilvl w:val="0"/>
          <w:numId w:val="2"/>
        </w:numPr>
        <w:spacing w:after="60" w:line="280"/>
        <w:jc w:val="both"/>
      </w:pPr>
      <w:r>
        <w:rPr>
          <w:rFonts w:ascii="Arial" w:cs="Arial" w:eastAsia="Arial" w:hAnsi="Arial"/>
          <w:sz w:val="22"/>
          <w:szCs w:val="22"/>
        </w:rPr>
        <w:t xml:space="preserve">S — What do you See here? (¿Qué ves aquí?)</w:t>
      </w:r>
    </w:p>
    <w:p>
      <w:pPr>
        <w:pStyle w:val="ListParagraph"/>
        <w:numPr>
          <w:ilvl w:val="0"/>
          <w:numId w:val="2"/>
        </w:numPr>
        <w:spacing w:after="60" w:line="280"/>
        <w:jc w:val="both"/>
      </w:pPr>
      <w:r>
        <w:rPr>
          <w:rFonts w:ascii="Arial" w:cs="Arial" w:eastAsia="Arial" w:hAnsi="Arial"/>
          <w:sz w:val="22"/>
          <w:szCs w:val="22"/>
        </w:rPr>
        <w:t xml:space="preserve">H — What is really Happening here? (¿Qué está pasando realmente?)</w:t>
      </w:r>
    </w:p>
    <w:p>
      <w:pPr>
        <w:pStyle w:val="ListParagraph"/>
        <w:numPr>
          <w:ilvl w:val="0"/>
          <w:numId w:val="2"/>
        </w:numPr>
        <w:spacing w:after="60" w:line="280"/>
        <w:jc w:val="both"/>
      </w:pPr>
      <w:r>
        <w:rPr>
          <w:rFonts w:ascii="Arial" w:cs="Arial" w:eastAsia="Arial" w:hAnsi="Arial"/>
          <w:sz w:val="22"/>
          <w:szCs w:val="22"/>
        </w:rPr>
        <w:t xml:space="preserve">O — How does this relate to Our lives? (¿Cómo se relaciona con nuestras vidas?)</w:t>
      </w:r>
    </w:p>
    <w:p>
      <w:pPr>
        <w:pStyle w:val="ListParagraph"/>
        <w:numPr>
          <w:ilvl w:val="0"/>
          <w:numId w:val="2"/>
        </w:numPr>
        <w:spacing w:after="60" w:line="280"/>
        <w:jc w:val="both"/>
      </w:pPr>
      <w:r>
        <w:rPr>
          <w:rFonts w:ascii="Arial" w:cs="Arial" w:eastAsia="Arial" w:hAnsi="Arial"/>
          <w:sz w:val="22"/>
          <w:szCs w:val="22"/>
        </w:rPr>
        <w:t xml:space="preserve">W — Why does this situation, concern or strength exist? (¿Por qué existe?)</w:t>
      </w:r>
    </w:p>
    <w:p>
      <w:pPr>
        <w:pStyle w:val="ListParagraph"/>
        <w:numPr>
          <w:ilvl w:val="0"/>
          <w:numId w:val="2"/>
        </w:numPr>
        <w:spacing w:after="60" w:line="280"/>
        <w:jc w:val="both"/>
      </w:pPr>
      <w:r>
        <w:rPr>
          <w:rFonts w:ascii="Arial" w:cs="Arial" w:eastAsia="Arial" w:hAnsi="Arial"/>
          <w:sz w:val="22"/>
          <w:szCs w:val="22"/>
        </w:rPr>
        <w:t xml:space="preserve">D — What can we Do about it? (¿Qué podemos hacer?)</w:t>
      </w:r>
    </w:p>
    <w:p>
      <w:pPr>
        <w:pStyle w:val="Heading2"/>
        <w:spacing w:after="140" w:before="280"/>
      </w:pPr>
      <w:r>
        <w:rPr>
          <w:rFonts w:ascii="Arial" w:cs="Arial" w:eastAsia="Arial" w:hAnsi="Arial"/>
          <w:b/>
          <w:bCs/>
          <w:color w:val="1F4E79"/>
          <w:sz w:val="26"/>
          <w:szCs w:val="26"/>
        </w:rPr>
        <w:t xml:space="preserve">8.3. Técnica</w:t>
      </w:r>
    </w:p>
    <w:p>
      <w:pPr>
        <w:spacing w:after="120" w:line="300"/>
        <w:jc w:val="both"/>
      </w:pPr>
      <w:r>
        <w:rPr>
          <w:rFonts w:ascii="Arial" w:cs="Arial" w:eastAsia="Arial" w:hAnsi="Arial"/>
          <w:b w:val="false"/>
          <w:bCs w:val="false"/>
          <w:i w:val="false"/>
          <w:iCs w:val="false"/>
          <w:color w:val="000000"/>
          <w:sz w:val="22"/>
          <w:szCs w:val="22"/>
        </w:rPr>
        <w:t xml:space="preserve">El laboratorio simula un proyecto con 10 participantes, cada uno entrega 6 fotos (3 amenazas, 3 fortalezas), con intensidad emocional declarada de 1 a 10 y categoría narrativa asociada. Sobre ese corpus se aplica:</w:t>
      </w:r>
    </w:p>
    <w:p>
      <w:pPr>
        <w:pStyle w:val="ListParagraph"/>
        <w:numPr>
          <w:ilvl w:val="0"/>
          <w:numId w:val="2"/>
        </w:numPr>
        <w:spacing w:after="60" w:line="280"/>
        <w:jc w:val="both"/>
      </w:pPr>
      <w:r>
        <w:rPr>
          <w:rFonts w:ascii="Arial" w:cs="Arial" w:eastAsia="Arial" w:hAnsi="Arial"/>
          <w:sz w:val="22"/>
          <w:szCs w:val="22"/>
        </w:rPr>
        <w:t xml:space="preserve">Vectorización TF-IDF de las narrativas con bigramas, para capturar frases compuestas («basura plástica», «vivero manglar»).</w:t>
      </w:r>
    </w:p>
    <w:p>
      <w:pPr>
        <w:pStyle w:val="ListParagraph"/>
        <w:numPr>
          <w:ilvl w:val="0"/>
          <w:numId w:val="2"/>
        </w:numPr>
        <w:spacing w:after="60" w:line="280"/>
        <w:jc w:val="both"/>
      </w:pPr>
      <w:r>
        <w:rPr>
          <w:rFonts w:ascii="Arial" w:cs="Arial" w:eastAsia="Arial" w:hAnsi="Arial"/>
          <w:sz w:val="22"/>
          <w:szCs w:val="22"/>
        </w:rPr>
        <w:t xml:space="preserve">Clustering K-Means con K=4 sobre la matriz TF-IDF, para identificar agrupaciones temáticas espontáneas.</w:t>
      </w:r>
    </w:p>
    <w:p>
      <w:pPr>
        <w:pStyle w:val="ListParagraph"/>
        <w:numPr>
          <w:ilvl w:val="0"/>
          <w:numId w:val="2"/>
        </w:numPr>
        <w:spacing w:after="60" w:line="280"/>
        <w:jc w:val="both"/>
      </w:pPr>
      <w:r>
        <w:rPr>
          <w:rFonts w:ascii="Arial" w:cs="Arial" w:eastAsia="Arial" w:hAnsi="Arial"/>
          <w:sz w:val="22"/>
          <w:szCs w:val="22"/>
        </w:rPr>
        <w:t xml:space="preserve">Reducción dimensional PCA a dos componentes, para visualizar el mapa semántico del corpus.</w:t>
      </w:r>
    </w:p>
    <w:p>
      <w:pPr>
        <w:pStyle w:val="ListParagraph"/>
        <w:numPr>
          <w:ilvl w:val="0"/>
          <w:numId w:val="2"/>
        </w:numPr>
        <w:spacing w:after="60" w:line="280"/>
        <w:jc w:val="both"/>
      </w:pPr>
      <w:r>
        <w:rPr>
          <w:rFonts w:ascii="Arial" w:cs="Arial" w:eastAsia="Arial" w:hAnsi="Arial"/>
          <w:sz w:val="22"/>
          <w:szCs w:val="22"/>
        </w:rPr>
        <w:t xml:space="preserve">Construcción de una red bimodal: nodos son fotos, aristas conectan fotos del mismo participante con categorías opuestas (amenaza/fortaleza). Esta red visualiza la dialéctica que cada participante articula.</w:t>
      </w:r>
    </w:p>
    <w:p>
      <w:pPr>
        <w:pStyle w:val="ListParagraph"/>
        <w:numPr>
          <w:ilvl w:val="0"/>
          <w:numId w:val="2"/>
        </w:numPr>
        <w:spacing w:after="60" w:line="280"/>
        <w:jc w:val="both"/>
      </w:pPr>
      <w:r>
        <w:rPr>
          <w:rFonts w:ascii="Arial" w:cs="Arial" w:eastAsia="Arial" w:hAnsi="Arial"/>
          <w:sz w:val="22"/>
          <w:szCs w:val="22"/>
        </w:rPr>
        <w:t xml:space="preserve">Heatmap intensidad × etiqueta × participante: muestra qué amenazas y fortalezas son emocionalmente más cargadas por individuo.</w:t>
      </w:r>
    </w:p>
    <w:p>
      <w:pPr>
        <w:pStyle w:val="Heading2"/>
        <w:spacing w:after="140" w:before="280"/>
      </w:pPr>
      <w:r>
        <w:rPr>
          <w:rFonts w:ascii="Arial" w:cs="Arial" w:eastAsia="Arial" w:hAnsi="Arial"/>
          <w:b/>
          <w:bCs/>
          <w:color w:val="1F4E79"/>
          <w:sz w:val="26"/>
          <w:szCs w:val="26"/>
        </w:rPr>
        <w:t xml:space="preserve">8.4. Implementación computacional</w:t>
      </w:r>
    </w:p>
    <w:p>
      <w:pPr>
        <w:spacing w:after="120" w:line="300"/>
        <w:jc w:val="both"/>
      </w:pPr>
      <w:r>
        <w:rPr>
          <w:rFonts w:ascii="Arial" w:cs="Arial" w:eastAsia="Arial" w:hAnsi="Arial"/>
          <w:b w:val="false"/>
          <w:bCs w:val="false"/>
          <w:i w:val="false"/>
          <w:iCs w:val="false"/>
          <w:color w:val="000000"/>
          <w:sz w:val="22"/>
          <w:szCs w:val="22"/>
        </w:rPr>
        <w:t xml:space="preserve">El TF-IDF se calcula con sklearn.feature_extraction.text.TfidfVectorizer; K-Means con random_state=SEED y n_init=10 para estabilidad; PCA con dos componentes; la red bimodal con networkx.Graph. La integración pedagógicamente interesante es que la máquina identifica clusters temáticos, pero el significado se construye en la sesión grupal SHOWeD: la máquina no sustituye al sujeto, lo orienta.</w:t>
      </w:r>
    </w:p>
    <w:p>
      <w:pPr>
        <w:pStyle w:val="Heading2"/>
        <w:spacing w:after="140" w:before="280"/>
      </w:pPr>
      <w:r>
        <w:rPr>
          <w:rFonts w:ascii="Arial" w:cs="Arial" w:eastAsia="Arial" w:hAnsi="Arial"/>
          <w:b/>
          <w:bCs/>
          <w:color w:val="1F4E79"/>
          <w:sz w:val="26"/>
          <w:szCs w:val="26"/>
        </w:rPr>
        <w:t xml:space="preserve">8.5. Métricas de calidad</w:t>
      </w:r>
    </w:p>
    <w:p>
      <w:pPr>
        <w:spacing w:after="120" w:line="300"/>
        <w:jc w:val="both"/>
      </w:pPr>
      <w:r>
        <w:rPr>
          <w:rFonts w:ascii="Arial" w:cs="Arial" w:eastAsia="Arial" w:hAnsi="Arial"/>
          <w:b w:val="false"/>
          <w:bCs w:val="false"/>
          <w:i w:val="false"/>
          <w:iCs w:val="false"/>
          <w:color w:val="000000"/>
          <w:sz w:val="22"/>
          <w:szCs w:val="22"/>
        </w:rPr>
        <w:t xml:space="preserve">Dos criterios específicos de foto-voz: (i) empoderamiento percibido, medible con escalas pre/post (Nykiforuk et al., 2011), y (ii) tránsito a la acción: número de fotos que motivan acciones colectivas concretas tras la exhibición. En términos analíticos, el silhouette score para K-Means y la varianza explicada acumulada en PCA ofrecen diagnóstico de la estructura emergente.</w:t>
      </w:r>
    </w:p>
    <w:p>
      <w:pPr>
        <w:pStyle w:val="Heading2"/>
        <w:spacing w:after="140" w:before="280"/>
      </w:pPr>
      <w:r>
        <w:rPr>
          <w:rFonts w:ascii="Arial" w:cs="Arial" w:eastAsia="Arial" w:hAnsi="Arial"/>
          <w:b/>
          <w:bCs/>
          <w:color w:val="1F4E79"/>
          <w:sz w:val="26"/>
          <w:szCs w:val="26"/>
        </w:rPr>
        <w:t xml:space="preserve">8.6. Limitaciones y ética</w:t>
      </w:r>
    </w:p>
    <w:p>
      <w:pPr>
        <w:spacing w:after="120" w:line="300"/>
        <w:jc w:val="both"/>
      </w:pPr>
      <w:r>
        <w:rPr>
          <w:rFonts w:ascii="Arial" w:cs="Arial" w:eastAsia="Arial" w:hAnsi="Arial"/>
          <w:b w:val="false"/>
          <w:bCs w:val="false"/>
          <w:i w:val="false"/>
          <w:iCs w:val="false"/>
          <w:color w:val="000000"/>
          <w:sz w:val="22"/>
          <w:szCs w:val="22"/>
        </w:rPr>
        <w:t xml:space="preserve">Las limitaciones éticas dominan el método. Fotografiar a terceros sin consentimiento es éticamente problemático y, en muchos casos, ilegal. Los participantes deben recibir formación explícita sobre consentimiento, anonimato y uso final de imágenes. Los niños y niñas son sujetos de protección reforzada: deben obtenerse asentimientos y consentimientos parentales, y las imágenes no deben identificar rostros de menores. En comunidades pequeñas, el anonimato funcional es imposible; conviene discutir colectivamente desde el inicio la política de publicación.</w:t>
      </w:r>
    </w:p>
    <w:p>
      <w:pPr>
        <w:pStyle w:val="Heading2"/>
        <w:spacing w:after="140" w:before="280"/>
      </w:pPr>
      <w:r>
        <w:rPr>
          <w:rFonts w:ascii="Arial" w:cs="Arial" w:eastAsia="Arial" w:hAnsi="Arial"/>
          <w:b/>
          <w:bCs/>
          <w:color w:val="1F4E79"/>
          <w:sz w:val="26"/>
          <w:szCs w:val="26"/>
        </w:rPr>
        <w:t xml:space="preserve">8.7. Anclaje territorial</w:t>
      </w:r>
    </w:p>
    <w:p>
      <w:pPr>
        <w:spacing w:after="120" w:line="300"/>
        <w:jc w:val="both"/>
      </w:pPr>
      <w:r>
        <w:rPr>
          <w:rFonts w:ascii="Arial" w:cs="Arial" w:eastAsia="Arial" w:hAnsi="Arial"/>
          <w:b w:val="false"/>
          <w:bCs w:val="false"/>
          <w:i w:val="false"/>
          <w:iCs w:val="false"/>
          <w:color w:val="000000"/>
          <w:sz w:val="22"/>
          <w:szCs w:val="22"/>
        </w:rPr>
        <w:t xml:space="preserve">Foto-voz aplicado a comunidades piangüeras del Pacífico sur costarricense ha documentado amenazas (contaminación por camaroneras, cierre de canales, acoso institucional) y fortalezas (viveros comunitarios, organización de mujeres, prácticas de manejo ancestral) con un nivel de riqueza afectiva inalcanzable para la encuesta. Exposiciones itinerantes han alimentado la incidencia ante INCOPESCA y el SINAC.</w:t>
      </w:r>
    </w:p>
    <w:p>
      <w:pPr>
        <w:pStyle w:val="Heading1"/>
        <w:pageBreakBefore/>
        <w:spacing w:after="200" w:before="360"/>
      </w:pPr>
      <w:r>
        <w:rPr>
          <w:rFonts w:ascii="Arial" w:cs="Arial" w:eastAsia="Arial" w:hAnsi="Arial"/>
          <w:b/>
          <w:bCs/>
          <w:color w:val="1F4E79"/>
          <w:sz w:val="32"/>
          <w:szCs w:val="32"/>
        </w:rPr>
        <w:t xml:space="preserve">9. Laboratorio 07 — Análisis de redes sociales cualitativo (gobernanza)</w:t>
      </w:r>
    </w:p>
    <w:p>
      <w:pPr>
        <w:pStyle w:val="Heading2"/>
        <w:spacing w:after="140" w:before="280"/>
      </w:pPr>
      <w:r>
        <w:rPr>
          <w:rFonts w:ascii="Arial" w:cs="Arial" w:eastAsia="Arial" w:hAnsi="Arial"/>
          <w:b/>
          <w:bCs/>
          <w:color w:val="1F4E79"/>
          <w:sz w:val="26"/>
          <w:szCs w:val="26"/>
        </w:rPr>
        <w:t xml:space="preserve">9.1. Fundamentación teórica</w:t>
      </w:r>
    </w:p>
    <w:p>
      <w:pPr>
        <w:spacing w:after="120" w:line="300"/>
        <w:jc w:val="both"/>
      </w:pPr>
      <w:r>
        <w:rPr>
          <w:rFonts w:ascii="Arial" w:cs="Arial" w:eastAsia="Arial" w:hAnsi="Arial"/>
          <w:b w:val="false"/>
          <w:bCs w:val="false"/>
          <w:i w:val="false"/>
          <w:iCs w:val="false"/>
          <w:color w:val="000000"/>
          <w:sz w:val="22"/>
          <w:szCs w:val="22"/>
        </w:rPr>
        <w:t xml:space="preserve">El análisis de redes sociales (Social Network Analysis, SNA) tiene raíces en la sociometría de Moreno (1934), la antropología estructural de Radcliffe-Brown y la sociología matemática de Harary y White. Su consolidación contemporánea proviene de Wasserman y Faust (1994) y, para aplicaciones en gestión de recursos naturales, de Bodin y Crona (2009) y Bodin (2017). La idea central es que la estructura relacional de los actores —quién está conectado con quién, con qué frecuencia, en qué dirección, con qué intensidad— explica resultados de gobernanza que los atributos individuales no explican.</w:t>
      </w:r>
    </w:p>
    <w:p>
      <w:pPr>
        <w:spacing w:after="120" w:line="300"/>
        <w:jc w:val="both"/>
      </w:pPr>
      <w:r>
        <w:rPr>
          <w:rFonts w:ascii="Arial" w:cs="Arial" w:eastAsia="Arial" w:hAnsi="Arial"/>
          <w:b w:val="false"/>
          <w:bCs w:val="false"/>
          <w:i w:val="false"/>
          <w:iCs w:val="false"/>
          <w:color w:val="000000"/>
          <w:sz w:val="22"/>
          <w:szCs w:val="22"/>
        </w:rPr>
        <w:t xml:space="preserve">Dos nociones teóricas son ineludibles: los agujeros estructurales de Ronald Burt (1992, 2004), que identifican posiciones en las que un actor sirve de único puente entre dos grupos no conectados y obtiene así una ventaja informativa y negociadora; y la modularidad de Newman y Girvan (2004), que formaliza la noción de comunidad en redes como densidad de conexión intragrupal superior a la densidad esperada por azar.</w:t>
      </w:r>
    </w:p>
    <w:p>
      <w:pPr>
        <w:pStyle w:val="Heading2"/>
        <w:spacing w:after="140" w:before="280"/>
      </w:pPr>
      <w:r>
        <w:rPr>
          <w:rFonts w:ascii="Arial" w:cs="Arial" w:eastAsia="Arial" w:hAnsi="Arial"/>
          <w:b/>
          <w:bCs/>
          <w:color w:val="1F4E79"/>
          <w:sz w:val="26"/>
          <w:szCs w:val="26"/>
        </w:rPr>
        <w:t xml:space="preserve">9.2. Supuestos</w:t>
      </w:r>
    </w:p>
    <w:p>
      <w:pPr>
        <w:pStyle w:val="Heading3"/>
        <w:spacing w:after="100" w:before="220"/>
      </w:pPr>
      <w:r>
        <w:rPr>
          <w:rFonts w:ascii="Arial" w:cs="Arial" w:eastAsia="Arial" w:hAnsi="Arial"/>
          <w:b/>
          <w:bCs/>
          <w:color w:val="2E75B6"/>
          <w:sz w:val="23"/>
          <w:szCs w:val="23"/>
        </w:rPr>
        <w:t xml:space="preserve">Ontológicos</w:t>
      </w:r>
    </w:p>
    <w:p>
      <w:pPr>
        <w:spacing w:after="120" w:line="300"/>
        <w:jc w:val="both"/>
      </w:pPr>
      <w:r>
        <w:rPr>
          <w:rFonts w:ascii="Arial" w:cs="Arial" w:eastAsia="Arial" w:hAnsi="Arial"/>
          <w:b w:val="false"/>
          <w:bCs w:val="false"/>
          <w:i w:val="false"/>
          <w:iCs w:val="false"/>
          <w:color w:val="000000"/>
          <w:sz w:val="22"/>
          <w:szCs w:val="22"/>
        </w:rPr>
        <w:t xml:space="preserve">La gobernanza es constitutivamente relacional. Un Ministerio no actúa en abstracto; actúa a través de sus vínculos con otros ministerios, con órganos desconcentrados, con organizaciones de base, con la academia y con el sector privado. El poder no es un atributo, sino una posición en una red.</w:t>
      </w:r>
    </w:p>
    <w:p>
      <w:pPr>
        <w:pStyle w:val="Heading3"/>
        <w:spacing w:after="100" w:before="220"/>
      </w:pPr>
      <w:r>
        <w:rPr>
          <w:rFonts w:ascii="Arial" w:cs="Arial" w:eastAsia="Arial" w:hAnsi="Arial"/>
          <w:b/>
          <w:bCs/>
          <w:color w:val="2E75B6"/>
          <w:sz w:val="23"/>
          <w:szCs w:val="23"/>
        </w:rPr>
        <w:t xml:space="preserve">Epistemológicos</w:t>
      </w:r>
    </w:p>
    <w:p>
      <w:pPr>
        <w:spacing w:after="120" w:line="300"/>
        <w:jc w:val="both"/>
      </w:pPr>
      <w:r>
        <w:rPr>
          <w:rFonts w:ascii="Arial" w:cs="Arial" w:eastAsia="Arial" w:hAnsi="Arial"/>
          <w:b w:val="false"/>
          <w:bCs w:val="false"/>
          <w:i w:val="false"/>
          <w:iCs w:val="false"/>
          <w:color w:val="000000"/>
          <w:sz w:val="22"/>
          <w:szCs w:val="22"/>
        </w:rPr>
        <w:t xml:space="preserve">La estructura importa tanto o más que el atributo. Dos actores con las mismas capacidades formales tendrán desempeños distintos si ocupan posiciones estructuralmente diferentes. La información fluye preferentemente por enlaces fuertes, pero las innovaciones suelen llegar por enlaces débiles (Granovetter, 1973).</w:t>
      </w:r>
    </w:p>
    <w:p>
      <w:pPr>
        <w:pStyle w:val="Heading3"/>
        <w:spacing w:after="100" w:before="220"/>
      </w:pPr>
      <w:r>
        <w:rPr>
          <w:rFonts w:ascii="Arial" w:cs="Arial" w:eastAsia="Arial" w:hAnsi="Arial"/>
          <w:b/>
          <w:bCs/>
          <w:color w:val="2E75B6"/>
          <w:sz w:val="23"/>
          <w:szCs w:val="23"/>
        </w:rPr>
        <w:t xml:space="preserve">Metodológicos</w:t>
      </w:r>
    </w:p>
    <w:p>
      <w:pPr>
        <w:spacing w:after="120" w:line="300"/>
        <w:jc w:val="both"/>
      </w:pPr>
      <w:r>
        <w:rPr>
          <w:rFonts w:ascii="Arial" w:cs="Arial" w:eastAsia="Arial" w:hAnsi="Arial"/>
          <w:b w:val="false"/>
          <w:bCs w:val="false"/>
          <w:i w:val="false"/>
          <w:iCs w:val="false"/>
          <w:color w:val="000000"/>
          <w:sz w:val="22"/>
          <w:szCs w:val="22"/>
        </w:rPr>
        <w:t xml:space="preserve">Se asume (i) identificación exhaustiva de actores relevantes (mapeo snowball desde actores semilla); (ii) definición operacional del vínculo (frecuencia de comunicación, acuerdos formales, transferencias de recursos, co-presencia en espacios); (iii) escala de intensidad si el vínculo no es binario; (iv) validación comunitaria de la matriz antes del análisis.</w:t>
      </w:r>
    </w:p>
    <w:p>
      <w:pPr>
        <w:pStyle w:val="Heading2"/>
        <w:spacing w:after="140" w:before="280"/>
      </w:pPr>
      <w:r>
        <w:rPr>
          <w:rFonts w:ascii="Arial" w:cs="Arial" w:eastAsia="Arial" w:hAnsi="Arial"/>
          <w:b/>
          <w:bCs/>
          <w:color w:val="1F4E79"/>
          <w:sz w:val="26"/>
          <w:szCs w:val="26"/>
        </w:rPr>
        <w:t xml:space="preserve">9.3. Técnica</w:t>
      </w:r>
    </w:p>
    <w:p>
      <w:pPr>
        <w:spacing w:after="120" w:line="300"/>
        <w:jc w:val="both"/>
      </w:pPr>
      <w:r>
        <w:rPr>
          <w:rFonts w:ascii="Arial" w:cs="Arial" w:eastAsia="Arial" w:hAnsi="Arial"/>
          <w:b w:val="false"/>
          <w:bCs w:val="false"/>
          <w:i w:val="false"/>
          <w:iCs w:val="false"/>
          <w:color w:val="000000"/>
          <w:sz w:val="22"/>
          <w:szCs w:val="22"/>
        </w:rPr>
        <w:t xml:space="preserve">El laboratorio construye una red de 22 actores del sistema de gobernanza marino-costera de Costa Rica, clasificados en seis niveles (central, local, academia, ONG, pesca, privado), con 28 reglas explícitas de vínculo más ruido estructural aleatorio. Se calculan cuatro centralidades:</w:t>
      </w:r>
    </w:p>
    <w:p>
      <w:pPr>
        <w:pStyle w:val="ListParagraph"/>
        <w:numPr>
          <w:ilvl w:val="0"/>
          <w:numId w:val="2"/>
        </w:numPr>
        <w:spacing w:after="60" w:line="280"/>
        <w:jc w:val="both"/>
      </w:pPr>
      <w:r>
        <w:rPr>
          <w:rFonts w:ascii="Arial" w:cs="Arial" w:eastAsia="Arial" w:hAnsi="Arial"/>
          <w:sz w:val="22"/>
          <w:szCs w:val="22"/>
        </w:rPr>
        <w:t xml:space="preserve">Grado (degree centrality): número de conexiones directas. Mide popularidad o accesibilidad.</w:t>
      </w:r>
    </w:p>
    <w:p>
      <w:pPr>
        <w:pStyle w:val="ListParagraph"/>
        <w:numPr>
          <w:ilvl w:val="0"/>
          <w:numId w:val="2"/>
        </w:numPr>
        <w:spacing w:after="60" w:line="280"/>
        <w:jc w:val="both"/>
      </w:pPr>
      <w:r>
        <w:rPr>
          <w:rFonts w:ascii="Arial" w:cs="Arial" w:eastAsia="Arial" w:hAnsi="Arial"/>
          <w:sz w:val="22"/>
          <w:szCs w:val="22"/>
        </w:rPr>
        <w:t xml:space="preserve">Intermediación (betweenness centrality): proporción de caminos más cortos entre pares que atraviesan el nodo. Mide broker.</w:t>
      </w:r>
    </w:p>
    <w:p>
      <w:pPr>
        <w:pStyle w:val="ListParagraph"/>
        <w:numPr>
          <w:ilvl w:val="0"/>
          <w:numId w:val="2"/>
        </w:numPr>
        <w:spacing w:after="60" w:line="280"/>
        <w:jc w:val="both"/>
      </w:pPr>
      <w:r>
        <w:rPr>
          <w:rFonts w:ascii="Arial" w:cs="Arial" w:eastAsia="Arial" w:hAnsi="Arial"/>
          <w:sz w:val="22"/>
          <w:szCs w:val="22"/>
        </w:rPr>
        <w:t xml:space="preserve">Cercanía (closeness centrality): inverso de la distancia media a todos los nodos alcanzables. Mide rapidez difusiva.</w:t>
      </w:r>
    </w:p>
    <w:p>
      <w:pPr>
        <w:pStyle w:val="ListParagraph"/>
        <w:numPr>
          <w:ilvl w:val="0"/>
          <w:numId w:val="2"/>
        </w:numPr>
        <w:spacing w:after="60" w:line="280"/>
        <w:jc w:val="both"/>
      </w:pPr>
      <w:r>
        <w:rPr>
          <w:rFonts w:ascii="Arial" w:cs="Arial" w:eastAsia="Arial" w:hAnsi="Arial"/>
          <w:sz w:val="22"/>
          <w:szCs w:val="22"/>
        </w:rPr>
        <w:t xml:space="preserve">Vector propio (eigenvector centrality): la importancia del nodo es proporcional a la importancia de sus vecinos. Mide prestigio.</w:t>
      </w:r>
    </w:p>
    <w:p>
      <w:pPr>
        <w:spacing w:after="120" w:line="300"/>
        <w:jc w:val="both"/>
      </w:pPr>
      <w:r>
        <w:rPr>
          <w:rFonts w:ascii="Arial" w:cs="Arial" w:eastAsia="Arial" w:hAnsi="Arial"/>
          <w:b w:val="false"/>
          <w:bCs w:val="false"/>
          <w:i w:val="false"/>
          <w:iCs w:val="false"/>
          <w:color w:val="000000"/>
          <w:sz w:val="22"/>
          <w:szCs w:val="22"/>
        </w:rPr>
        <w:t xml:space="preserve">La detección de comunidades se realiza con el algoritmo Louvain de Blondel et al. (2008), que optimiza localmente la modularidad Q:</w:t>
      </w:r>
    </w:p>
    <w:p>
      <w:pPr>
        <w:pBdr>
          <w:top w:val="single" w:color="DDDDDD" w:sz="4" w:space="4"/>
          <w:bottom w:val="single" w:color="DDDDDD" w:sz="4" w:space="4"/>
          <w:left w:val="single" w:color="DDDDDD" w:sz="4" w:space="4"/>
          <w:right w:val="single" w:color="DDDDDD" w:sz="4" w:space="4"/>
        </w:pBdr>
        <w:shd w:fill="F5F5F5" w:val="clear"/>
        <w:spacing w:after="120" w:before="80" w:line="260"/>
        <w:ind w:left="360" w:right="360"/>
      </w:pPr>
      <w:r>
        <w:rPr>
          <w:rFonts w:ascii="Consolas" w:cs="Consolas" w:eastAsia="Consolas" w:hAnsi="Consolas"/>
          <w:color w:val="333333"/>
          <w:sz w:val="20"/>
          <w:szCs w:val="20"/>
        </w:rPr>
        <w:t xml:space="preserve">Q = (1 / 2m) × Σᵢⱼ [Aᵢⱼ − kᵢkⱼ/2m] × δ(cᵢ, cⱼ)</w:t>
      </w:r>
    </w:p>
    <w:p>
      <w:pPr>
        <w:spacing w:after="120" w:line="300"/>
        <w:jc w:val="both"/>
      </w:pPr>
      <w:r>
        <w:rPr>
          <w:rFonts w:ascii="Arial" w:cs="Arial" w:eastAsia="Arial" w:hAnsi="Arial"/>
          <w:b w:val="false"/>
          <w:bCs w:val="false"/>
          <w:i w:val="false"/>
          <w:iCs w:val="false"/>
          <w:color w:val="000000"/>
          <w:sz w:val="22"/>
          <w:szCs w:val="22"/>
        </w:rPr>
        <w:t xml:space="preserve">Q &gt; 0.30 sugiere estructura comunitaria significativa; Q &lt; 0.30 indica red aproximadamente aleatoria en su estructura mesoscópica.</w:t>
      </w:r>
    </w:p>
    <w:p>
      <w:pPr>
        <w:pStyle w:val="Heading2"/>
        <w:spacing w:after="140" w:before="280"/>
      </w:pPr>
      <w:r>
        <w:rPr>
          <w:rFonts w:ascii="Arial" w:cs="Arial" w:eastAsia="Arial" w:hAnsi="Arial"/>
          <w:b/>
          <w:bCs/>
          <w:color w:val="1F4E79"/>
          <w:sz w:val="26"/>
          <w:szCs w:val="26"/>
        </w:rPr>
        <w:t xml:space="preserve">9.4. Agujeros estructurales</w:t>
      </w:r>
    </w:p>
    <w:p>
      <w:pPr>
        <w:spacing w:after="120" w:line="300"/>
        <w:jc w:val="both"/>
      </w:pPr>
      <w:r>
        <w:rPr>
          <w:rFonts w:ascii="Arial" w:cs="Arial" w:eastAsia="Arial" w:hAnsi="Arial"/>
          <w:b w:val="false"/>
          <w:bCs w:val="false"/>
          <w:i w:val="false"/>
          <w:iCs w:val="false"/>
          <w:color w:val="000000"/>
          <w:sz w:val="22"/>
          <w:szCs w:val="22"/>
        </w:rPr>
        <w:t xml:space="preserve">Los puentes inter-comunidad —aristas que conectan nodos de comunidades distintas— son operacionalizaciones prácticas de los agujeros estructurales de Burt. El actor situado en un agujero estructural (alta intermediación y bajo clustering local) tiene ventaja estratégica: controla el flujo de información entre dos mundos. En gobernanza marino-costera esto se traduce en alianzas cruzadas (academia-ONG, gobierno local-pesca artesanal) cuya ruptura produce fragmentación.</w:t>
      </w:r>
    </w:p>
    <w:p>
      <w:pPr>
        <w:pStyle w:val="Heading2"/>
        <w:spacing w:after="140" w:before="280"/>
      </w:pPr>
      <w:r>
        <w:rPr>
          <w:rFonts w:ascii="Arial" w:cs="Arial" w:eastAsia="Arial" w:hAnsi="Arial"/>
          <w:b/>
          <w:bCs/>
          <w:color w:val="1F4E79"/>
          <w:sz w:val="26"/>
          <w:szCs w:val="26"/>
        </w:rPr>
        <w:t xml:space="preserve">9.5. Implementación computacional</w:t>
      </w:r>
    </w:p>
    <w:p>
      <w:pPr>
        <w:spacing w:after="120" w:line="300"/>
        <w:jc w:val="both"/>
      </w:pPr>
      <w:r>
        <w:rPr>
          <w:rFonts w:ascii="Arial" w:cs="Arial" w:eastAsia="Arial" w:hAnsi="Arial"/>
          <w:b w:val="false"/>
          <w:bCs w:val="false"/>
          <w:i w:val="false"/>
          <w:iCs w:val="false"/>
          <w:color w:val="000000"/>
          <w:sz w:val="22"/>
          <w:szCs w:val="22"/>
        </w:rPr>
        <w:t xml:space="preserve">El laboratorio usa networkx.Graph, funciones estándar de centralidad y python-louvain para la partición. La visualización combina un panel por nivel institucional con otro por comunidad Louvain, resaltando puentes inter-comunidad en rojo. La exploración didáctica sugerida es: eliminar el nodo con mayor intermediación (ej. MINAE) y observar la fragmentación resultante; esto simula cierres institucionales o relevos de liderazgo y hace tangible la dependencia estructural.</w:t>
      </w:r>
    </w:p>
    <w:p>
      <w:pPr>
        <w:pStyle w:val="Heading2"/>
        <w:spacing w:after="140" w:before="280"/>
      </w:pPr>
      <w:r>
        <w:rPr>
          <w:rFonts w:ascii="Arial" w:cs="Arial" w:eastAsia="Arial" w:hAnsi="Arial"/>
          <w:b/>
          <w:bCs/>
          <w:color w:val="1F4E79"/>
          <w:sz w:val="26"/>
          <w:szCs w:val="26"/>
        </w:rPr>
        <w:t xml:space="preserve">9.6. Métricas de calidad</w:t>
      </w:r>
    </w:p>
    <w:p>
      <w:pPr>
        <w:spacing w:after="120" w:line="300"/>
        <w:jc w:val="both"/>
      </w:pPr>
      <w:r>
        <w:rPr>
          <w:rFonts w:ascii="Arial" w:cs="Arial" w:eastAsia="Arial" w:hAnsi="Arial"/>
          <w:b w:val="false"/>
          <w:bCs w:val="false"/>
          <w:i w:val="false"/>
          <w:iCs w:val="false"/>
          <w:color w:val="000000"/>
          <w:sz w:val="22"/>
          <w:szCs w:val="22"/>
        </w:rPr>
        <w:t xml:space="preserve">Tres criterios de calidad específicos. Primero, la validación comunitaria de la matriz: los actores deberían reconocer la red como representación razonable de su realidad. Segundo, la estabilidad de las comunidades: Louvain es estocástico; ejecutar 100 iteraciones y reportar frecuencia de pertenencia a comunidad protege contra sobreinterpretación de particiones contingentes. Tercero, análisis de sensibilidad: cambiar umbrales de intensidad de vínculo no debería alterar radicalmente las conclusiones estructurales.</w:t>
      </w:r>
    </w:p>
    <w:p>
      <w:pPr>
        <w:pStyle w:val="Heading2"/>
        <w:spacing w:after="140" w:before="280"/>
      </w:pPr>
      <w:r>
        <w:rPr>
          <w:rFonts w:ascii="Arial" w:cs="Arial" w:eastAsia="Arial" w:hAnsi="Arial"/>
          <w:b/>
          <w:bCs/>
          <w:color w:val="1F4E79"/>
          <w:sz w:val="26"/>
          <w:szCs w:val="26"/>
        </w:rPr>
        <w:t xml:space="preserve">9.7. Limitaciones</w:t>
      </w:r>
    </w:p>
    <w:p>
      <w:pPr>
        <w:spacing w:after="120" w:line="300"/>
        <w:jc w:val="both"/>
      </w:pPr>
      <w:r>
        <w:rPr>
          <w:rFonts w:ascii="Arial" w:cs="Arial" w:eastAsia="Arial" w:hAnsi="Arial"/>
          <w:b w:val="false"/>
          <w:bCs w:val="false"/>
          <w:i w:val="false"/>
          <w:iCs w:val="false"/>
          <w:color w:val="000000"/>
          <w:sz w:val="22"/>
          <w:szCs w:val="22"/>
        </w:rPr>
        <w:t xml:space="preserve">Toda red es un recorte arbitrario: se excluyen actores que pueden ser relevantes (actores informales, individuos con influencia transversal). La direccionalidad de los vínculos, cuando se simplifica a no dirigida, pierde información crítica: que A informe a B no implica que B informe a A. En análisis formal de políticas públicas suele ser preferible el DiGraph. Finalmente, la red estática es una fotografía; la dinámica temporal (crecimiento, decaimiento, reconfiguración tras crisis) requiere análisis longitudinal.</w:t>
      </w:r>
    </w:p>
    <w:p>
      <w:pPr>
        <w:pStyle w:val="Heading1"/>
        <w:pageBreakBefore/>
        <w:spacing w:after="200" w:before="360"/>
      </w:pPr>
      <w:r>
        <w:rPr>
          <w:rFonts w:ascii="Arial" w:cs="Arial" w:eastAsia="Arial" w:hAnsi="Arial"/>
          <w:b/>
          <w:bCs/>
          <w:color w:val="1F4E79"/>
          <w:sz w:val="32"/>
          <w:szCs w:val="32"/>
        </w:rPr>
        <w:t xml:space="preserve">10. Laboratorio 08 — Análisis de contenido documental</w:t>
      </w:r>
    </w:p>
    <w:p>
      <w:pPr>
        <w:pStyle w:val="Heading2"/>
        <w:spacing w:after="140" w:before="280"/>
      </w:pPr>
      <w:r>
        <w:rPr>
          <w:rFonts w:ascii="Arial" w:cs="Arial" w:eastAsia="Arial" w:hAnsi="Arial"/>
          <w:b/>
          <w:bCs/>
          <w:color w:val="1F4E79"/>
          <w:sz w:val="26"/>
          <w:szCs w:val="26"/>
        </w:rPr>
        <w:t xml:space="preserve">10.1. Fundamentación teórica</w:t>
      </w:r>
    </w:p>
    <w:p>
      <w:pPr>
        <w:spacing w:after="120" w:line="300"/>
        <w:jc w:val="both"/>
      </w:pPr>
      <w:r>
        <w:rPr>
          <w:rFonts w:ascii="Arial" w:cs="Arial" w:eastAsia="Arial" w:hAnsi="Arial"/>
          <w:b w:val="false"/>
          <w:bCs w:val="false"/>
          <w:i w:val="false"/>
          <w:iCs w:val="false"/>
          <w:color w:val="000000"/>
          <w:sz w:val="22"/>
          <w:szCs w:val="22"/>
        </w:rPr>
        <w:t xml:space="preserve">El análisis de contenido es el método más antiguo de investigación sistemática de textos; tiene precedentes en la exégesis hermenéutica medieval, se sistematiza en la sociología de medios de Lasswell (1948) y se consolida en la obra de Krippendorff (1980, 2019). Su premisa epistemológica ha evolucionado: inicialmente concebido como método cuantitativo de conteo de palabras clave, se ha transformado en una familia de enfoques que incluye análisis temático (Braun &amp; Clarke, 2006), análisis de encuadre (Entman, 1993; Chong &amp; Druckman, 2007), análisis del discurso (Fairclough, Hajer, Wodak) y modelado probabilístico de tópicos (Blei, Ng &amp; Jordan, 2003).</w:t>
      </w:r>
    </w:p>
    <w:p>
      <w:pPr>
        <w:spacing w:after="120" w:line="300"/>
        <w:jc w:val="both"/>
      </w:pPr>
      <w:r>
        <w:rPr>
          <w:rFonts w:ascii="Arial" w:cs="Arial" w:eastAsia="Arial" w:hAnsi="Arial"/>
          <w:b w:val="false"/>
          <w:bCs w:val="false"/>
          <w:i w:val="false"/>
          <w:iCs w:val="false"/>
          <w:color w:val="000000"/>
          <w:sz w:val="22"/>
          <w:szCs w:val="22"/>
        </w:rPr>
        <w:t xml:space="preserve">El análisis de encuadre —frame analysis— merece atención especial. Un encuadre (frame) es un principio de selección, énfasis y presentación: dos textos sobre un mismo hecho pueden ofrecer retratos radicalmente distintos por el modo en que seleccionan qué mencionar y qué omitir. El mismo acuerdo pesquero puede enmarcarse como conservación, como restricción al derecho al trabajo o como herramienta de colonialidad verde. Entman (1993) propone cuatro funciones de los encuadres: definir problemas, diagnosticar causas, emitir juicios morales, sugerir remedios.</w:t>
      </w:r>
    </w:p>
    <w:p>
      <w:pPr>
        <w:pStyle w:val="Heading2"/>
        <w:spacing w:after="140" w:before="280"/>
      </w:pPr>
      <w:r>
        <w:rPr>
          <w:rFonts w:ascii="Arial" w:cs="Arial" w:eastAsia="Arial" w:hAnsi="Arial"/>
          <w:b/>
          <w:bCs/>
          <w:color w:val="1F4E79"/>
          <w:sz w:val="26"/>
          <w:szCs w:val="26"/>
        </w:rPr>
        <w:t xml:space="preserve">10.2. Supuestos</w:t>
      </w:r>
    </w:p>
    <w:p>
      <w:pPr>
        <w:pStyle w:val="Heading3"/>
        <w:spacing w:after="100" w:before="220"/>
      </w:pPr>
      <w:r>
        <w:rPr>
          <w:rFonts w:ascii="Arial" w:cs="Arial" w:eastAsia="Arial" w:hAnsi="Arial"/>
          <w:b/>
          <w:bCs/>
          <w:color w:val="2E75B6"/>
          <w:sz w:val="23"/>
          <w:szCs w:val="23"/>
        </w:rPr>
        <w:t xml:space="preserve">Ontológicos</w:t>
      </w:r>
    </w:p>
    <w:p>
      <w:pPr>
        <w:spacing w:after="120" w:line="300"/>
        <w:jc w:val="both"/>
      </w:pPr>
      <w:r>
        <w:rPr>
          <w:rFonts w:ascii="Arial" w:cs="Arial" w:eastAsia="Arial" w:hAnsi="Arial"/>
          <w:b w:val="false"/>
          <w:bCs w:val="false"/>
          <w:i w:val="false"/>
          <w:iCs w:val="false"/>
          <w:color w:val="000000"/>
          <w:sz w:val="22"/>
          <w:szCs w:val="22"/>
        </w:rPr>
        <w:t xml:space="preserve">Los textos son instancias de discursos sociales más amplios: un plan de manejo no es sólo un documento técnico, es una manifestación de un régimen discursivo que estructura lo pensable, lo enunciable y lo deseable. Los encuadres no son neutros: producen efectos cognitivos y políticos.</w:t>
      </w:r>
    </w:p>
    <w:p>
      <w:pPr>
        <w:pStyle w:val="Heading3"/>
        <w:spacing w:after="100" w:before="220"/>
      </w:pPr>
      <w:r>
        <w:rPr>
          <w:rFonts w:ascii="Arial" w:cs="Arial" w:eastAsia="Arial" w:hAnsi="Arial"/>
          <w:b/>
          <w:bCs/>
          <w:color w:val="2E75B6"/>
          <w:sz w:val="23"/>
          <w:szCs w:val="23"/>
        </w:rPr>
        <w:t xml:space="preserve">Epistemológicos</w:t>
      </w:r>
    </w:p>
    <w:p>
      <w:pPr>
        <w:spacing w:after="120" w:line="300"/>
        <w:jc w:val="both"/>
      </w:pPr>
      <w:r>
        <w:rPr>
          <w:rFonts w:ascii="Arial" w:cs="Arial" w:eastAsia="Arial" w:hAnsi="Arial"/>
          <w:b w:val="false"/>
          <w:bCs w:val="false"/>
          <w:i w:val="false"/>
          <w:iCs w:val="false"/>
          <w:color w:val="000000"/>
          <w:sz w:val="22"/>
          <w:szCs w:val="22"/>
        </w:rPr>
        <w:t xml:space="preserve">La lectura cuantitativa (frecuencias, co-ocurrencias) y la cualitativa (exégesis densa) son complementarias. La primera identifica regularidades del corpus; la segunda recupera el sentido situado de segmentos emblemáticos. El análisis maduro transita entre ambas.</w:t>
      </w:r>
    </w:p>
    <w:p>
      <w:pPr>
        <w:pStyle w:val="Heading3"/>
        <w:spacing w:after="100" w:before="220"/>
      </w:pPr>
      <w:r>
        <w:rPr>
          <w:rFonts w:ascii="Arial" w:cs="Arial" w:eastAsia="Arial" w:hAnsi="Arial"/>
          <w:b/>
          <w:bCs/>
          <w:color w:val="2E75B6"/>
          <w:sz w:val="23"/>
          <w:szCs w:val="23"/>
        </w:rPr>
        <w:t xml:space="preserve">Metodológicos</w:t>
      </w:r>
    </w:p>
    <w:p>
      <w:pPr>
        <w:spacing w:after="120" w:line="300"/>
        <w:jc w:val="both"/>
      </w:pPr>
      <w:r>
        <w:rPr>
          <w:rFonts w:ascii="Arial" w:cs="Arial" w:eastAsia="Arial" w:hAnsi="Arial"/>
          <w:b w:val="false"/>
          <w:bCs w:val="false"/>
          <w:i w:val="false"/>
          <w:iCs w:val="false"/>
          <w:color w:val="000000"/>
          <w:sz w:val="22"/>
          <w:szCs w:val="22"/>
        </w:rPr>
        <w:t xml:space="preserve">Se requiere: (i) definición operacional del corpus (criterios de inclusión y exclusión); (ii) unidad de registro (palabra, frase, párrafo, documento); (iii) libro de códigos con definiciones y ejemplos; (iv) codificación por al menos dos analistas; (v) cálculo de fiabilidad intercodificadores; (vi) validación externa mediante interpretación experta.</w:t>
      </w:r>
    </w:p>
    <w:p>
      <w:pPr>
        <w:pStyle w:val="Heading2"/>
        <w:spacing w:after="140" w:before="280"/>
      </w:pPr>
      <w:r>
        <w:rPr>
          <w:rFonts w:ascii="Arial" w:cs="Arial" w:eastAsia="Arial" w:hAnsi="Arial"/>
          <w:b/>
          <w:bCs/>
          <w:color w:val="1F4E79"/>
          <w:sz w:val="26"/>
          <w:szCs w:val="26"/>
        </w:rPr>
        <w:t xml:space="preserve">10.3. Técnica</w:t>
      </w:r>
    </w:p>
    <w:p>
      <w:pPr>
        <w:spacing w:after="120" w:line="300"/>
        <w:jc w:val="both"/>
      </w:pPr>
      <w:r>
        <w:rPr>
          <w:rFonts w:ascii="Arial" w:cs="Arial" w:eastAsia="Arial" w:hAnsi="Arial"/>
          <w:b w:val="false"/>
          <w:bCs w:val="false"/>
          <w:i w:val="false"/>
          <w:iCs w:val="false"/>
          <w:color w:val="000000"/>
          <w:sz w:val="22"/>
          <w:szCs w:val="22"/>
        </w:rPr>
        <w:t xml:space="preserve">El laboratorio construye un corpus sintético de 60 documentos costeros producidos entre 2005 y 2026, con cinco tipologías (planes de manejo, decretos, prensa, informes de ONG, tesis académicas) y tres encuadres teóricos (conservación, desarrollo, comunitario) cuya proporción varía por período. Sobre ese corpus se aplican:</w:t>
      </w:r>
    </w:p>
    <w:p>
      <w:pPr>
        <w:pStyle w:val="ListParagraph"/>
        <w:numPr>
          <w:ilvl w:val="0"/>
          <w:numId w:val="2"/>
        </w:numPr>
        <w:spacing w:after="60" w:line="280"/>
        <w:jc w:val="both"/>
      </w:pPr>
      <w:r>
        <w:rPr>
          <w:rFonts w:ascii="Arial" w:cs="Arial" w:eastAsia="Arial" w:hAnsi="Arial"/>
          <w:sz w:val="22"/>
          <w:szCs w:val="22"/>
        </w:rPr>
        <w:t xml:space="preserve">TF-IDF para identificar términos distintivos por tipología documental. Un decreto enfatizará términos técnico-jurídicos; una tesis, términos académicos. La divergencia es legítima y describe el campo.</w:t>
      </w:r>
    </w:p>
    <w:p>
      <w:pPr>
        <w:pStyle w:val="ListParagraph"/>
        <w:numPr>
          <w:ilvl w:val="0"/>
          <w:numId w:val="2"/>
        </w:numPr>
        <w:spacing w:after="60" w:line="280"/>
        <w:jc w:val="both"/>
      </w:pPr>
      <w:r>
        <w:rPr>
          <w:rFonts w:ascii="Arial" w:cs="Arial" w:eastAsia="Arial" w:hAnsi="Arial"/>
          <w:sz w:val="22"/>
          <w:szCs w:val="22"/>
        </w:rPr>
        <w:t xml:space="preserve">Modelo LDA con cuatro tópicos latentes. LDA es un modelo generativo probabilístico bayesiano: cada documento es una mezcla de tópicos y cada tópico es una distribución sobre palabras. La inferencia se realiza con variational Bayes.</w:t>
      </w:r>
    </w:p>
    <w:p>
      <w:pPr>
        <w:pStyle w:val="ListParagraph"/>
        <w:numPr>
          <w:ilvl w:val="0"/>
          <w:numId w:val="2"/>
        </w:numPr>
        <w:spacing w:after="60" w:line="280"/>
        <w:jc w:val="both"/>
      </w:pPr>
      <w:r>
        <w:rPr>
          <w:rFonts w:ascii="Arial" w:cs="Arial" w:eastAsia="Arial" w:hAnsi="Arial"/>
          <w:sz w:val="22"/>
          <w:szCs w:val="22"/>
        </w:rPr>
        <w:t xml:space="preserve">Análisis de encuadre diacrónico: para cada año se calcula la proporción de términos léxicos asociados a cada encuadre y se traza la evolución temporal.</w:t>
      </w:r>
    </w:p>
    <w:p>
      <w:pPr>
        <w:pStyle w:val="Heading3"/>
        <w:spacing w:after="100" w:before="220"/>
      </w:pPr>
      <w:r>
        <w:rPr>
          <w:rFonts w:ascii="Arial" w:cs="Arial" w:eastAsia="Arial" w:hAnsi="Arial"/>
          <w:b/>
          <w:bCs/>
          <w:color w:val="2E75B6"/>
          <w:sz w:val="23"/>
          <w:szCs w:val="23"/>
        </w:rPr>
        <w:t xml:space="preserve">LDA en síntesis</w:t>
      </w:r>
    </w:p>
    <w:p>
      <w:pPr>
        <w:pBdr>
          <w:top w:val="single" w:color="DDDDDD" w:sz="4" w:space="4"/>
          <w:bottom w:val="single" w:color="DDDDDD" w:sz="4" w:space="4"/>
          <w:left w:val="single" w:color="DDDDDD" w:sz="4" w:space="4"/>
          <w:right w:val="single" w:color="DDDDDD" w:sz="4" w:space="4"/>
        </w:pBdr>
        <w:shd w:fill="F5F5F5" w:val="clear"/>
        <w:spacing w:after="120" w:before="80" w:line="260"/>
        <w:ind w:left="360" w:right="360"/>
      </w:pPr>
      <w:r>
        <w:rPr>
          <w:rFonts w:ascii="Consolas" w:cs="Consolas" w:eastAsia="Consolas" w:hAnsi="Consolas"/>
          <w:color w:val="333333"/>
          <w:sz w:val="20"/>
          <w:szCs w:val="20"/>
        </w:rPr>
        <w:t xml:space="preserve">p(w | α, β) = ∫ p(θ|α) × Π_n Σ_z p(z|θ) p(w_n|z,β) dθ</w:t>
      </w:r>
    </w:p>
    <w:p>
      <w:pPr>
        <w:spacing w:after="120" w:line="300"/>
        <w:jc w:val="both"/>
      </w:pPr>
      <w:r>
        <w:rPr>
          <w:rFonts w:ascii="Arial" w:cs="Arial" w:eastAsia="Arial" w:hAnsi="Arial"/>
          <w:b w:val="false"/>
          <w:bCs w:val="false"/>
          <w:i w:val="false"/>
          <w:iCs w:val="false"/>
          <w:color w:val="000000"/>
          <w:sz w:val="22"/>
          <w:szCs w:val="22"/>
        </w:rPr>
        <w:t xml:space="preserve">Donde θ es la distribución de tópicos en el documento, z el tópico asignado a la palabra n, β la distribución de palabras por tópico y α el parámetro Dirichlet. No es necesario que la estudiante manipule esta expresión; es suficiente con comprender que LDA asume que los textos se generan probabilísticamente a partir de una mezcla de tópicos y que la inferencia invierte ese proceso.</w:t>
      </w:r>
    </w:p>
    <w:p>
      <w:pPr>
        <w:pStyle w:val="Heading2"/>
        <w:spacing w:after="140" w:before="280"/>
      </w:pPr>
      <w:r>
        <w:rPr>
          <w:rFonts w:ascii="Arial" w:cs="Arial" w:eastAsia="Arial" w:hAnsi="Arial"/>
          <w:b/>
          <w:bCs/>
          <w:color w:val="1F4E79"/>
          <w:sz w:val="26"/>
          <w:szCs w:val="26"/>
        </w:rPr>
        <w:t xml:space="preserve">10.4. Implementación computacional</w:t>
      </w:r>
    </w:p>
    <w:p>
      <w:pPr>
        <w:spacing w:after="120" w:line="300"/>
        <w:jc w:val="both"/>
      </w:pPr>
      <w:r>
        <w:rPr>
          <w:rFonts w:ascii="Arial" w:cs="Arial" w:eastAsia="Arial" w:hAnsi="Arial"/>
          <w:b w:val="false"/>
          <w:bCs w:val="false"/>
          <w:i w:val="false"/>
          <w:iCs w:val="false"/>
          <w:color w:val="000000"/>
          <w:sz w:val="22"/>
          <w:szCs w:val="22"/>
        </w:rPr>
        <w:t xml:space="preserve">Vectorización con sklearn.feature_extraction.text.TfidfVectorizer y CountVectorizer; modelado con sklearn.decomposition.LatentDirichletAllocation (variational Bayes). El análisis de encuadre se implementa con tres diccionarios léxicos curados manualmente (conservación, desarrollo, comunitario) y produce una serie temporal normalizada. La visualización de doble panel —evolución del encuadre por año, mezcla temática por tipo— ilustra el valor de la triangulación entre el modelo inductivo (LDA) y el análisis deductivo (encuadres predefinidos).</w:t>
      </w:r>
    </w:p>
    <w:p>
      <w:pPr>
        <w:pStyle w:val="Heading2"/>
        <w:spacing w:after="140" w:before="280"/>
      </w:pPr>
      <w:r>
        <w:rPr>
          <w:rFonts w:ascii="Arial" w:cs="Arial" w:eastAsia="Arial" w:hAnsi="Arial"/>
          <w:b/>
          <w:bCs/>
          <w:color w:val="1F4E79"/>
          <w:sz w:val="26"/>
          <w:szCs w:val="26"/>
        </w:rPr>
        <w:t xml:space="preserve">10.5. Métricas de calidad</w:t>
      </w:r>
    </w:p>
    <w:p>
      <w:pPr>
        <w:spacing w:after="120" w:line="300"/>
        <w:jc w:val="both"/>
      </w:pPr>
      <w:r>
        <w:rPr>
          <w:rFonts w:ascii="Arial" w:cs="Arial" w:eastAsia="Arial" w:hAnsi="Arial"/>
          <w:b w:val="false"/>
          <w:bCs w:val="false"/>
          <w:i w:val="false"/>
          <w:iCs w:val="false"/>
          <w:color w:val="000000"/>
          <w:sz w:val="22"/>
          <w:szCs w:val="22"/>
        </w:rPr>
        <w:t xml:space="preserve">La perplejidad y el coherence score (C_v, UMass) son criterios estándar para seleccionar k en LDA. Para el análisis de encuadre, la fiabilidad intercodificadora del diccionario léxico debe estimarse con κ o α en submuestra. La validación externa —¿reconocen los expertos del campo los encuadres identificados?— es condición epistémica de confiabilidad.</w:t>
      </w:r>
    </w:p>
    <w:p>
      <w:pPr>
        <w:pStyle w:val="Heading2"/>
        <w:spacing w:after="140" w:before="280"/>
      </w:pPr>
      <w:r>
        <w:rPr>
          <w:rFonts w:ascii="Arial" w:cs="Arial" w:eastAsia="Arial" w:hAnsi="Arial"/>
          <w:b/>
          <w:bCs/>
          <w:color w:val="1F4E79"/>
          <w:sz w:val="26"/>
          <w:szCs w:val="26"/>
        </w:rPr>
        <w:t xml:space="preserve">10.6. Limitaciones</w:t>
      </w:r>
    </w:p>
    <w:p>
      <w:pPr>
        <w:spacing w:after="120" w:line="300"/>
        <w:jc w:val="both"/>
      </w:pPr>
      <w:r>
        <w:rPr>
          <w:rFonts w:ascii="Arial" w:cs="Arial" w:eastAsia="Arial" w:hAnsi="Arial"/>
          <w:b w:val="false"/>
          <w:bCs w:val="false"/>
          <w:i w:val="false"/>
          <w:iCs w:val="false"/>
          <w:color w:val="000000"/>
          <w:sz w:val="22"/>
          <w:szCs w:val="22"/>
        </w:rPr>
        <w:t xml:space="preserve">LDA no es sensible a matices semánticos: confunde polisemia (un término con múltiples significados) y sinonimia (múltiples términos con un significado). Modelos basados en embeddings contextuales (BERT, SBERT, tópicos neurales: BERTopic) superan estas limitaciones pero requieren mayor potencia computacional y menor interpretabilidad directa. El análisis de encuadre por diccionario es sensible a la elección léxica; diccionarios más ricos producen análisis más matizados.</w:t>
      </w:r>
    </w:p>
    <w:p>
      <w:pPr>
        <w:pStyle w:val="Heading2"/>
        <w:spacing w:after="140" w:before="280"/>
      </w:pPr>
      <w:r>
        <w:rPr>
          <w:rFonts w:ascii="Arial" w:cs="Arial" w:eastAsia="Arial" w:hAnsi="Arial"/>
          <w:b/>
          <w:bCs/>
          <w:color w:val="1F4E79"/>
          <w:sz w:val="26"/>
          <w:szCs w:val="26"/>
        </w:rPr>
        <w:t xml:space="preserve">10.7. Anclaje territorial</w:t>
      </w:r>
    </w:p>
    <w:p>
      <w:pPr>
        <w:spacing w:after="120" w:line="300"/>
        <w:jc w:val="both"/>
      </w:pPr>
      <w:r>
        <w:rPr>
          <w:rFonts w:ascii="Arial" w:cs="Arial" w:eastAsia="Arial" w:hAnsi="Arial"/>
          <w:b w:val="false"/>
          <w:bCs w:val="false"/>
          <w:i w:val="false"/>
          <w:iCs w:val="false"/>
          <w:color w:val="000000"/>
          <w:sz w:val="22"/>
          <w:szCs w:val="22"/>
        </w:rPr>
        <w:t xml:space="preserve">El análisis diacrónico del discurso costero costarricense, conducido con este tipo de herramientas, ha documentado el desplazamiento desde una agenda de desarrollo (2000–2010, consolidación turística y portuaria) hacia una agenda híbrida conservación–comunitaria (post-2015, influida por la institucionalización del enfoque de derechos humanos en política ambiental y por el activismo de organizaciones pesqueras como CoopeSoliDar R.L. y FECOP).</w:t>
      </w:r>
    </w:p>
    <w:p>
      <w:pPr>
        <w:pStyle w:val="Heading1"/>
        <w:pageBreakBefore/>
        <w:spacing w:after="200" w:before="360"/>
      </w:pPr>
      <w:r>
        <w:rPr>
          <w:rFonts w:ascii="Arial" w:cs="Arial" w:eastAsia="Arial" w:hAnsi="Arial"/>
          <w:b/>
          <w:bCs/>
          <w:color w:val="1F4E79"/>
          <w:sz w:val="32"/>
          <w:szCs w:val="32"/>
        </w:rPr>
        <w:t xml:space="preserve">11. Laboratorio 09 — Observación participante</w:t>
      </w:r>
    </w:p>
    <w:p>
      <w:pPr>
        <w:pStyle w:val="Heading2"/>
        <w:spacing w:after="140" w:before="280"/>
      </w:pPr>
      <w:r>
        <w:rPr>
          <w:rFonts w:ascii="Arial" w:cs="Arial" w:eastAsia="Arial" w:hAnsi="Arial"/>
          <w:b/>
          <w:bCs/>
          <w:color w:val="1F4E79"/>
          <w:sz w:val="26"/>
          <w:szCs w:val="26"/>
        </w:rPr>
        <w:t xml:space="preserve">11.1. Fundamentación teórica</w:t>
      </w:r>
    </w:p>
    <w:p>
      <w:pPr>
        <w:spacing w:after="120" w:line="300"/>
        <w:jc w:val="both"/>
      </w:pPr>
      <w:r>
        <w:rPr>
          <w:rFonts w:ascii="Arial" w:cs="Arial" w:eastAsia="Arial" w:hAnsi="Arial"/>
          <w:b w:val="false"/>
          <w:bCs w:val="false"/>
          <w:i w:val="false"/>
          <w:iCs w:val="false"/>
          <w:color w:val="000000"/>
          <w:sz w:val="22"/>
          <w:szCs w:val="22"/>
        </w:rPr>
        <w:t xml:space="preserve">La observación participante es el método fundacional de la antropología moderna. Su carta de nacimiento es el trabajo de Bronisław Malinowski en las islas Trobriand (Argonauts of the Western Pacific, 1922), y su formalización metodológica contemporánea proviene de Spradley (1980), DeWalt y DeWalt (2011) y Kawulich (2005). Clifford Geertz (1973) añadió la noción de descripción densa: no basta con registrar lo que pasa, es necesario interpretar el sistema de significados que hace inteligible la conducta observada.</w:t>
      </w:r>
    </w:p>
    <w:p>
      <w:pPr>
        <w:spacing w:after="120" w:line="300"/>
        <w:jc w:val="both"/>
      </w:pPr>
      <w:r>
        <w:rPr>
          <w:rFonts w:ascii="Arial" w:cs="Arial" w:eastAsia="Arial" w:hAnsi="Arial"/>
          <w:b w:val="false"/>
          <w:bCs w:val="false"/>
          <w:i w:val="false"/>
          <w:iCs w:val="false"/>
          <w:color w:val="000000"/>
          <w:sz w:val="22"/>
          <w:szCs w:val="22"/>
        </w:rPr>
        <w:t xml:space="preserve">El método se sitúa en un continuo desde la observación pura (el investigador no interactúa) hasta la participación total (el investigador es miembro funcional del grupo). La posición intermedia —observación participante moderada— es la más frecuente en investigación aplicada: el investigador participa lo suficiente para ganar confianza y acceso, pero preserva distancia analítica.</w:t>
      </w:r>
    </w:p>
    <w:p>
      <w:pPr>
        <w:pStyle w:val="Heading2"/>
        <w:spacing w:after="140" w:before="280"/>
      </w:pPr>
      <w:r>
        <w:rPr>
          <w:rFonts w:ascii="Arial" w:cs="Arial" w:eastAsia="Arial" w:hAnsi="Arial"/>
          <w:b/>
          <w:bCs/>
          <w:color w:val="1F4E79"/>
          <w:sz w:val="26"/>
          <w:szCs w:val="26"/>
        </w:rPr>
        <w:t xml:space="preserve">11.2. Supuestos</w:t>
      </w:r>
    </w:p>
    <w:p>
      <w:pPr>
        <w:pStyle w:val="Heading3"/>
        <w:spacing w:after="100" w:before="220"/>
      </w:pPr>
      <w:r>
        <w:rPr>
          <w:rFonts w:ascii="Arial" w:cs="Arial" w:eastAsia="Arial" w:hAnsi="Arial"/>
          <w:b/>
          <w:bCs/>
          <w:color w:val="2E75B6"/>
          <w:sz w:val="23"/>
          <w:szCs w:val="23"/>
        </w:rPr>
        <w:t xml:space="preserve">Ontológicos</w:t>
      </w:r>
    </w:p>
    <w:p>
      <w:pPr>
        <w:spacing w:after="120" w:line="300"/>
        <w:jc w:val="both"/>
      </w:pPr>
      <w:r>
        <w:rPr>
          <w:rFonts w:ascii="Arial" w:cs="Arial" w:eastAsia="Arial" w:hAnsi="Arial"/>
          <w:b w:val="false"/>
          <w:bCs w:val="false"/>
          <w:i w:val="false"/>
          <w:iCs w:val="false"/>
          <w:color w:val="000000"/>
          <w:sz w:val="22"/>
          <w:szCs w:val="22"/>
        </w:rPr>
        <w:t xml:space="preserve">Las prácticas sociales no pueden comprenderse desde fuera: es necesario exponerse al tiempo ordinario del grupo estudiado, a sus rutinas, a sus silencios y a sus momentos extraordinarios. Lo que la gente dice que hace suele diferir de lo que hace; sólo la observación permite verlo.</w:t>
      </w:r>
    </w:p>
    <w:p>
      <w:pPr>
        <w:pStyle w:val="Heading3"/>
        <w:spacing w:after="100" w:before="220"/>
      </w:pPr>
      <w:r>
        <w:rPr>
          <w:rFonts w:ascii="Arial" w:cs="Arial" w:eastAsia="Arial" w:hAnsi="Arial"/>
          <w:b/>
          <w:bCs/>
          <w:color w:val="2E75B6"/>
          <w:sz w:val="23"/>
          <w:szCs w:val="23"/>
        </w:rPr>
        <w:t xml:space="preserve">Epistemológicos</w:t>
      </w:r>
    </w:p>
    <w:p>
      <w:pPr>
        <w:spacing w:after="120" w:line="300"/>
        <w:jc w:val="both"/>
      </w:pPr>
      <w:r>
        <w:rPr>
          <w:rFonts w:ascii="Arial" w:cs="Arial" w:eastAsia="Arial" w:hAnsi="Arial"/>
          <w:b w:val="false"/>
          <w:bCs w:val="false"/>
          <w:i w:val="false"/>
          <w:iCs w:val="false"/>
          <w:color w:val="000000"/>
          <w:sz w:val="22"/>
          <w:szCs w:val="22"/>
        </w:rPr>
        <w:t xml:space="preserve">El investigador es instrumento y su presencia altera el fenómeno (efecto del observador, Hawthorne). La reflexividad —el examen continuo de las propias reacciones, sesgos y posiciones— no es suplemento ético, es condición epistémica. La validez se sostiene en permanencia prolongada, triangulación con informantes clave y negociación del sentido con los sujetos observados.</w:t>
      </w:r>
    </w:p>
    <w:p>
      <w:pPr>
        <w:pStyle w:val="Heading3"/>
        <w:spacing w:after="100" w:before="220"/>
      </w:pPr>
      <w:r>
        <w:rPr>
          <w:rFonts w:ascii="Arial" w:cs="Arial" w:eastAsia="Arial" w:hAnsi="Arial"/>
          <w:b/>
          <w:bCs/>
          <w:color w:val="2E75B6"/>
          <w:sz w:val="23"/>
          <w:szCs w:val="23"/>
        </w:rPr>
        <w:t xml:space="preserve">Metodológicos</w:t>
      </w:r>
    </w:p>
    <w:p>
      <w:pPr>
        <w:spacing w:after="120" w:line="300"/>
        <w:jc w:val="both"/>
      </w:pPr>
      <w:r>
        <w:rPr>
          <w:rFonts w:ascii="Arial" w:cs="Arial" w:eastAsia="Arial" w:hAnsi="Arial"/>
          <w:b w:val="false"/>
          <w:bCs w:val="false"/>
          <w:i w:val="false"/>
          <w:iCs w:val="false"/>
          <w:color w:val="000000"/>
          <w:sz w:val="22"/>
          <w:szCs w:val="22"/>
        </w:rPr>
        <w:t xml:space="preserve">Se asume (i) permanencia mínima para que el investigador deje de ser visible (semanas a años según objeto); (ii) diario de campo denso, con separación entre registro factual y registro interpretativo; (iii) notas expandidas al final de cada jornada; (iv) combinación con entrevistas abiertas a informantes clave; (v) reflexividad explícita.</w:t>
      </w:r>
    </w:p>
    <w:p>
      <w:pPr>
        <w:pStyle w:val="Heading2"/>
        <w:spacing w:after="140" w:before="280"/>
      </w:pPr>
      <w:r>
        <w:rPr>
          <w:rFonts w:ascii="Arial" w:cs="Arial" w:eastAsia="Arial" w:hAnsi="Arial"/>
          <w:b/>
          <w:bCs/>
          <w:color w:val="1F4E79"/>
          <w:sz w:val="26"/>
          <w:szCs w:val="26"/>
        </w:rPr>
        <w:t xml:space="preserve">11.3. Técnica</w:t>
      </w:r>
    </w:p>
    <w:p>
      <w:pPr>
        <w:spacing w:after="120" w:line="300"/>
        <w:jc w:val="both"/>
      </w:pPr>
      <w:r>
        <w:rPr>
          <w:rFonts w:ascii="Arial" w:cs="Arial" w:eastAsia="Arial" w:hAnsi="Arial"/>
          <w:b w:val="false"/>
          <w:bCs w:val="false"/>
          <w:i w:val="false"/>
          <w:iCs w:val="false"/>
          <w:color w:val="000000"/>
          <w:sz w:val="22"/>
          <w:szCs w:val="22"/>
        </w:rPr>
        <w:t xml:space="preserve">El laboratorio estructura la observación participante como log de eventos. A lo largo de 12 sesiones mensuales de un Consejo Local de Manejo Costero (COVIMAR) se registran entre 25 y 45 eventos por sesión. Cada evento se codifica con seis dimensiones: actor, tipo de evento (intervención, propuesta, objeción, acuerdo, voto, silencio grupal), tópico, duración, actor destinatario (si aplica) y valencia (−1 oposición, 0 neutro, +1 apoyo). El análisis produce:</w:t>
      </w:r>
    </w:p>
    <w:p>
      <w:pPr>
        <w:pStyle w:val="ListParagraph"/>
        <w:numPr>
          <w:ilvl w:val="0"/>
          <w:numId w:val="2"/>
        </w:numPr>
        <w:spacing w:after="60" w:line="280"/>
        <w:jc w:val="both"/>
      </w:pPr>
      <w:r>
        <w:rPr>
          <w:rFonts w:ascii="Arial" w:cs="Arial" w:eastAsia="Arial" w:hAnsi="Arial"/>
          <w:sz w:val="22"/>
          <w:szCs w:val="22"/>
        </w:rPr>
        <w:t xml:space="preserve">Distribución de tiempo de palabra por actor: quién habla más minutos en promedio.</w:t>
      </w:r>
    </w:p>
    <w:p>
      <w:pPr>
        <w:pStyle w:val="ListParagraph"/>
        <w:numPr>
          <w:ilvl w:val="0"/>
          <w:numId w:val="2"/>
        </w:numPr>
        <w:spacing w:after="60" w:line="280"/>
        <w:jc w:val="both"/>
      </w:pPr>
      <w:r>
        <w:rPr>
          <w:rFonts w:ascii="Arial" w:cs="Arial" w:eastAsia="Arial" w:hAnsi="Arial"/>
          <w:sz w:val="22"/>
          <w:szCs w:val="22"/>
        </w:rPr>
        <w:t xml:space="preserve">Matriz de interacción diádica (emisor → receptor): quién se dirige a quién.</w:t>
      </w:r>
    </w:p>
    <w:p>
      <w:pPr>
        <w:pStyle w:val="ListParagraph"/>
        <w:numPr>
          <w:ilvl w:val="0"/>
          <w:numId w:val="2"/>
        </w:numPr>
        <w:spacing w:after="60" w:line="280"/>
        <w:jc w:val="both"/>
      </w:pPr>
      <w:r>
        <w:rPr>
          <w:rFonts w:ascii="Arial" w:cs="Arial" w:eastAsia="Arial" w:hAnsi="Arial"/>
          <w:sz w:val="22"/>
          <w:szCs w:val="22"/>
        </w:rPr>
        <w:t xml:space="preserve">Conteo de acuerdos por sesión y tópico: qué decisiones se toman efectivamente.</w:t>
      </w:r>
    </w:p>
    <w:p>
      <w:pPr>
        <w:pStyle w:val="ListParagraph"/>
        <w:numPr>
          <w:ilvl w:val="0"/>
          <w:numId w:val="2"/>
        </w:numPr>
        <w:spacing w:after="60" w:line="280"/>
        <w:jc w:val="both"/>
      </w:pPr>
      <w:r>
        <w:rPr>
          <w:rFonts w:ascii="Arial" w:cs="Arial" w:eastAsia="Arial" w:hAnsi="Arial"/>
          <w:sz w:val="22"/>
          <w:szCs w:val="22"/>
        </w:rPr>
        <w:t xml:space="preserve">Ruta de decisión para un tópico crítico (descargas hoteleras): secuencia ordenada de eventos que conducen a la resolución, útil para reconstruir el proceso deliberativo.</w:t>
      </w:r>
    </w:p>
    <w:p>
      <w:pPr>
        <w:spacing w:after="120" w:line="300"/>
        <w:jc w:val="both"/>
      </w:pPr>
      <w:r>
        <w:rPr>
          <w:rFonts w:ascii="Arial" w:cs="Arial" w:eastAsia="Arial" w:hAnsi="Arial"/>
          <w:b w:val="false"/>
          <w:bCs w:val="false"/>
          <w:i w:val="false"/>
          <w:iCs w:val="false"/>
          <w:color w:val="000000"/>
          <w:sz w:val="22"/>
          <w:szCs w:val="22"/>
        </w:rPr>
        <w:t xml:space="preserve">La visualización incluye un sociograma direccional (DiGraph) construido desde la matriz de interacciones, con aristas ponderadas por frecuencia, y una trayectoria de valencia acumulada por tópico que permite distinguir procesos deliberativos convergentes de procesos conflictivos sostenidos.</w:t>
      </w:r>
    </w:p>
    <w:p>
      <w:pPr>
        <w:pStyle w:val="Heading2"/>
        <w:spacing w:after="140" w:before="280"/>
      </w:pPr>
      <w:r>
        <w:rPr>
          <w:rFonts w:ascii="Arial" w:cs="Arial" w:eastAsia="Arial" w:hAnsi="Arial"/>
          <w:b/>
          <w:bCs/>
          <w:color w:val="1F4E79"/>
          <w:sz w:val="26"/>
          <w:szCs w:val="26"/>
        </w:rPr>
        <w:t xml:space="preserve">11.4. Implementación computacional</w:t>
      </w:r>
    </w:p>
    <w:p>
      <w:pPr>
        <w:spacing w:after="120" w:line="300"/>
        <w:jc w:val="both"/>
      </w:pPr>
      <w:r>
        <w:rPr>
          <w:rFonts w:ascii="Arial" w:cs="Arial" w:eastAsia="Arial" w:hAnsi="Arial"/>
          <w:b w:val="false"/>
          <w:bCs w:val="false"/>
          <w:i w:val="false"/>
          <w:iCs w:val="false"/>
          <w:color w:val="000000"/>
          <w:sz w:val="22"/>
          <w:szCs w:val="22"/>
        </w:rPr>
        <w:t xml:space="preserve">El laboratorio usa pandas para el log, networkx.DiGraph para el sociograma direccional y matplotlib para los cuatro paneles. El diseño del log estructurado es la innovación pedagógica central: permite convertir observación etnográfica en dato susceptible de análisis cuantitativo sin perder su naturaleza interpretativa, porque cada fila sigue siendo un evento situado que remite al diario de campo.</w:t>
      </w:r>
    </w:p>
    <w:p>
      <w:pPr>
        <w:pStyle w:val="Heading2"/>
        <w:spacing w:after="140" w:before="280"/>
      </w:pPr>
      <w:r>
        <w:rPr>
          <w:rFonts w:ascii="Arial" w:cs="Arial" w:eastAsia="Arial" w:hAnsi="Arial"/>
          <w:b/>
          <w:bCs/>
          <w:color w:val="1F4E79"/>
          <w:sz w:val="26"/>
          <w:szCs w:val="26"/>
        </w:rPr>
        <w:t xml:space="preserve">11.5. Métricas de calidad</w:t>
      </w:r>
    </w:p>
    <w:p>
      <w:pPr>
        <w:spacing w:after="120" w:line="300"/>
        <w:jc w:val="both"/>
      </w:pPr>
      <w:r>
        <w:rPr>
          <w:rFonts w:ascii="Arial" w:cs="Arial" w:eastAsia="Arial" w:hAnsi="Arial"/>
          <w:b w:val="false"/>
          <w:bCs w:val="false"/>
          <w:i w:val="false"/>
          <w:iCs w:val="false"/>
          <w:color w:val="000000"/>
          <w:sz w:val="22"/>
          <w:szCs w:val="22"/>
        </w:rPr>
        <w:t xml:space="preserve">Tres criterios específicos. Primero, reliabilidad intra-observador: si el observador codifica una misma grabación en dos momentos distintos, ¿la codificación es estable? Se estima con κ test-retest. Segundo, triangulación con fuentes independientes: las actas oficiales del consejo y el análisis de contenido del laboratorio 08 deberían converger con la narrativa etnográfica. Tercero, reactividad: estimar el efecto de la presencia del observador comparando sesiones iniciales (cuando el efecto es mayor) con sesiones tardías (cuando el observador se ha normalizado).</w:t>
      </w:r>
    </w:p>
    <w:p>
      <w:pPr>
        <w:pStyle w:val="Heading2"/>
        <w:spacing w:after="140" w:before="280"/>
      </w:pPr>
      <w:r>
        <w:rPr>
          <w:rFonts w:ascii="Arial" w:cs="Arial" w:eastAsia="Arial" w:hAnsi="Arial"/>
          <w:b/>
          <w:bCs/>
          <w:color w:val="1F4E79"/>
          <w:sz w:val="26"/>
          <w:szCs w:val="26"/>
        </w:rPr>
        <w:t xml:space="preserve">11.6. Reflexividad y ética</w:t>
      </w:r>
    </w:p>
    <w:p>
      <w:pPr>
        <w:spacing w:after="120" w:line="300"/>
        <w:jc w:val="both"/>
      </w:pPr>
      <w:r>
        <w:rPr>
          <w:rFonts w:ascii="Arial" w:cs="Arial" w:eastAsia="Arial" w:hAnsi="Arial"/>
          <w:b w:val="false"/>
          <w:bCs w:val="false"/>
          <w:i w:val="false"/>
          <w:iCs w:val="false"/>
          <w:color w:val="000000"/>
          <w:sz w:val="22"/>
          <w:szCs w:val="22"/>
        </w:rPr>
        <w:t xml:space="preserve">El laboratorio incluye explícitamente al OBSERVADOR como uno de los actores en el sociograma, con intervenciones cero en pleno y tres preguntas informales al presidente durante los recesos. Esta marca hace visible que el observador no es invisible ni neutral: tiene acceso privilegiado a ciertas facciones (en este caso, académico-ONG) y debe reconocerlo. El diario reflexivo paralelo al diario de campo documenta estas decisiones.</w:t>
      </w:r>
    </w:p>
    <w:p>
      <w:pPr>
        <w:spacing w:after="120" w:line="300"/>
        <w:jc w:val="both"/>
      </w:pPr>
      <w:r>
        <w:rPr>
          <w:rFonts w:ascii="Arial" w:cs="Arial" w:eastAsia="Arial" w:hAnsi="Arial"/>
          <w:b w:val="false"/>
          <w:bCs w:val="false"/>
          <w:i w:val="false"/>
          <w:iCs w:val="false"/>
          <w:color w:val="000000"/>
          <w:sz w:val="22"/>
          <w:szCs w:val="22"/>
        </w:rPr>
        <w:t xml:space="preserve">Éticamente, la observación participante requiere consentimiento informado de la organización observada (no de cada individuo por separado, lo cual sería inoperante en reuniones públicas) y, para quienes ocupen roles identificables (presidente, delegados), consentimiento individual respecto al uso de su nombre. La confidencialidad de deliberaciones sensibles no es negociable: publicar información identificable de un conflicto interno puede dañar seriamente al colectivo estudiado.</w:t>
      </w:r>
    </w:p>
    <w:p>
      <w:pPr>
        <w:pStyle w:val="Heading2"/>
        <w:spacing w:after="140" w:before="280"/>
      </w:pPr>
      <w:r>
        <w:rPr>
          <w:rFonts w:ascii="Arial" w:cs="Arial" w:eastAsia="Arial" w:hAnsi="Arial"/>
          <w:b/>
          <w:bCs/>
          <w:color w:val="1F4E79"/>
          <w:sz w:val="26"/>
          <w:szCs w:val="26"/>
        </w:rPr>
        <w:t xml:space="preserve">11.7. Anclaje territorial</w:t>
      </w:r>
    </w:p>
    <w:p>
      <w:pPr>
        <w:spacing w:after="120" w:line="300"/>
        <w:jc w:val="both"/>
      </w:pPr>
      <w:r>
        <w:rPr>
          <w:rFonts w:ascii="Arial" w:cs="Arial" w:eastAsia="Arial" w:hAnsi="Arial"/>
          <w:b w:val="false"/>
          <w:bCs w:val="false"/>
          <w:i w:val="false"/>
          <w:iCs w:val="false"/>
          <w:color w:val="000000"/>
          <w:sz w:val="22"/>
          <w:szCs w:val="22"/>
        </w:rPr>
        <w:t xml:space="preserve">Consejos Locales de Áreas Marinas Protegidas, Áreas Marinas de Pesca Responsable, comités regionales de MINAE y mesas de diálogo interinstitucionales son contextos donde la observación participante etnográfica ha producido hallazgos críticos sobre el funcionamiento real de la gobernanza costera, en contraste con su formulación normativa.</w:t>
      </w:r>
    </w:p>
    <w:p>
      <w:pPr>
        <w:pStyle w:val="Heading1"/>
        <w:pageBreakBefore/>
        <w:spacing w:after="200" w:before="360"/>
      </w:pPr>
      <w:r>
        <w:rPr>
          <w:rFonts w:ascii="Arial" w:cs="Arial" w:eastAsia="Arial" w:hAnsi="Arial"/>
          <w:b/>
          <w:bCs/>
          <w:color w:val="1F4E79"/>
          <w:sz w:val="32"/>
          <w:szCs w:val="32"/>
        </w:rPr>
        <w:t xml:space="preserve">12. Laboratorio 10 — Relatos de vida (historias orales)</w:t>
      </w:r>
    </w:p>
    <w:p>
      <w:pPr>
        <w:pStyle w:val="Heading2"/>
        <w:spacing w:after="140" w:before="280"/>
      </w:pPr>
      <w:r>
        <w:rPr>
          <w:rFonts w:ascii="Arial" w:cs="Arial" w:eastAsia="Arial" w:hAnsi="Arial"/>
          <w:b/>
          <w:bCs/>
          <w:color w:val="1F4E79"/>
          <w:sz w:val="26"/>
          <w:szCs w:val="26"/>
        </w:rPr>
        <w:t xml:space="preserve">12.1. Fundamentación teórica</w:t>
      </w:r>
    </w:p>
    <w:p>
      <w:pPr>
        <w:spacing w:after="120" w:line="300"/>
        <w:jc w:val="both"/>
      </w:pPr>
      <w:r>
        <w:rPr>
          <w:rFonts w:ascii="Arial" w:cs="Arial" w:eastAsia="Arial" w:hAnsi="Arial"/>
          <w:b w:val="false"/>
          <w:bCs w:val="false"/>
          <w:i w:val="false"/>
          <w:iCs w:val="false"/>
          <w:color w:val="000000"/>
          <w:sz w:val="22"/>
          <w:szCs w:val="22"/>
        </w:rPr>
        <w:t xml:space="preserve">Los relatos de vida, o historias orales, son un método biográfico cuya consolidación sociológica se debe a Daniel Bertaux (1981, Biography and Society), con raíces en la escuela de Chicago (Thomas y Znaniecki, The Polish Peasant, 1918-1920) y en la antropología cultural norteamericana (Oscar Lewis, Ruth Benedict). Su tesis medular es que la vida individual, narrada en extenso, constituye una ventana hacia lo social: en una biografía están inscritas las estructuras, las rupturas históricas, los regímenes de género, las transformaciones ecológicas, las cosmovisiones generacionales.</w:t>
      </w:r>
    </w:p>
    <w:p>
      <w:pPr>
        <w:spacing w:after="120" w:line="300"/>
        <w:jc w:val="both"/>
      </w:pPr>
      <w:r>
        <w:rPr>
          <w:rFonts w:ascii="Arial" w:cs="Arial" w:eastAsia="Arial" w:hAnsi="Arial"/>
          <w:b w:val="false"/>
          <w:bCs w:val="false"/>
          <w:i w:val="false"/>
          <w:iCs w:val="false"/>
          <w:color w:val="000000"/>
          <w:sz w:val="22"/>
          <w:szCs w:val="22"/>
        </w:rPr>
        <w:t xml:space="preserve">En investigación marino-costera, el método se articula de forma especialmente potente con dos conceptos: el Traditional Ecological Knowledge (TEK) de Fikret Berkes (Sacred Ecology, 2018) y el síndrome de shifting baselines de Daniel Pauly (1995). El primero postula que los pueblos que han habitado largamente un ecosistema acumulan conocimiento sobre sus dinámicas que la ciencia académica no posee; el segundo, que cada generación toma como línea de base el estado del ecosistema que conoció en su juventud, ignorando lo que hubo antes, lo cual produce una subestimación sistemática de la degradación acumulada.</w:t>
      </w:r>
    </w:p>
    <w:p>
      <w:pPr>
        <w:pStyle w:val="Heading2"/>
        <w:spacing w:after="140" w:before="280"/>
      </w:pPr>
      <w:r>
        <w:rPr>
          <w:rFonts w:ascii="Arial" w:cs="Arial" w:eastAsia="Arial" w:hAnsi="Arial"/>
          <w:b/>
          <w:bCs/>
          <w:color w:val="1F4E79"/>
          <w:sz w:val="26"/>
          <w:szCs w:val="26"/>
        </w:rPr>
        <w:t xml:space="preserve">12.2. Supuestos</w:t>
      </w:r>
    </w:p>
    <w:p>
      <w:pPr>
        <w:pStyle w:val="Heading3"/>
        <w:spacing w:after="100" w:before="220"/>
      </w:pPr>
      <w:r>
        <w:rPr>
          <w:rFonts w:ascii="Arial" w:cs="Arial" w:eastAsia="Arial" w:hAnsi="Arial"/>
          <w:b/>
          <w:bCs/>
          <w:color w:val="2E75B6"/>
          <w:sz w:val="23"/>
          <w:szCs w:val="23"/>
        </w:rPr>
        <w:t xml:space="preserve">Ontológicos</w:t>
      </w:r>
    </w:p>
    <w:p>
      <w:pPr>
        <w:spacing w:after="120" w:line="300"/>
        <w:jc w:val="both"/>
      </w:pPr>
      <w:r>
        <w:rPr>
          <w:rFonts w:ascii="Arial" w:cs="Arial" w:eastAsia="Arial" w:hAnsi="Arial"/>
          <w:b w:val="false"/>
          <w:bCs w:val="false"/>
          <w:i w:val="false"/>
          <w:iCs w:val="false"/>
          <w:color w:val="000000"/>
          <w:sz w:val="22"/>
          <w:szCs w:val="22"/>
        </w:rPr>
        <w:t xml:space="preserve">La memoria no es un registro fiel, sino una reconstrucción activa y selectiva. El narrador organiza su pasado según el presente que habita: una pescadora de 80 años que ha visto colapsar el banco de piangua cuenta su juventud en función de ese colapso. Esta no-fidelidad no invalida el método, lo precisa: lo que se recupera es la experiencia interpretada, no el hecho bruto.</w:t>
      </w:r>
    </w:p>
    <w:p>
      <w:pPr>
        <w:pStyle w:val="Heading3"/>
        <w:spacing w:after="100" w:before="220"/>
      </w:pPr>
      <w:r>
        <w:rPr>
          <w:rFonts w:ascii="Arial" w:cs="Arial" w:eastAsia="Arial" w:hAnsi="Arial"/>
          <w:b/>
          <w:bCs/>
          <w:color w:val="2E75B6"/>
          <w:sz w:val="23"/>
          <w:szCs w:val="23"/>
        </w:rPr>
        <w:t xml:space="preserve">Epistemológicos</w:t>
      </w:r>
    </w:p>
    <w:p>
      <w:pPr>
        <w:spacing w:after="120" w:line="300"/>
        <w:jc w:val="both"/>
      </w:pPr>
      <w:r>
        <w:rPr>
          <w:rFonts w:ascii="Arial" w:cs="Arial" w:eastAsia="Arial" w:hAnsi="Arial"/>
          <w:b w:val="false"/>
          <w:bCs w:val="false"/>
          <w:i w:val="false"/>
          <w:iCs w:val="false"/>
          <w:color w:val="000000"/>
          <w:sz w:val="22"/>
          <w:szCs w:val="22"/>
        </w:rPr>
        <w:t xml:space="preserve">La biografía es un lente sociológico válido: la trayectoria individual revela estructuras sociales y ecológicas que la encuesta transversal no captura. La memoria colectiva añade dimensión histórica a la investigación ambiental.</w:t>
      </w:r>
    </w:p>
    <w:p>
      <w:pPr>
        <w:pStyle w:val="Heading3"/>
        <w:spacing w:after="100" w:before="220"/>
      </w:pPr>
      <w:r>
        <w:rPr>
          <w:rFonts w:ascii="Arial" w:cs="Arial" w:eastAsia="Arial" w:hAnsi="Arial"/>
          <w:b/>
          <w:bCs/>
          <w:color w:val="2E75B6"/>
          <w:sz w:val="23"/>
          <w:szCs w:val="23"/>
        </w:rPr>
        <w:t xml:space="preserve">Metodológicos</w:t>
      </w:r>
    </w:p>
    <w:p>
      <w:pPr>
        <w:spacing w:after="120" w:line="300"/>
        <w:jc w:val="both"/>
      </w:pPr>
      <w:r>
        <w:rPr>
          <w:rFonts w:ascii="Arial" w:cs="Arial" w:eastAsia="Arial" w:hAnsi="Arial"/>
          <w:b w:val="false"/>
          <w:bCs w:val="false"/>
          <w:i w:val="false"/>
          <w:iCs w:val="false"/>
          <w:color w:val="000000"/>
          <w:sz w:val="22"/>
          <w:szCs w:val="22"/>
        </w:rPr>
        <w:t xml:space="preserve">Se requiere (i) selección de informantes clave según criterios de relevancia (mayor edad, trayectoria laboral larga, pertenencia a grupos específicos); (ii) entrevistas en profundidad repetidas (3 a 8 sesiones por informante); (iii) construcción de línea de vida colaborativa con apoyo visual; (iv) distinción entre eventos biográficos y eventos ecológicos; (v) validación narrativa con el propio informante.</w:t>
      </w:r>
    </w:p>
    <w:p>
      <w:pPr>
        <w:pStyle w:val="Heading2"/>
        <w:spacing w:after="140" w:before="280"/>
      </w:pPr>
      <w:r>
        <w:rPr>
          <w:rFonts w:ascii="Arial" w:cs="Arial" w:eastAsia="Arial" w:hAnsi="Arial"/>
          <w:b/>
          <w:bCs/>
          <w:color w:val="1F4E79"/>
          <w:sz w:val="26"/>
          <w:szCs w:val="26"/>
        </w:rPr>
        <w:t xml:space="preserve">12.3. Técnica</w:t>
      </w:r>
    </w:p>
    <w:p>
      <w:pPr>
        <w:spacing w:after="120" w:line="300"/>
        <w:jc w:val="both"/>
      </w:pPr>
      <w:r>
        <w:rPr>
          <w:rFonts w:ascii="Arial" w:cs="Arial" w:eastAsia="Arial" w:hAnsi="Arial"/>
          <w:b w:val="false"/>
          <w:bCs w:val="false"/>
          <w:i w:val="false"/>
          <w:iCs w:val="false"/>
          <w:color w:val="000000"/>
          <w:sz w:val="22"/>
          <w:szCs w:val="22"/>
        </w:rPr>
        <w:t xml:space="preserve">El laboratorio simula historias orales de 10 pescadores y piangüeras nacidos entre 1945 y 1975, en cuatro zonas del litoral costarricense (Golfo de Nicoya, Golfo Dulce, Pacífico Norte, Caribe Sur). Para cada informante se generan entre 9 y 23 eventos, divididos en biográficos (inicio de oficio, matrimonio, migración, liderazgo, lesión, jubilación parcial) y ecológicos (abundancia histórica, primera disminución, cierre de banco, llegada industrial, extinción local, restauración, evento climático, contaminación, especie invasora, nueva regulación). Además, cada informante aporta una baseline percibida de abundancia de piangua/día, que decae con el año de inicio laboral.</w:t>
      </w:r>
    </w:p>
    <w:p>
      <w:pPr>
        <w:spacing w:after="120" w:line="300"/>
        <w:jc w:val="both"/>
      </w:pPr>
      <w:r>
        <w:rPr>
          <w:rFonts w:ascii="Arial" w:cs="Arial" w:eastAsia="Arial" w:hAnsi="Arial"/>
          <w:b w:val="false"/>
          <w:bCs w:val="false"/>
          <w:i w:val="false"/>
          <w:iCs w:val="false"/>
          <w:color w:val="000000"/>
          <w:sz w:val="22"/>
          <w:szCs w:val="22"/>
        </w:rPr>
        <w:t xml:space="preserve">Los procedimientos analíticos son:</w:t>
      </w:r>
    </w:p>
    <w:p>
      <w:pPr>
        <w:pStyle w:val="ListParagraph"/>
        <w:numPr>
          <w:ilvl w:val="0"/>
          <w:numId w:val="2"/>
        </w:numPr>
        <w:spacing w:after="60" w:line="280"/>
        <w:jc w:val="both"/>
      </w:pPr>
      <w:r>
        <w:rPr>
          <w:rFonts w:ascii="Arial" w:cs="Arial" w:eastAsia="Arial" w:hAnsi="Arial"/>
          <w:sz w:val="22"/>
          <w:szCs w:val="22"/>
        </w:rPr>
        <w:t xml:space="preserve">Línea de vida colectiva: cada informante se representa como una horizontal desde su nacimiento hasta el presente, con marcadores de eventos biográficos y ecológicos.</w:t>
      </w:r>
    </w:p>
    <w:p>
      <w:pPr>
        <w:pStyle w:val="ListParagraph"/>
        <w:numPr>
          <w:ilvl w:val="0"/>
          <w:numId w:val="2"/>
        </w:numPr>
        <w:spacing w:after="60" w:line="280"/>
        <w:jc w:val="both"/>
      </w:pPr>
      <w:r>
        <w:rPr>
          <w:rFonts w:ascii="Arial" w:cs="Arial" w:eastAsia="Arial" w:hAnsi="Arial"/>
          <w:sz w:val="22"/>
          <w:szCs w:val="22"/>
        </w:rPr>
        <w:t xml:space="preserve">Análisis intergeneracional por cohorte de nacimiento (1945-1955, 1956-1965, 1966-1975) de la baseline percibida.</w:t>
      </w:r>
    </w:p>
    <w:p>
      <w:pPr>
        <w:pStyle w:val="ListParagraph"/>
        <w:numPr>
          <w:ilvl w:val="0"/>
          <w:numId w:val="2"/>
        </w:numPr>
        <w:spacing w:after="60" w:line="280"/>
        <w:jc w:val="both"/>
      </w:pPr>
      <w:r>
        <w:rPr>
          <w:rFonts w:ascii="Arial" w:cs="Arial" w:eastAsia="Arial" w:hAnsi="Arial"/>
          <w:sz w:val="22"/>
          <w:szCs w:val="22"/>
        </w:rPr>
        <w:t xml:space="preserve">Test de correlación de Kendall τ entre año de nacimiento y baseline percibida: si τ &lt; −0.30 con p &lt; 0.05, hay evidencia estadística de shifting baseline intergeneracional.</w:t>
      </w:r>
    </w:p>
    <w:p>
      <w:pPr>
        <w:pStyle w:val="ListParagraph"/>
        <w:numPr>
          <w:ilvl w:val="0"/>
          <w:numId w:val="2"/>
        </w:numPr>
        <w:spacing w:after="60" w:line="280"/>
        <w:jc w:val="both"/>
      </w:pPr>
      <w:r>
        <w:rPr>
          <w:rFonts w:ascii="Arial" w:cs="Arial" w:eastAsia="Arial" w:hAnsi="Arial"/>
          <w:sz w:val="22"/>
          <w:szCs w:val="22"/>
        </w:rPr>
        <w:t xml:space="preserve">Frecuencia de eventos ecológicos por década, para reconstruir la cronología narrativa de cambios del ecosistema.</w:t>
      </w:r>
    </w:p>
    <w:p>
      <w:pPr>
        <w:pStyle w:val="Heading3"/>
        <w:spacing w:after="100" w:before="220"/>
      </w:pPr>
      <w:r>
        <w:rPr>
          <w:rFonts w:ascii="Arial" w:cs="Arial" w:eastAsia="Arial" w:hAnsi="Arial"/>
          <w:b/>
          <w:bCs/>
          <w:color w:val="2E75B6"/>
          <w:sz w:val="23"/>
          <w:szCs w:val="23"/>
        </w:rPr>
        <w:t xml:space="preserve">El síndrome de shifting baselines</w:t>
      </w:r>
    </w:p>
    <w:p>
      <w:pPr>
        <w:spacing w:after="120" w:line="300"/>
        <w:jc w:val="both"/>
      </w:pPr>
      <w:r>
        <w:rPr>
          <w:rFonts w:ascii="Arial" w:cs="Arial" w:eastAsia="Arial" w:hAnsi="Arial"/>
          <w:b w:val="false"/>
          <w:bCs w:val="false"/>
          <w:i w:val="false"/>
          <w:iCs w:val="false"/>
          <w:color w:val="000000"/>
          <w:sz w:val="22"/>
          <w:szCs w:val="22"/>
        </w:rPr>
        <w:t xml:space="preserve">Pauly (1995) formalizó la intuición de que la ausencia de memoria ecológica larga produce subestimación sistemática de la degradación. Cada generación se acostumbra a un nivel inferior al de la anterior y lo trata como normal. La consecuencia política es severa: las metas de restauración suelen apuntar al recuerdo del decisor, no al estado histórico real del ecosistema. Los relatos de vida permiten recuperar baselines que los registros científicos oficiales (por su juventud) no contienen.</w:t>
      </w:r>
    </w:p>
    <w:p>
      <w:pPr>
        <w:pStyle w:val="Heading2"/>
        <w:spacing w:after="140" w:before="280"/>
      </w:pPr>
      <w:r>
        <w:rPr>
          <w:rFonts w:ascii="Arial" w:cs="Arial" w:eastAsia="Arial" w:hAnsi="Arial"/>
          <w:b/>
          <w:bCs/>
          <w:color w:val="1F4E79"/>
          <w:sz w:val="26"/>
          <w:szCs w:val="26"/>
        </w:rPr>
        <w:t xml:space="preserve">12.4. Implementación computacional</w:t>
      </w:r>
    </w:p>
    <w:p>
      <w:pPr>
        <w:spacing w:after="120" w:line="300"/>
        <w:jc w:val="both"/>
      </w:pPr>
      <w:r>
        <w:rPr>
          <w:rFonts w:ascii="Arial" w:cs="Arial" w:eastAsia="Arial" w:hAnsi="Arial"/>
          <w:b w:val="false"/>
          <w:bCs w:val="false"/>
          <w:i w:val="false"/>
          <w:iCs w:val="false"/>
          <w:color w:val="000000"/>
          <w:sz w:val="22"/>
          <w:szCs w:val="22"/>
        </w:rPr>
        <w:t xml:space="preserve">El laboratorio utiliza pandas para el registro de eventos, scipy.stats.kendalltau para la prueba de tendencia intergeneracional y matplotlib para las cuatro visualizaciones (líneas de vida, dispersión de baselines, barras apiladas por década, boxplot de edades al evento). El código permite modificar la tasa de declive objetivo de la abundancia (actualmente 1.2% anual exponencial desde 1960) para explorar cómo cambia la detectabilidad del shifting baseline según la magnitud real del deterioro.</w:t>
      </w:r>
    </w:p>
    <w:p>
      <w:pPr>
        <w:pStyle w:val="Heading2"/>
        <w:spacing w:after="140" w:before="280"/>
      </w:pPr>
      <w:r>
        <w:rPr>
          <w:rFonts w:ascii="Arial" w:cs="Arial" w:eastAsia="Arial" w:hAnsi="Arial"/>
          <w:b/>
          <w:bCs/>
          <w:color w:val="1F4E79"/>
          <w:sz w:val="26"/>
          <w:szCs w:val="26"/>
        </w:rPr>
        <w:t xml:space="preserve">12.5. Métricas de calidad</w:t>
      </w:r>
    </w:p>
    <w:p>
      <w:pPr>
        <w:spacing w:after="120" w:line="300"/>
        <w:jc w:val="both"/>
      </w:pPr>
      <w:r>
        <w:rPr>
          <w:rFonts w:ascii="Arial" w:cs="Arial" w:eastAsia="Arial" w:hAnsi="Arial"/>
          <w:b w:val="false"/>
          <w:bCs w:val="false"/>
          <w:i w:val="false"/>
          <w:iCs w:val="false"/>
          <w:color w:val="000000"/>
          <w:sz w:val="22"/>
          <w:szCs w:val="22"/>
        </w:rPr>
        <w:t xml:space="preserve">La triangulación con registros históricos independientes (capturas reportadas a INCOPESCA, fotografías aéreas antiguas, cartografía histórica, relatos publicados) es esencial: si los baselines narrados convergen con registros objetivos, la validez se refuerza. La saturación narrativa —momento en que nuevos informantes no añaden eventos ecológicos novedosos— es criterio análogo al de saturación teórica en grounded theory.</w:t>
      </w:r>
    </w:p>
    <w:p>
      <w:pPr>
        <w:pStyle w:val="Heading2"/>
        <w:spacing w:after="140" w:before="280"/>
      </w:pPr>
      <w:r>
        <w:rPr>
          <w:rFonts w:ascii="Arial" w:cs="Arial" w:eastAsia="Arial" w:hAnsi="Arial"/>
          <w:b/>
          <w:bCs/>
          <w:color w:val="1F4E79"/>
          <w:sz w:val="26"/>
          <w:szCs w:val="26"/>
        </w:rPr>
        <w:t xml:space="preserve">12.6. Limitaciones</w:t>
      </w:r>
    </w:p>
    <w:p>
      <w:pPr>
        <w:spacing w:after="120" w:line="300"/>
        <w:jc w:val="both"/>
      </w:pPr>
      <w:r>
        <w:rPr>
          <w:rFonts w:ascii="Arial" w:cs="Arial" w:eastAsia="Arial" w:hAnsi="Arial"/>
          <w:b w:val="false"/>
          <w:bCs w:val="false"/>
          <w:i w:val="false"/>
          <w:iCs w:val="false"/>
          <w:color w:val="000000"/>
          <w:sz w:val="22"/>
          <w:szCs w:val="22"/>
        </w:rPr>
        <w:t xml:space="preserve">La memoria retrospectiva introduce dos sesgos conocidos: telescoping (eventos recientes percibidos como más lejanos y eventos lejanos como más recientes) y rosy retrospection (idealización del pasado). Ambos pueden corregirse parcialmente con anclas cronológicas (eventos públicos memorables: el huracán César de 1996, el Niño de 1997–98, el terremoto de Cinchona de 2009) que permiten reordenar la cronología del informante.</w:t>
      </w:r>
    </w:p>
    <w:p>
      <w:pPr>
        <w:pStyle w:val="Heading2"/>
        <w:spacing w:after="140" w:before="280"/>
      </w:pPr>
      <w:r>
        <w:rPr>
          <w:rFonts w:ascii="Arial" w:cs="Arial" w:eastAsia="Arial" w:hAnsi="Arial"/>
          <w:b/>
          <w:bCs/>
          <w:color w:val="1F4E79"/>
          <w:sz w:val="26"/>
          <w:szCs w:val="26"/>
        </w:rPr>
        <w:t xml:space="preserve">12.7. Anclaje territorial</w:t>
      </w:r>
    </w:p>
    <w:p>
      <w:pPr>
        <w:spacing w:after="120" w:line="300"/>
        <w:jc w:val="both"/>
      </w:pPr>
      <w:r>
        <w:rPr>
          <w:rFonts w:ascii="Arial" w:cs="Arial" w:eastAsia="Arial" w:hAnsi="Arial"/>
          <w:b w:val="false"/>
          <w:bCs w:val="false"/>
          <w:i w:val="false"/>
          <w:iCs w:val="false"/>
          <w:color w:val="000000"/>
          <w:sz w:val="22"/>
          <w:szCs w:val="22"/>
        </w:rPr>
        <w:t xml:space="preserve">Programas de recuperación de memoria oral en comunidades piangüeras de Térraba-Sierpe, en comunidades pescadoras de Puerto Jiménez y en pueblos costeros del Caribe sur han permitido documentar abundancias históricas de piangua, camarón blanco, pez sierra y pargo que son 8 a 15 veces superiores a las actuales. Estas baselines recuperadas son insumo crítico para formular metas de restauración ecológica ambiciosas y científicamente sustentadas.</w:t>
      </w:r>
    </w:p>
    <w:p>
      <w:pPr>
        <w:pStyle w:val="Heading1"/>
        <w:pageBreakBefore/>
        <w:spacing w:after="200" w:before="360"/>
      </w:pPr>
      <w:r>
        <w:rPr>
          <w:rFonts w:ascii="Arial" w:cs="Arial" w:eastAsia="Arial" w:hAnsi="Arial"/>
          <w:b/>
          <w:bCs/>
          <w:color w:val="1F4E79"/>
          <w:sz w:val="32"/>
          <w:szCs w:val="32"/>
        </w:rPr>
        <w:t xml:space="preserve">13. Laboratorio 11 — Método Delphi cualitativo</w:t>
      </w:r>
    </w:p>
    <w:p>
      <w:pPr>
        <w:pStyle w:val="Heading2"/>
        <w:spacing w:after="140" w:before="280"/>
      </w:pPr>
      <w:r>
        <w:rPr>
          <w:rFonts w:ascii="Arial" w:cs="Arial" w:eastAsia="Arial" w:hAnsi="Arial"/>
          <w:b/>
          <w:bCs/>
          <w:color w:val="1F4E79"/>
          <w:sz w:val="26"/>
          <w:szCs w:val="26"/>
        </w:rPr>
        <w:t xml:space="preserve">13.1. Fundamentación teórica</w:t>
      </w:r>
    </w:p>
    <w:p>
      <w:pPr>
        <w:spacing w:after="120" w:line="300"/>
        <w:jc w:val="both"/>
      </w:pPr>
      <w:r>
        <w:rPr>
          <w:rFonts w:ascii="Arial" w:cs="Arial" w:eastAsia="Arial" w:hAnsi="Arial"/>
          <w:b w:val="false"/>
          <w:bCs w:val="false"/>
          <w:i w:val="false"/>
          <w:iCs w:val="false"/>
          <w:color w:val="000000"/>
          <w:sz w:val="22"/>
          <w:szCs w:val="22"/>
        </w:rPr>
        <w:t xml:space="preserve">El método Delphi fue desarrollado en la década de 1950 por Norman Dalkey y Olaf Helmer en la RAND Corporation para proyectos de prospectiva militar en el contexto de la Guerra Fría (Dalkey &amp; Helmer, 1963). Su nombre alude al oráculo de Delfos: pretende formalizar el juicio experto cuando la evidencia empírica es insuficiente o el fenómeno aún no ha ocurrido. La transposición al mundo civil fue inmediata: prospectiva tecnológica, salud pública, planificación educativa, gestión ambiental. Su consolidación metodológica contemporánea proviene de Hasson, Keeney y McKenna (2000) y, para reporting estándar, de Diamond et al. (2014).</w:t>
      </w:r>
    </w:p>
    <w:p>
      <w:pPr>
        <w:spacing w:after="120" w:line="300"/>
        <w:jc w:val="both"/>
      </w:pPr>
      <w:r>
        <w:rPr>
          <w:rFonts w:ascii="Arial" w:cs="Arial" w:eastAsia="Arial" w:hAnsi="Arial"/>
          <w:b w:val="false"/>
          <w:bCs w:val="false"/>
          <w:i w:val="false"/>
          <w:iCs w:val="false"/>
          <w:color w:val="000000"/>
          <w:sz w:val="22"/>
          <w:szCs w:val="22"/>
        </w:rPr>
        <w:t xml:space="preserve">La premisa teórica es que la agregación inteligente de juicios expertos heterogéneos, bajo condiciones de anonimato y feedback iterativo, produce mejores estimaciones que el juicio individual de cualquier experto o que la discusión cara a cara (que está sujeta a efectos de dominancia, cascada informacional y conformidad). El Delphi es, así, un dispositivo de inteligencia colectiva estructurada.</w:t>
      </w:r>
    </w:p>
    <w:p>
      <w:pPr>
        <w:pStyle w:val="Heading2"/>
        <w:spacing w:after="140" w:before="280"/>
      </w:pPr>
      <w:r>
        <w:rPr>
          <w:rFonts w:ascii="Arial" w:cs="Arial" w:eastAsia="Arial" w:hAnsi="Arial"/>
          <w:b/>
          <w:bCs/>
          <w:color w:val="1F4E79"/>
          <w:sz w:val="26"/>
          <w:szCs w:val="26"/>
        </w:rPr>
        <w:t xml:space="preserve">13.2. Supuestos</w:t>
      </w:r>
    </w:p>
    <w:p>
      <w:pPr>
        <w:pStyle w:val="Heading3"/>
        <w:spacing w:after="100" w:before="220"/>
      </w:pPr>
      <w:r>
        <w:rPr>
          <w:rFonts w:ascii="Arial" w:cs="Arial" w:eastAsia="Arial" w:hAnsi="Arial"/>
          <w:b/>
          <w:bCs/>
          <w:color w:val="2E75B6"/>
          <w:sz w:val="23"/>
          <w:szCs w:val="23"/>
        </w:rPr>
        <w:t xml:space="preserve">Ontológicos</w:t>
      </w:r>
    </w:p>
    <w:p>
      <w:pPr>
        <w:spacing w:after="120" w:line="300"/>
        <w:jc w:val="both"/>
      </w:pPr>
      <w:r>
        <w:rPr>
          <w:rFonts w:ascii="Arial" w:cs="Arial" w:eastAsia="Arial" w:hAnsi="Arial"/>
          <w:b w:val="false"/>
          <w:bCs w:val="false"/>
          <w:i w:val="false"/>
          <w:iCs w:val="false"/>
          <w:color w:val="000000"/>
          <w:sz w:val="22"/>
          <w:szCs w:val="22"/>
        </w:rPr>
        <w:t xml:space="preserve">En ausencia de evidencia empírica suficiente, el juicio experto es una fuente legítima de conocimiento. La experiencia acumulada en un campo produce estimaciones informadas no reducibles a la suma de datos disponibles.</w:t>
      </w:r>
    </w:p>
    <w:p>
      <w:pPr>
        <w:pStyle w:val="Heading3"/>
        <w:spacing w:after="100" w:before="220"/>
      </w:pPr>
      <w:r>
        <w:rPr>
          <w:rFonts w:ascii="Arial" w:cs="Arial" w:eastAsia="Arial" w:hAnsi="Arial"/>
          <w:b/>
          <w:bCs/>
          <w:color w:val="2E75B6"/>
          <w:sz w:val="23"/>
          <w:szCs w:val="23"/>
        </w:rPr>
        <w:t xml:space="preserve">Epistemológicos</w:t>
      </w:r>
    </w:p>
    <w:p>
      <w:pPr>
        <w:spacing w:after="120" w:line="300"/>
        <w:jc w:val="both"/>
      </w:pPr>
      <w:r>
        <w:rPr>
          <w:rFonts w:ascii="Arial" w:cs="Arial" w:eastAsia="Arial" w:hAnsi="Arial"/>
          <w:b w:val="false"/>
          <w:bCs w:val="false"/>
          <w:i w:val="false"/>
          <w:iCs w:val="false"/>
          <w:color w:val="000000"/>
          <w:sz w:val="22"/>
          <w:szCs w:val="22"/>
        </w:rPr>
        <w:t xml:space="preserve">El consenso informado es epistémicamente superior al voto simple, porque incorpora feedback iterativo y revisión razonada. El anonimato neutraliza asimetrías de poder, genero y jerarquía dentro del panel. La iteración produce convergencia no por imposición, sino por actualización bayesiana informal.</w:t>
      </w:r>
    </w:p>
    <w:p>
      <w:pPr>
        <w:pStyle w:val="Heading3"/>
        <w:spacing w:after="100" w:before="220"/>
      </w:pPr>
      <w:r>
        <w:rPr>
          <w:rFonts w:ascii="Arial" w:cs="Arial" w:eastAsia="Arial" w:hAnsi="Arial"/>
          <w:b/>
          <w:bCs/>
          <w:color w:val="2E75B6"/>
          <w:sz w:val="23"/>
          <w:szCs w:val="23"/>
        </w:rPr>
        <w:t xml:space="preserve">Metodológicos</w:t>
      </w:r>
    </w:p>
    <w:p>
      <w:pPr>
        <w:spacing w:after="120" w:line="300"/>
        <w:jc w:val="both"/>
      </w:pPr>
      <w:r>
        <w:rPr>
          <w:rFonts w:ascii="Arial" w:cs="Arial" w:eastAsia="Arial" w:hAnsi="Arial"/>
          <w:b w:val="false"/>
          <w:bCs w:val="false"/>
          <w:i w:val="false"/>
          <w:iCs w:val="false"/>
          <w:color w:val="000000"/>
          <w:sz w:val="22"/>
          <w:szCs w:val="22"/>
        </w:rPr>
        <w:t xml:space="preserve">Se requiere (i) panel heterogéneo de 10 a 30 expertos con perfiles complementarios; (ii) cuestionario estructurado con escalas claras; (iii) anonimato riguroso entre rondas; (iv) feedback entre rondas consistente en estadísticos agregados (mediana, IQR); (v) criterios de parada explícitos definidos ex-ante.</w:t>
      </w:r>
    </w:p>
    <w:p>
      <w:pPr>
        <w:pStyle w:val="Heading2"/>
        <w:spacing w:after="140" w:before="280"/>
      </w:pPr>
      <w:r>
        <w:rPr>
          <w:rFonts w:ascii="Arial" w:cs="Arial" w:eastAsia="Arial" w:hAnsi="Arial"/>
          <w:b/>
          <w:bCs/>
          <w:color w:val="1F4E79"/>
          <w:sz w:val="26"/>
          <w:szCs w:val="26"/>
        </w:rPr>
        <w:t xml:space="preserve">13.3. Lógica metodológica</w:t>
      </w:r>
    </w:p>
    <w:p>
      <w:pPr>
        <w:spacing w:after="120" w:line="300"/>
        <w:jc w:val="both"/>
      </w:pPr>
      <w:r>
        <w:rPr>
          <w:rFonts w:ascii="Arial" w:cs="Arial" w:eastAsia="Arial" w:hAnsi="Arial"/>
          <w:b w:val="false"/>
          <w:bCs w:val="false"/>
          <w:i w:val="false"/>
          <w:iCs w:val="false"/>
          <w:color w:val="000000"/>
          <w:sz w:val="22"/>
          <w:szCs w:val="22"/>
        </w:rPr>
        <w:t xml:space="preserve">El ciclo canónico incluye tres a cuatro rondas:</w:t>
      </w:r>
    </w:p>
    <w:p>
      <w:pPr>
        <w:pStyle w:val="ListParagraph"/>
        <w:numPr>
          <w:ilvl w:val="0"/>
          <w:numId w:val="2"/>
        </w:numPr>
        <w:spacing w:after="60" w:line="280"/>
        <w:jc w:val="both"/>
      </w:pPr>
      <w:r>
        <w:rPr>
          <w:rFonts w:ascii="Arial" w:cs="Arial" w:eastAsia="Arial" w:hAnsi="Arial"/>
          <w:sz w:val="22"/>
          <w:szCs w:val="22"/>
        </w:rPr>
        <w:t xml:space="preserve">Ronda 1: valoración individual de los problemas o ítems. El panel no conoce las valoraciones de los demás. Se recibe un espectro amplio de respuestas.</w:t>
      </w:r>
    </w:p>
    <w:p>
      <w:pPr>
        <w:pStyle w:val="ListParagraph"/>
        <w:numPr>
          <w:ilvl w:val="0"/>
          <w:numId w:val="2"/>
        </w:numPr>
        <w:spacing w:after="60" w:line="280"/>
        <w:jc w:val="both"/>
      </w:pPr>
      <w:r>
        <w:rPr>
          <w:rFonts w:ascii="Arial" w:cs="Arial" w:eastAsia="Arial" w:hAnsi="Arial"/>
          <w:sz w:val="22"/>
          <w:szCs w:val="22"/>
        </w:rPr>
        <w:t xml:space="preserve">Ronda 2: cada experto recibe la mediana e IQR del panel. Se le pregunta si desea ajustar su respuesta; si mantiene una posición fuera del IQR, se le pide justificación cualitativa. Esto es el corazón metodológico del Delphi: el desacuerdo razonado no se elimina, se documenta.</w:t>
      </w:r>
    </w:p>
    <w:p>
      <w:pPr>
        <w:pStyle w:val="ListParagraph"/>
        <w:numPr>
          <w:ilvl w:val="0"/>
          <w:numId w:val="2"/>
        </w:numPr>
        <w:spacing w:after="60" w:line="280"/>
        <w:jc w:val="both"/>
      </w:pPr>
      <w:r>
        <w:rPr>
          <w:rFonts w:ascii="Arial" w:cs="Arial" w:eastAsia="Arial" w:hAnsi="Arial"/>
          <w:sz w:val="22"/>
          <w:szCs w:val="22"/>
        </w:rPr>
        <w:t xml:space="preserve">Ronda 3: se presenta la distribución ajustada y las justificaciones. El panel tiene oportunidad final de converger o confirmar desacuerdo estructural.</w:t>
      </w:r>
    </w:p>
    <w:p>
      <w:pPr>
        <w:pStyle w:val="Heading2"/>
        <w:spacing w:after="140" w:before="280"/>
      </w:pPr>
      <w:r>
        <w:rPr>
          <w:rFonts w:ascii="Arial" w:cs="Arial" w:eastAsia="Arial" w:hAnsi="Arial"/>
          <w:b/>
          <w:bCs/>
          <w:color w:val="1F4E79"/>
          <w:sz w:val="26"/>
          <w:szCs w:val="26"/>
        </w:rPr>
        <w:t xml:space="preserve">13.4. Técnica</w:t>
      </w:r>
    </w:p>
    <w:p>
      <w:pPr>
        <w:spacing w:after="120" w:line="300"/>
        <w:jc w:val="both"/>
      </w:pPr>
      <w:r>
        <w:rPr>
          <w:rFonts w:ascii="Arial" w:cs="Arial" w:eastAsia="Arial" w:hAnsi="Arial"/>
          <w:b w:val="false"/>
          <w:bCs w:val="false"/>
          <w:i w:val="false"/>
          <w:iCs w:val="false"/>
          <w:color w:val="000000"/>
          <w:sz w:val="22"/>
          <w:szCs w:val="22"/>
        </w:rPr>
        <w:t xml:space="preserve">El laboratorio simula un panel de 15 expertos de cinco sectores (academia, gobierno, pesca, conservación, sector privado) valorando 12 problemas costeros en escala de 1 a 10, a lo largo de tres rondas. Cada experto tiene un sesgo sectorial leve que desaparece parcialmente por convergencia hacia la mediana grupal. Las métricas calculadas son:</w:t>
      </w:r>
    </w:p>
    <w:p>
      <w:pPr>
        <w:pStyle w:val="Heading3"/>
        <w:spacing w:after="100" w:before="220"/>
      </w:pPr>
      <w:r>
        <w:rPr>
          <w:rFonts w:ascii="Arial" w:cs="Arial" w:eastAsia="Arial" w:hAnsi="Arial"/>
          <w:b/>
          <w:bCs/>
          <w:color w:val="2E75B6"/>
          <w:sz w:val="23"/>
          <w:szCs w:val="23"/>
        </w:rPr>
        <w:t xml:space="preserve">Kendall's W (concordancia entre evaluadores)</w:t>
      </w:r>
    </w:p>
    <w:p>
      <w:pPr>
        <w:pBdr>
          <w:top w:val="single" w:color="DDDDDD" w:sz="4" w:space="4"/>
          <w:bottom w:val="single" w:color="DDDDDD" w:sz="4" w:space="4"/>
          <w:left w:val="single" w:color="DDDDDD" w:sz="4" w:space="4"/>
          <w:right w:val="single" w:color="DDDDDD" w:sz="4" w:space="4"/>
        </w:pBdr>
        <w:shd w:fill="F5F5F5" w:val="clear"/>
        <w:spacing w:after="120" w:before="80" w:line="260"/>
        <w:ind w:left="360" w:right="360"/>
      </w:pPr>
      <w:r>
        <w:rPr>
          <w:rFonts w:ascii="Consolas" w:cs="Consolas" w:eastAsia="Consolas" w:hAnsi="Consolas"/>
          <w:color w:val="333333"/>
          <w:sz w:val="20"/>
          <w:szCs w:val="20"/>
        </w:rPr>
        <w:t xml:space="preserve">W = (12 × S) / (m² × (n³ − n))</w:t>
      </w:r>
    </w:p>
    <w:p>
      <w:pPr>
        <w:spacing w:after="120" w:line="300"/>
        <w:jc w:val="both"/>
      </w:pPr>
      <w:r>
        <w:rPr>
          <w:rFonts w:ascii="Arial" w:cs="Arial" w:eastAsia="Arial" w:hAnsi="Arial"/>
          <w:b w:val="false"/>
          <w:bCs w:val="false"/>
          <w:i w:val="false"/>
          <w:iCs w:val="false"/>
          <w:color w:val="000000"/>
          <w:sz w:val="22"/>
          <w:szCs w:val="22"/>
        </w:rPr>
        <w:t xml:space="preserve">Donde S es la suma de cuadrados de desviaciones de los rangos acumulados respecto a su media, m es el número de evaluadores y n el número de ítems. W varía entre 0 (desacuerdo total) y 1 (acuerdo perfecto). La prueba asociada es χ² = m × (n−1) × W. Umbrales interpretativos: W &lt; 0.30 acuerdo débil; 0.30–0.50 acuerdo moderado; &gt; 0.50 acuerdo sustancial; &gt; 0.70 acuerdo fuerte.</w:t>
      </w:r>
    </w:p>
    <w:p>
      <w:pPr>
        <w:pStyle w:val="Heading3"/>
        <w:spacing w:after="100" w:before="220"/>
      </w:pPr>
      <w:r>
        <w:rPr>
          <w:rFonts w:ascii="Arial" w:cs="Arial" w:eastAsia="Arial" w:hAnsi="Arial"/>
          <w:b/>
          <w:bCs/>
          <w:color w:val="2E75B6"/>
          <w:sz w:val="23"/>
          <w:szCs w:val="23"/>
        </w:rPr>
        <w:t xml:space="preserve">Estabilidad de rankings (Spearman ρ entre rondas)</w:t>
      </w:r>
    </w:p>
    <w:p>
      <w:pPr>
        <w:spacing w:after="120" w:line="300"/>
        <w:jc w:val="both"/>
      </w:pPr>
      <w:r>
        <w:rPr>
          <w:rFonts w:ascii="Arial" w:cs="Arial" w:eastAsia="Arial" w:hAnsi="Arial"/>
          <w:b w:val="false"/>
          <w:bCs w:val="false"/>
          <w:i w:val="false"/>
          <w:iCs w:val="false"/>
          <w:color w:val="000000"/>
          <w:sz w:val="22"/>
          <w:szCs w:val="22"/>
        </w:rPr>
        <w:t xml:space="preserve">Un criterio de parada complementario es que la correlación de Spearman entre rankings medianos de rondas consecutivas supere 0.90. Si ρ(R2, R3) &gt; 0.90, los rankings se han estabilizado y una cuarta ronda no añadiría información. En el laboratorio, la simulación produce típicamente ρ &gt; 0.95 hacia la tercera ronda.</w:t>
      </w:r>
    </w:p>
    <w:p>
      <w:pPr>
        <w:pStyle w:val="Heading3"/>
        <w:spacing w:after="100" w:before="220"/>
      </w:pPr>
      <w:r>
        <w:rPr>
          <w:rFonts w:ascii="Arial" w:cs="Arial" w:eastAsia="Arial" w:hAnsi="Arial"/>
          <w:b/>
          <w:bCs/>
          <w:color w:val="2E75B6"/>
          <w:sz w:val="23"/>
          <w:szCs w:val="23"/>
        </w:rPr>
        <w:t xml:space="preserve">Reducción del IQR</w:t>
      </w:r>
    </w:p>
    <w:p>
      <w:pPr>
        <w:spacing w:after="120" w:line="300"/>
        <w:jc w:val="both"/>
      </w:pPr>
      <w:r>
        <w:rPr>
          <w:rFonts w:ascii="Arial" w:cs="Arial" w:eastAsia="Arial" w:hAnsi="Arial"/>
          <w:b w:val="false"/>
          <w:bCs w:val="false"/>
          <w:i w:val="false"/>
          <w:iCs w:val="false"/>
          <w:color w:val="000000"/>
          <w:sz w:val="22"/>
          <w:szCs w:val="22"/>
        </w:rPr>
        <w:t xml:space="preserve">La reducción del rango intercuartílico por ítem entre rondas es evidencia directa de convergencia deliberativa. IQR ≤ 1.5 en escala 1-10 indica consenso fuerte; ≤ 2.5 consenso moderado; &gt; 2.5 disenso estructural persistente.</w:t>
      </w:r>
    </w:p>
    <w:p>
      <w:pPr>
        <w:pStyle w:val="Heading2"/>
        <w:spacing w:after="140" w:before="280"/>
      </w:pPr>
      <w:r>
        <w:rPr>
          <w:rFonts w:ascii="Arial" w:cs="Arial" w:eastAsia="Arial" w:hAnsi="Arial"/>
          <w:b/>
          <w:bCs/>
          <w:color w:val="1F4E79"/>
          <w:sz w:val="26"/>
          <w:szCs w:val="26"/>
        </w:rPr>
        <w:t xml:space="preserve">13.5. Implementación computacional</w:t>
      </w:r>
    </w:p>
    <w:p>
      <w:pPr>
        <w:spacing w:after="120" w:line="300"/>
        <w:jc w:val="both"/>
      </w:pPr>
      <w:r>
        <w:rPr>
          <w:rFonts w:ascii="Arial" w:cs="Arial" w:eastAsia="Arial" w:hAnsi="Arial"/>
          <w:b w:val="false"/>
          <w:bCs w:val="false"/>
          <w:i w:val="false"/>
          <w:iCs w:val="false"/>
          <w:color w:val="000000"/>
          <w:sz w:val="22"/>
          <w:szCs w:val="22"/>
        </w:rPr>
        <w:t xml:space="preserve">El laboratorio implementa la función valorar() con un factor de convergencia explícito: en rondas 2 y 3, el valor del experto es 0.6 × valor actual + 0.4 × mediana grupal previa. Este 40% de convergencia es un hiperparámetro editable: reducirlo a 10% produce un Delphi que no converge (inteligencia colectiva pobre); aumentarlo a 70% produce una convergencia artificialmente rápida (cascada informacional excesiva). La exploración didáctica de estos extremos ilumina por qué el feedback debe ser estructurado y no prescriptivo.</w:t>
      </w:r>
    </w:p>
    <w:p>
      <w:pPr>
        <w:pStyle w:val="Heading2"/>
        <w:spacing w:after="140" w:before="280"/>
      </w:pPr>
      <w:r>
        <w:rPr>
          <w:rFonts w:ascii="Arial" w:cs="Arial" w:eastAsia="Arial" w:hAnsi="Arial"/>
          <w:b/>
          <w:bCs/>
          <w:color w:val="1F4E79"/>
          <w:sz w:val="26"/>
          <w:szCs w:val="26"/>
        </w:rPr>
        <w:t xml:space="preserve">13.6. Clasificación final de consenso</w:t>
      </w:r>
    </w:p>
    <w:p>
      <w:pPr>
        <w:spacing w:after="120" w:line="300"/>
        <w:jc w:val="both"/>
      </w:pPr>
      <w:r>
        <w:rPr>
          <w:rFonts w:ascii="Arial" w:cs="Arial" w:eastAsia="Arial" w:hAnsi="Arial"/>
          <w:b w:val="false"/>
          <w:bCs w:val="false"/>
          <w:i w:val="false"/>
          <w:iCs w:val="false"/>
          <w:color w:val="000000"/>
          <w:sz w:val="22"/>
          <w:szCs w:val="22"/>
        </w:rPr>
        <w:t xml:space="preserve">El laboratorio clasifica cada problema como: consenso fuerte (IQR final ≤ 1.5), moderado (≤ 2.5) o bajo (&gt; 2.5). Los problemas con consenso fuerte y mediana alta son candidatos a política prioritaria. Los problemas con consenso bajo revelan disenso estructural que no desaparece por iteración: requieren deliberación abierta (no Delphi), mediación política o investigación empírica adicional.</w:t>
      </w:r>
    </w:p>
    <w:p>
      <w:pPr>
        <w:pStyle w:val="Heading2"/>
        <w:spacing w:after="140" w:before="280"/>
      </w:pPr>
      <w:r>
        <w:rPr>
          <w:rFonts w:ascii="Arial" w:cs="Arial" w:eastAsia="Arial" w:hAnsi="Arial"/>
          <w:b/>
          <w:bCs/>
          <w:color w:val="1F4E79"/>
          <w:sz w:val="26"/>
          <w:szCs w:val="26"/>
        </w:rPr>
        <w:t xml:space="preserve">13.7. Limitaciones</w:t>
      </w:r>
    </w:p>
    <w:p>
      <w:pPr>
        <w:spacing w:after="120" w:line="300"/>
        <w:jc w:val="both"/>
      </w:pPr>
      <w:r>
        <w:rPr>
          <w:rFonts w:ascii="Arial" w:cs="Arial" w:eastAsia="Arial" w:hAnsi="Arial"/>
          <w:b w:val="false"/>
          <w:bCs w:val="false"/>
          <w:i w:val="false"/>
          <w:iCs w:val="false"/>
          <w:color w:val="000000"/>
          <w:sz w:val="22"/>
          <w:szCs w:val="22"/>
        </w:rPr>
        <w:t xml:space="preserve">El Delphi no es neutro a la composición del panel: seleccionar sólo a expertos de un sector garantiza consenso espurio. La calibración de los expertos —la calidad documentada de sus predicciones pasadas— es un criterio refinado de selección (Cooke's method) rara vez aplicado en Delphi sociales. El Delphi produce consenso, pero el consenso no es garantía de validez: un panel homogéneo puede converger hacia una creencia incorrecta. La triangulación con evidencia empírica independiente es siempre recomendable.</w:t>
      </w:r>
    </w:p>
    <w:p>
      <w:pPr>
        <w:pStyle w:val="Heading2"/>
        <w:spacing w:after="140" w:before="280"/>
      </w:pPr>
      <w:r>
        <w:rPr>
          <w:rFonts w:ascii="Arial" w:cs="Arial" w:eastAsia="Arial" w:hAnsi="Arial"/>
          <w:b/>
          <w:bCs/>
          <w:color w:val="1F4E79"/>
          <w:sz w:val="26"/>
          <w:szCs w:val="26"/>
        </w:rPr>
        <w:t xml:space="preserve">13.8. Anclaje territorial</w:t>
      </w:r>
    </w:p>
    <w:p>
      <w:pPr>
        <w:spacing w:after="120" w:line="300"/>
        <w:jc w:val="both"/>
      </w:pPr>
      <w:r>
        <w:rPr>
          <w:rFonts w:ascii="Arial" w:cs="Arial" w:eastAsia="Arial" w:hAnsi="Arial"/>
          <w:b w:val="false"/>
          <w:bCs w:val="false"/>
          <w:i w:val="false"/>
          <w:iCs w:val="false"/>
          <w:color w:val="000000"/>
          <w:sz w:val="22"/>
          <w:szCs w:val="22"/>
        </w:rPr>
        <w:t xml:space="preserve">En Costa Rica, el método Delphi se ha usado para priorización de políticas de adaptación climática, evaluación prospectiva de tecnologías acuícolas, construcción de agendas de investigación marino-costera y escenarios de gobernanza oceánica. El panel debe incluir representación crítica de la pesca artesanal y de mujeres piangüeras: un Delphi costero sin su voz es metodológicamente incompleto, con independencia del tamaño del panel.</w:t>
      </w:r>
    </w:p>
    <w:p>
      <w:pPr>
        <w:pStyle w:val="Heading1"/>
        <w:pageBreakBefore/>
        <w:spacing w:after="200" w:before="360"/>
      </w:pPr>
      <w:r>
        <w:rPr>
          <w:rFonts w:ascii="Arial" w:cs="Arial" w:eastAsia="Arial" w:hAnsi="Arial"/>
          <w:b/>
          <w:bCs/>
          <w:color w:val="1F4E79"/>
          <w:sz w:val="32"/>
          <w:szCs w:val="32"/>
        </w:rPr>
        <w:t xml:space="preserve">14. Cierre pedagógico: selección de métodos y triangulación</w:t>
      </w:r>
    </w:p>
    <w:p>
      <w:pPr>
        <w:pStyle w:val="Heading2"/>
        <w:spacing w:after="140" w:before="280"/>
      </w:pPr>
      <w:r>
        <w:rPr>
          <w:rFonts w:ascii="Arial" w:cs="Arial" w:eastAsia="Arial" w:hAnsi="Arial"/>
          <w:b/>
          <w:bCs/>
          <w:color w:val="1F4E79"/>
          <w:sz w:val="26"/>
          <w:szCs w:val="26"/>
        </w:rPr>
        <w:t xml:space="preserve">14.1. Cómo elegir un método</w:t>
      </w:r>
    </w:p>
    <w:p>
      <w:pPr>
        <w:spacing w:after="120" w:line="300"/>
        <w:jc w:val="both"/>
      </w:pPr>
      <w:r>
        <w:rPr>
          <w:rFonts w:ascii="Arial" w:cs="Arial" w:eastAsia="Arial" w:hAnsi="Arial"/>
          <w:b w:val="false"/>
          <w:bCs w:val="false"/>
          <w:i w:val="false"/>
          <w:iCs w:val="false"/>
          <w:color w:val="000000"/>
          <w:sz w:val="22"/>
          <w:szCs w:val="22"/>
        </w:rPr>
        <w:t xml:space="preserve">La pregunta docente más frecuente es: ¿qué método debo usar? La respuesta no depende del método, sino del objeto. Tres criterios orientan la selección:</w:t>
      </w:r>
    </w:p>
    <w:p>
      <w:pPr>
        <w:pStyle w:val="ListParagraph"/>
        <w:numPr>
          <w:ilvl w:val="0"/>
          <w:numId w:val="2"/>
        </w:numPr>
        <w:spacing w:after="60" w:line="280"/>
        <w:jc w:val="both"/>
      </w:pPr>
      <w:r>
        <w:rPr>
          <w:rFonts w:ascii="Arial" w:cs="Arial" w:eastAsia="Arial" w:hAnsi="Arial"/>
          <w:b/>
          <w:bCs/>
          <w:i w:val="false"/>
          <w:iCs w:val="false"/>
          <w:sz w:val="22"/>
          <w:szCs w:val="22"/>
        </w:rPr>
        <w:t xml:space="preserve">Tipo de pregunta. </w:t>
      </w:r>
      <w:r>
        <w:rPr>
          <w:rFonts w:ascii="Arial" w:cs="Arial" w:eastAsia="Arial" w:hAnsi="Arial"/>
          <w:b w:val="false"/>
          <w:bCs w:val="false"/>
          <w:i w:val="false"/>
          <w:iCs w:val="false"/>
          <w:sz w:val="22"/>
          <w:szCs w:val="22"/>
        </w:rPr>
        <w:t xml:space="preserve">Las preguntas sobre significados y experiencias privilegian entrevistas y relatos de vida; las preguntas sobre dinámicas colectivas, grupos focales y observación participante; las preguntas sobre distribuciones territoriales, mapeo participativo y transectos; las preguntas sobre estructura institucional, redes; las preguntas sobre regímenes discursivos, análisis de contenido; las preguntas sobre prospectiva consensual, Delphi; las preguntas sobre percepción agregada, encuestas.</w:t>
      </w:r>
    </w:p>
    <w:p>
      <w:pPr>
        <w:pStyle w:val="ListParagraph"/>
        <w:numPr>
          <w:ilvl w:val="0"/>
          <w:numId w:val="2"/>
        </w:numPr>
        <w:spacing w:after="60" w:line="280"/>
        <w:jc w:val="both"/>
      </w:pPr>
      <w:r>
        <w:rPr>
          <w:rFonts w:ascii="Arial" w:cs="Arial" w:eastAsia="Arial" w:hAnsi="Arial"/>
          <w:b/>
          <w:bCs/>
          <w:i w:val="false"/>
          <w:iCs w:val="false"/>
          <w:sz w:val="22"/>
          <w:szCs w:val="22"/>
        </w:rPr>
        <w:t xml:space="preserve">Escala temporal. </w:t>
      </w:r>
      <w:r>
        <w:rPr>
          <w:rFonts w:ascii="Arial" w:cs="Arial" w:eastAsia="Arial" w:hAnsi="Arial"/>
          <w:b w:val="false"/>
          <w:bCs w:val="false"/>
          <w:i w:val="false"/>
          <w:iCs w:val="false"/>
          <w:sz w:val="22"/>
          <w:szCs w:val="22"/>
        </w:rPr>
        <w:t xml:space="preserve">Los métodos biográficos (relatos de vida) abordan décadas; la observación participante, meses a años; las entrevistas y grupos focales, momentos presentes; los transectos, instantes espaciales; el Delphi, futuros.</w:t>
      </w:r>
    </w:p>
    <w:p>
      <w:pPr>
        <w:pStyle w:val="ListParagraph"/>
        <w:numPr>
          <w:ilvl w:val="0"/>
          <w:numId w:val="2"/>
        </w:numPr>
        <w:spacing w:after="60" w:line="280"/>
        <w:jc w:val="both"/>
      </w:pPr>
      <w:r>
        <w:rPr>
          <w:rFonts w:ascii="Arial" w:cs="Arial" w:eastAsia="Arial" w:hAnsi="Arial"/>
          <w:b/>
          <w:bCs/>
          <w:i w:val="false"/>
          <w:iCs w:val="false"/>
          <w:sz w:val="22"/>
          <w:szCs w:val="22"/>
        </w:rPr>
        <w:t xml:space="preserve">Ética y acceso. </w:t>
      </w:r>
      <w:r>
        <w:rPr>
          <w:rFonts w:ascii="Arial" w:cs="Arial" w:eastAsia="Arial" w:hAnsi="Arial"/>
          <w:b w:val="false"/>
          <w:bCs w:val="false"/>
          <w:i w:val="false"/>
          <w:iCs w:val="false"/>
          <w:sz w:val="22"/>
          <w:szCs w:val="22"/>
        </w:rPr>
        <w:t xml:space="preserve">El método debe ser proporcional al acceso que la comunidad está dispuesta a conceder. Un mapeo participativo requiere confianza construida; una encuesta puede realizarse con relaciones más superficiales.</w:t>
      </w:r>
    </w:p>
    <w:p>
      <w:pPr>
        <w:pStyle w:val="Heading2"/>
        <w:spacing w:after="140" w:before="280"/>
      </w:pPr>
      <w:r>
        <w:rPr>
          <w:rFonts w:ascii="Arial" w:cs="Arial" w:eastAsia="Arial" w:hAnsi="Arial"/>
          <w:b/>
          <w:bCs/>
          <w:color w:val="1F4E79"/>
          <w:sz w:val="26"/>
          <w:szCs w:val="26"/>
        </w:rPr>
        <w:t xml:space="preserve">14.2. La triangulación como virtud epistémica</w:t>
      </w:r>
    </w:p>
    <w:p>
      <w:pPr>
        <w:spacing w:after="120" w:line="300"/>
        <w:jc w:val="both"/>
      </w:pPr>
      <w:r>
        <w:rPr>
          <w:rFonts w:ascii="Arial" w:cs="Arial" w:eastAsia="Arial" w:hAnsi="Arial"/>
          <w:b w:val="false"/>
          <w:bCs w:val="false"/>
          <w:i w:val="false"/>
          <w:iCs w:val="false"/>
          <w:color w:val="000000"/>
          <w:sz w:val="22"/>
          <w:szCs w:val="22"/>
        </w:rPr>
        <w:t xml:space="preserve">Denzin (1978) propuso cuatro modos de triangulación: de datos (distintas fuentes), de investigadores (varios analistas), de teorías (marcos diversos) y de métodos (técnicas distintas sobre el mismo objeto). El paquete de laboratorios es fundamentalmente un invite a triangular: una investigación madura sobre la gobernanza costera del Golfo de Nicoya combinaría, por ejemplo, análisis de contenido del corpus legal, observación participante en consejos locales, entrevistas en profundidad a brokers identificados en el análisis de redes, relatos de vida de piangüeras mayores para recuperar baselines y Delphi para priorizar intervenciones. Cada método ilumina una cara del objeto; la coherencia entre caras es evidencia de solidez del hallazgo; la divergencia, oportunidad de profundización.</w:t>
      </w:r>
    </w:p>
    <w:p>
      <w:pPr>
        <w:pStyle w:val="Heading2"/>
        <w:spacing w:after="140" w:before="280"/>
      </w:pPr>
      <w:r>
        <w:rPr>
          <w:rFonts w:ascii="Arial" w:cs="Arial" w:eastAsia="Arial" w:hAnsi="Arial"/>
          <w:b/>
          <w:bCs/>
          <w:color w:val="1F4E79"/>
          <w:sz w:val="26"/>
          <w:szCs w:val="26"/>
        </w:rPr>
        <w:t xml:space="preserve">14.3. Rigor computacional y rigor interpretativo</w:t>
      </w:r>
    </w:p>
    <w:p>
      <w:pPr>
        <w:spacing w:after="120" w:line="300"/>
        <w:jc w:val="both"/>
      </w:pPr>
      <w:r>
        <w:rPr>
          <w:rFonts w:ascii="Arial" w:cs="Arial" w:eastAsia="Arial" w:hAnsi="Arial"/>
          <w:b w:val="false"/>
          <w:bCs w:val="false"/>
          <w:i w:val="false"/>
          <w:iCs w:val="false"/>
          <w:color w:val="000000"/>
          <w:sz w:val="22"/>
          <w:szCs w:val="22"/>
        </w:rPr>
        <w:t xml:space="preserve">Un último señalamiento para estudiantes que trabajan con Python. El código reproducible es condición necesaria pero no suficiente del rigor cualitativo. Una κ alta con un libro de códigos pobre es rigor falso. Un Q de modularidad alto sobre una red mal definida es falsa estructura. Una LDA elegante sobre un corpus mal delimitado es tópicos sin referente. El análisis computacional amplifica las decisiones metodológicas: si están bien tomadas, el resultado es potente; si no, el resultado es impresionante pero vacío. La formación docente debe insistir en que el estudiantado declare, al inicio de cada análisis, las decisiones de diseño y sus implicaciones.</w:t>
      </w:r>
    </w:p>
    <w:p>
      <w:pPr>
        <w:pStyle w:val="Heading2"/>
        <w:spacing w:after="140" w:before="280"/>
      </w:pPr>
      <w:r>
        <w:rPr>
          <w:rFonts w:ascii="Arial" w:cs="Arial" w:eastAsia="Arial" w:hAnsi="Arial"/>
          <w:b/>
          <w:bCs/>
          <w:color w:val="1F4E79"/>
          <w:sz w:val="26"/>
          <w:szCs w:val="26"/>
        </w:rPr>
        <w:t xml:space="preserve">14.4. Invitación final</w:t>
      </w:r>
    </w:p>
    <w:p>
      <w:pPr>
        <w:spacing w:after="120" w:line="300"/>
        <w:jc w:val="both"/>
      </w:pPr>
      <w:r>
        <w:rPr>
          <w:rFonts w:ascii="Arial" w:cs="Arial" w:eastAsia="Arial" w:hAnsi="Arial"/>
          <w:b w:val="false"/>
          <w:bCs w:val="false"/>
          <w:i w:val="false"/>
          <w:iCs w:val="false"/>
          <w:color w:val="000000"/>
          <w:sz w:val="22"/>
          <w:szCs w:val="22"/>
        </w:rPr>
        <w:t xml:space="preserve">Cada uno de los once laboratorios debe recorrerse al menos tres veces: la primera, para ejecutar y entender el flujo; la segunda, para modificar hiperparámetros y observar el efecto; la tercera, para adaptarlo a datos propios en un ejercicio real de campo. La metodología cualitativa no se aprende leyendo; se aprende haciendo, equivocándose y discutiendo con pares. El propósito último del paquete es que la estudiante deje de tratar al método como una receta y comience a tratarlo como lo que es: una posición epistémica con consecuencias prácticas y políticas.</w:t>
      </w:r>
    </w:p>
    <w:p>
      <w:pPr>
        <w:pStyle w:val="Heading1"/>
        <w:pageBreakBefore/>
        <w:spacing w:after="200" w:before="360"/>
      </w:pPr>
      <w:r>
        <w:rPr>
          <w:rFonts w:ascii="Arial" w:cs="Arial" w:eastAsia="Arial" w:hAnsi="Arial"/>
          <w:b/>
          <w:bCs/>
          <w:color w:val="1F4E79"/>
          <w:sz w:val="32"/>
          <w:szCs w:val="32"/>
        </w:rPr>
        <w:t xml:space="preserve">15. Referencias consolidadas</w:t>
      </w:r>
    </w:p>
    <w:p>
      <w:pPr>
        <w:spacing w:after="80" w:line="300"/>
        <w:jc w:val="both"/>
      </w:pPr>
      <w:r>
        <w:rPr>
          <w:rFonts w:ascii="Arial" w:cs="Arial" w:eastAsia="Arial" w:hAnsi="Arial"/>
          <w:b w:val="false"/>
          <w:bCs w:val="false"/>
          <w:i w:val="false"/>
          <w:iCs w:val="false"/>
          <w:color w:val="000000"/>
          <w:sz w:val="22"/>
          <w:szCs w:val="22"/>
        </w:rPr>
        <w:t xml:space="preserve">Berger, J. (1972). Ways of Seeing. London: Penguin Books.</w:t>
      </w:r>
    </w:p>
    <w:p>
      <w:pPr>
        <w:spacing w:after="80" w:line="300"/>
        <w:jc w:val="both"/>
      </w:pPr>
      <w:r>
        <w:rPr>
          <w:rFonts w:ascii="Arial" w:cs="Arial" w:eastAsia="Arial" w:hAnsi="Arial"/>
          <w:b w:val="false"/>
          <w:bCs w:val="false"/>
          <w:i w:val="false"/>
          <w:iCs w:val="false"/>
          <w:color w:val="000000"/>
          <w:sz w:val="22"/>
          <w:szCs w:val="22"/>
        </w:rPr>
        <w:t xml:space="preserve">Berkes, F. (2018). Sacred Ecology (4th ed.). New York: Routledge.</w:t>
      </w:r>
    </w:p>
    <w:p>
      <w:pPr>
        <w:spacing w:after="80" w:line="300"/>
        <w:jc w:val="both"/>
      </w:pPr>
      <w:r>
        <w:rPr>
          <w:rFonts w:ascii="Arial" w:cs="Arial" w:eastAsia="Arial" w:hAnsi="Arial"/>
          <w:b w:val="false"/>
          <w:bCs w:val="false"/>
          <w:i w:val="false"/>
          <w:iCs w:val="false"/>
          <w:color w:val="000000"/>
          <w:sz w:val="22"/>
          <w:szCs w:val="22"/>
        </w:rPr>
        <w:t xml:space="preserve">Bertaux, D. (1981). Biography and Society: The Life History Approach in the Social Sciences. Beverly Hills: Sage.</w:t>
      </w:r>
    </w:p>
    <w:p>
      <w:pPr>
        <w:spacing w:after="80" w:line="300"/>
        <w:jc w:val="both"/>
      </w:pPr>
      <w:r>
        <w:rPr>
          <w:rFonts w:ascii="Arial" w:cs="Arial" w:eastAsia="Arial" w:hAnsi="Arial"/>
          <w:b w:val="false"/>
          <w:bCs w:val="false"/>
          <w:i w:val="false"/>
          <w:iCs w:val="false"/>
          <w:color w:val="000000"/>
          <w:sz w:val="22"/>
          <w:szCs w:val="22"/>
        </w:rPr>
        <w:t xml:space="preserve">Blei, D. M., Ng, A. Y., &amp; Jordan, M. I. (2003). Latent Dirichlet Allocation. Journal of Machine Learning Research, 3, 993-1022.</w:t>
      </w:r>
    </w:p>
    <w:p>
      <w:pPr>
        <w:spacing w:after="80" w:line="300"/>
        <w:jc w:val="both"/>
      </w:pPr>
      <w:r>
        <w:rPr>
          <w:rFonts w:ascii="Arial" w:cs="Arial" w:eastAsia="Arial" w:hAnsi="Arial"/>
          <w:b w:val="false"/>
          <w:bCs w:val="false"/>
          <w:i w:val="false"/>
          <w:iCs w:val="false"/>
          <w:color w:val="000000"/>
          <w:sz w:val="22"/>
          <w:szCs w:val="22"/>
        </w:rPr>
        <w:t xml:space="preserve">Blondel, V. D., Guillaume, J. L., Lambiotte, R., &amp; Lefebvre, E. (2008). Fast unfolding of communities in large networks. Journal of Statistical Mechanics, P10008.</w:t>
      </w:r>
    </w:p>
    <w:p>
      <w:pPr>
        <w:spacing w:after="80" w:line="300"/>
        <w:jc w:val="both"/>
      </w:pPr>
      <w:r>
        <w:rPr>
          <w:rFonts w:ascii="Arial" w:cs="Arial" w:eastAsia="Arial" w:hAnsi="Arial"/>
          <w:b w:val="false"/>
          <w:bCs w:val="false"/>
          <w:i w:val="false"/>
          <w:iCs w:val="false"/>
          <w:color w:val="000000"/>
          <w:sz w:val="22"/>
          <w:szCs w:val="22"/>
        </w:rPr>
        <w:t xml:space="preserve">Bodin, Ö. (2017). Collaborative environmental governance: Achieving collective action in social-ecological systems. Science, 357(6352).</w:t>
      </w:r>
    </w:p>
    <w:p>
      <w:pPr>
        <w:spacing w:after="80" w:line="300"/>
        <w:jc w:val="both"/>
      </w:pPr>
      <w:r>
        <w:rPr>
          <w:rFonts w:ascii="Arial" w:cs="Arial" w:eastAsia="Arial" w:hAnsi="Arial"/>
          <w:b w:val="false"/>
          <w:bCs w:val="false"/>
          <w:i w:val="false"/>
          <w:iCs w:val="false"/>
          <w:color w:val="000000"/>
          <w:sz w:val="22"/>
          <w:szCs w:val="22"/>
        </w:rPr>
        <w:t xml:space="preserve">Bodin, Ö., &amp; Crona, B. I. (2009). The role of social networks in natural resource governance. Global Environmental Change, 19(3), 366-374.</w:t>
      </w:r>
    </w:p>
    <w:p>
      <w:pPr>
        <w:spacing w:after="80" w:line="300"/>
        <w:jc w:val="both"/>
      </w:pPr>
      <w:r>
        <w:rPr>
          <w:rFonts w:ascii="Arial" w:cs="Arial" w:eastAsia="Arial" w:hAnsi="Arial"/>
          <w:b w:val="false"/>
          <w:bCs w:val="false"/>
          <w:i w:val="false"/>
          <w:iCs w:val="false"/>
          <w:color w:val="000000"/>
          <w:sz w:val="22"/>
          <w:szCs w:val="22"/>
        </w:rPr>
        <w:t xml:space="preserve">Braun, V., &amp; Clarke, V. (2006). Using thematic analysis in psychology. Qualitative Research in Psychology, 3(2), 77-101.</w:t>
      </w:r>
    </w:p>
    <w:p>
      <w:pPr>
        <w:spacing w:after="80" w:line="300"/>
        <w:jc w:val="both"/>
      </w:pPr>
      <w:r>
        <w:rPr>
          <w:rFonts w:ascii="Arial" w:cs="Arial" w:eastAsia="Arial" w:hAnsi="Arial"/>
          <w:b w:val="false"/>
          <w:bCs w:val="false"/>
          <w:i w:val="false"/>
          <w:iCs w:val="false"/>
          <w:color w:val="000000"/>
          <w:sz w:val="22"/>
          <w:szCs w:val="22"/>
        </w:rPr>
        <w:t xml:space="preserve">Brown, G., &amp; Fagerholm, N. (2015). Empirical PPGIS/PGIS mapping of ecosystem services. Ecosystem Services, 13, 119-133.</w:t>
      </w:r>
    </w:p>
    <w:p>
      <w:pPr>
        <w:spacing w:after="80" w:line="300"/>
        <w:jc w:val="both"/>
      </w:pPr>
      <w:r>
        <w:rPr>
          <w:rFonts w:ascii="Arial" w:cs="Arial" w:eastAsia="Arial" w:hAnsi="Arial"/>
          <w:b w:val="false"/>
          <w:bCs w:val="false"/>
          <w:i w:val="false"/>
          <w:iCs w:val="false"/>
          <w:color w:val="000000"/>
          <w:sz w:val="22"/>
          <w:szCs w:val="22"/>
        </w:rPr>
        <w:t xml:space="preserve">Burt, R. S. (2004). Structural holes and good ideas. American Journal of Sociology, 110(2), 349-399.</w:t>
      </w:r>
    </w:p>
    <w:p>
      <w:pPr>
        <w:spacing w:after="80" w:line="300"/>
        <w:jc w:val="both"/>
      </w:pPr>
      <w:r>
        <w:rPr>
          <w:rFonts w:ascii="Arial" w:cs="Arial" w:eastAsia="Arial" w:hAnsi="Arial"/>
          <w:b w:val="false"/>
          <w:bCs w:val="false"/>
          <w:i w:val="false"/>
          <w:iCs w:val="false"/>
          <w:color w:val="000000"/>
          <w:sz w:val="22"/>
          <w:szCs w:val="22"/>
        </w:rPr>
        <w:t xml:space="preserve">Catalani, C., &amp; Minkler, M. (2010). Photovoice: A review of the literature in health and public health. Health Education &amp; Behavior, 37(3), 424-451.</w:t>
      </w:r>
    </w:p>
    <w:p>
      <w:pPr>
        <w:spacing w:after="80" w:line="300"/>
        <w:jc w:val="both"/>
      </w:pPr>
      <w:r>
        <w:rPr>
          <w:rFonts w:ascii="Arial" w:cs="Arial" w:eastAsia="Arial" w:hAnsi="Arial"/>
          <w:b w:val="false"/>
          <w:bCs w:val="false"/>
          <w:i w:val="false"/>
          <w:iCs w:val="false"/>
          <w:color w:val="000000"/>
          <w:sz w:val="22"/>
          <w:szCs w:val="22"/>
        </w:rPr>
        <w:t xml:space="preserve">Chambers, R. (1994). The origins and practice of Participatory Rural Appraisal. World Development, 22(7), 953-969.</w:t>
      </w:r>
    </w:p>
    <w:p>
      <w:pPr>
        <w:spacing w:after="80" w:line="300"/>
        <w:jc w:val="both"/>
      </w:pPr>
      <w:r>
        <w:rPr>
          <w:rFonts w:ascii="Arial" w:cs="Arial" w:eastAsia="Arial" w:hAnsi="Arial"/>
          <w:b w:val="false"/>
          <w:bCs w:val="false"/>
          <w:i w:val="false"/>
          <w:iCs w:val="false"/>
          <w:color w:val="000000"/>
          <w:sz w:val="22"/>
          <w:szCs w:val="22"/>
        </w:rPr>
        <w:t xml:space="preserve">Charmaz, K. (2006). Constructing Grounded Theory. London: Sage.</w:t>
      </w:r>
    </w:p>
    <w:p>
      <w:pPr>
        <w:spacing w:after="80" w:line="300"/>
        <w:jc w:val="both"/>
      </w:pPr>
      <w:r>
        <w:rPr>
          <w:rFonts w:ascii="Arial" w:cs="Arial" w:eastAsia="Arial" w:hAnsi="Arial"/>
          <w:b w:val="false"/>
          <w:bCs w:val="false"/>
          <w:i w:val="false"/>
          <w:iCs w:val="false"/>
          <w:color w:val="000000"/>
          <w:sz w:val="22"/>
          <w:szCs w:val="22"/>
        </w:rPr>
        <w:t xml:space="preserve">Cohen, J. (1960). A coefficient of agreement for nominal scales. Educational and Psychological Measurement, 20(1), 37-46.</w:t>
      </w:r>
    </w:p>
    <w:p>
      <w:pPr>
        <w:spacing w:after="80" w:line="300"/>
        <w:jc w:val="both"/>
      </w:pPr>
      <w:r>
        <w:rPr>
          <w:rFonts w:ascii="Arial" w:cs="Arial" w:eastAsia="Arial" w:hAnsi="Arial"/>
          <w:b w:val="false"/>
          <w:bCs w:val="false"/>
          <w:i w:val="false"/>
          <w:iCs w:val="false"/>
          <w:color w:val="000000"/>
          <w:sz w:val="22"/>
          <w:szCs w:val="22"/>
        </w:rPr>
        <w:t xml:space="preserve">Dalkey, N., &amp; Helmer, O. (1963). An experimental application of the Delphi method to the use of experts. Management Science, 9(3), 458-467.</w:t>
      </w:r>
    </w:p>
    <w:p>
      <w:pPr>
        <w:spacing w:after="80" w:line="300"/>
        <w:jc w:val="both"/>
      </w:pPr>
      <w:r>
        <w:rPr>
          <w:rFonts w:ascii="Arial" w:cs="Arial" w:eastAsia="Arial" w:hAnsi="Arial"/>
          <w:b w:val="false"/>
          <w:bCs w:val="false"/>
          <w:i w:val="false"/>
          <w:iCs w:val="false"/>
          <w:color w:val="000000"/>
          <w:sz w:val="22"/>
          <w:szCs w:val="22"/>
        </w:rPr>
        <w:t xml:space="preserve">Denzin, N. K. (1978). The Research Act: A Theoretical Introduction to Sociological Methods. New York: McGraw-Hill.</w:t>
      </w:r>
    </w:p>
    <w:p>
      <w:pPr>
        <w:spacing w:after="80" w:line="300"/>
        <w:jc w:val="both"/>
      </w:pPr>
      <w:r>
        <w:rPr>
          <w:rFonts w:ascii="Arial" w:cs="Arial" w:eastAsia="Arial" w:hAnsi="Arial"/>
          <w:b w:val="false"/>
          <w:bCs w:val="false"/>
          <w:i w:val="false"/>
          <w:iCs w:val="false"/>
          <w:color w:val="000000"/>
          <w:sz w:val="22"/>
          <w:szCs w:val="22"/>
        </w:rPr>
        <w:t xml:space="preserve">DeWalt, K. M., &amp; DeWalt, B. R. (2011). Participant Observation: A Guide for Fieldworkers (2nd ed.). Plymouth: AltaMira.</w:t>
      </w:r>
    </w:p>
    <w:p>
      <w:pPr>
        <w:spacing w:after="80" w:line="300"/>
        <w:jc w:val="both"/>
      </w:pPr>
      <w:r>
        <w:rPr>
          <w:rFonts w:ascii="Arial" w:cs="Arial" w:eastAsia="Arial" w:hAnsi="Arial"/>
          <w:b w:val="false"/>
          <w:bCs w:val="false"/>
          <w:i w:val="false"/>
          <w:iCs w:val="false"/>
          <w:color w:val="000000"/>
          <w:sz w:val="22"/>
          <w:szCs w:val="22"/>
        </w:rPr>
        <w:t xml:space="preserve">Diamond, I. R., Grant, R. C., Feldman, B. M., et al. (2014). Defining consensus: A systematic review recommends methodologic criteria for reporting Delphi studies. Journal of Clinical Epidemiology, 67(4), 401-409.</w:t>
      </w:r>
    </w:p>
    <w:p>
      <w:pPr>
        <w:spacing w:after="80" w:line="300"/>
        <w:jc w:val="both"/>
      </w:pPr>
      <w:r>
        <w:rPr>
          <w:rFonts w:ascii="Arial" w:cs="Arial" w:eastAsia="Arial" w:hAnsi="Arial"/>
          <w:b w:val="false"/>
          <w:bCs w:val="false"/>
          <w:i w:val="false"/>
          <w:iCs w:val="false"/>
          <w:color w:val="000000"/>
          <w:sz w:val="22"/>
          <w:szCs w:val="22"/>
        </w:rPr>
        <w:t xml:space="preserve">Entman, R. M. (1993). Framing: Toward clarification of a fractured paradigm. Journal of Communication, 43(4), 51-58.</w:t>
      </w:r>
    </w:p>
    <w:p>
      <w:pPr>
        <w:spacing w:after="80" w:line="300"/>
        <w:jc w:val="both"/>
      </w:pPr>
      <w:r>
        <w:rPr>
          <w:rFonts w:ascii="Arial" w:cs="Arial" w:eastAsia="Arial" w:hAnsi="Arial"/>
          <w:b w:val="false"/>
          <w:bCs w:val="false"/>
          <w:i w:val="false"/>
          <w:iCs w:val="false"/>
          <w:color w:val="000000"/>
          <w:sz w:val="22"/>
          <w:szCs w:val="22"/>
        </w:rPr>
        <w:t xml:space="preserve">Geertz, C. (1973). The Interpretation of Cultures. New York: Basic Books.</w:t>
      </w:r>
    </w:p>
    <w:p>
      <w:pPr>
        <w:spacing w:after="80" w:line="300"/>
        <w:jc w:val="both"/>
      </w:pPr>
      <w:r>
        <w:rPr>
          <w:rFonts w:ascii="Arial" w:cs="Arial" w:eastAsia="Arial" w:hAnsi="Arial"/>
          <w:b w:val="false"/>
          <w:bCs w:val="false"/>
          <w:i w:val="false"/>
          <w:iCs w:val="false"/>
          <w:color w:val="000000"/>
          <w:sz w:val="22"/>
          <w:szCs w:val="22"/>
        </w:rPr>
        <w:t xml:space="preserve">Glaser, B. G., &amp; Strauss, A. L. (1967). The Discovery of Grounded Theory. Chicago: Aldine.</w:t>
      </w:r>
    </w:p>
    <w:p>
      <w:pPr>
        <w:spacing w:after="80" w:line="300"/>
        <w:jc w:val="both"/>
      </w:pPr>
      <w:r>
        <w:rPr>
          <w:rFonts w:ascii="Arial" w:cs="Arial" w:eastAsia="Arial" w:hAnsi="Arial"/>
          <w:b w:val="false"/>
          <w:bCs w:val="false"/>
          <w:i w:val="false"/>
          <w:iCs w:val="false"/>
          <w:color w:val="000000"/>
          <w:sz w:val="22"/>
          <w:szCs w:val="22"/>
        </w:rPr>
        <w:t xml:space="preserve">Granovetter, M. S. (1973). The strength of weak ties. American Journal of Sociology, 78(6), 1360-1380.</w:t>
      </w:r>
    </w:p>
    <w:p>
      <w:pPr>
        <w:spacing w:after="80" w:line="300"/>
        <w:jc w:val="both"/>
      </w:pPr>
      <w:r>
        <w:rPr>
          <w:rFonts w:ascii="Arial" w:cs="Arial" w:eastAsia="Arial" w:hAnsi="Arial"/>
          <w:b w:val="false"/>
          <w:bCs w:val="false"/>
          <w:i w:val="false"/>
          <w:iCs w:val="false"/>
          <w:color w:val="000000"/>
          <w:sz w:val="22"/>
          <w:szCs w:val="22"/>
        </w:rPr>
        <w:t xml:space="preserve">Hajer, M. A. (1995). The Politics of Environmental Discourse. Oxford: Oxford University Press.</w:t>
      </w:r>
    </w:p>
    <w:p>
      <w:pPr>
        <w:spacing w:after="80" w:line="300"/>
        <w:jc w:val="both"/>
      </w:pPr>
      <w:r>
        <w:rPr>
          <w:rFonts w:ascii="Arial" w:cs="Arial" w:eastAsia="Arial" w:hAnsi="Arial"/>
          <w:b w:val="false"/>
          <w:bCs w:val="false"/>
          <w:i w:val="false"/>
          <w:iCs w:val="false"/>
          <w:color w:val="000000"/>
          <w:sz w:val="22"/>
          <w:szCs w:val="22"/>
        </w:rPr>
        <w:t xml:space="preserve">Hasson, F., Keeney, S., &amp; McKenna, H. (2000). Research guidelines for the Delphi survey technique. Journal of Advanced Nursing, 32(4), 1008-1015.</w:t>
      </w:r>
    </w:p>
    <w:p>
      <w:pPr>
        <w:spacing w:after="80" w:line="300"/>
        <w:jc w:val="both"/>
      </w:pPr>
      <w:r>
        <w:rPr>
          <w:rFonts w:ascii="Arial" w:cs="Arial" w:eastAsia="Arial" w:hAnsi="Arial"/>
          <w:b w:val="false"/>
          <w:bCs w:val="false"/>
          <w:i w:val="false"/>
          <w:iCs w:val="false"/>
          <w:color w:val="000000"/>
          <w:sz w:val="22"/>
          <w:szCs w:val="22"/>
        </w:rPr>
        <w:t xml:space="preserve">Killick, R., &amp; Eckley, I. A. (2014). changepoint: An R package for changepoint analysis. Journal of Statistical Software, 58(3), 1-19.</w:t>
      </w:r>
    </w:p>
    <w:p>
      <w:pPr>
        <w:spacing w:after="80" w:line="300"/>
        <w:jc w:val="both"/>
      </w:pPr>
      <w:r>
        <w:rPr>
          <w:rFonts w:ascii="Arial" w:cs="Arial" w:eastAsia="Arial" w:hAnsi="Arial"/>
          <w:b w:val="false"/>
          <w:bCs w:val="false"/>
          <w:i w:val="false"/>
          <w:iCs w:val="false"/>
          <w:color w:val="000000"/>
          <w:sz w:val="22"/>
          <w:szCs w:val="22"/>
        </w:rPr>
        <w:t xml:space="preserve">Krippendorff, K. (2019). Content Analysis: An Introduction to Its Methodology (4th ed.). Thousand Oaks: Sage.</w:t>
      </w:r>
    </w:p>
    <w:p>
      <w:pPr>
        <w:spacing w:after="80" w:line="300"/>
        <w:jc w:val="both"/>
      </w:pPr>
      <w:r>
        <w:rPr>
          <w:rFonts w:ascii="Arial" w:cs="Arial" w:eastAsia="Arial" w:hAnsi="Arial"/>
          <w:b w:val="false"/>
          <w:bCs w:val="false"/>
          <w:i w:val="false"/>
          <w:iCs w:val="false"/>
          <w:color w:val="000000"/>
          <w:sz w:val="22"/>
          <w:szCs w:val="22"/>
        </w:rPr>
        <w:t xml:space="preserve">Landis, J. R., &amp; Koch, G. G. (1977). The measurement of observer agreement for categorical data. Biometrics, 33(1), 159-174.</w:t>
      </w:r>
    </w:p>
    <w:p>
      <w:pPr>
        <w:spacing w:after="80" w:line="300"/>
        <w:jc w:val="both"/>
      </w:pPr>
      <w:r>
        <w:rPr>
          <w:rFonts w:ascii="Arial" w:cs="Arial" w:eastAsia="Arial" w:hAnsi="Arial"/>
          <w:b w:val="false"/>
          <w:bCs w:val="false"/>
          <w:i w:val="false"/>
          <w:iCs w:val="false"/>
          <w:color w:val="000000"/>
          <w:sz w:val="22"/>
          <w:szCs w:val="22"/>
        </w:rPr>
        <w:t xml:space="preserve">Lincoln, Y. S., &amp; Guba, E. G. (1985). Naturalistic Inquiry. Beverly Hills: Sage.</w:t>
      </w:r>
    </w:p>
    <w:p>
      <w:pPr>
        <w:spacing w:after="80" w:line="300"/>
        <w:jc w:val="both"/>
      </w:pPr>
      <w:r>
        <w:rPr>
          <w:rFonts w:ascii="Arial" w:cs="Arial" w:eastAsia="Arial" w:hAnsi="Arial"/>
          <w:b w:val="false"/>
          <w:bCs w:val="false"/>
          <w:i w:val="false"/>
          <w:iCs w:val="false"/>
          <w:color w:val="000000"/>
          <w:sz w:val="22"/>
          <w:szCs w:val="22"/>
        </w:rPr>
        <w:t xml:space="preserve">Malinowski, B. (1922). Argonauts of the Western Pacific. London: Routledge.</w:t>
      </w:r>
    </w:p>
    <w:p>
      <w:pPr>
        <w:spacing w:after="80" w:line="300"/>
        <w:jc w:val="both"/>
      </w:pPr>
      <w:r>
        <w:rPr>
          <w:rFonts w:ascii="Arial" w:cs="Arial" w:eastAsia="Arial" w:hAnsi="Arial"/>
          <w:b w:val="false"/>
          <w:bCs w:val="false"/>
          <w:i w:val="false"/>
          <w:iCs w:val="false"/>
          <w:color w:val="000000"/>
          <w:sz w:val="22"/>
          <w:szCs w:val="22"/>
        </w:rPr>
        <w:t xml:space="preserve">Martilla, J. A., &amp; James, J. C. (1977). Importance-performance analysis. Journal of Marketing, 41(1), 77-79.</w:t>
      </w:r>
    </w:p>
    <w:p>
      <w:pPr>
        <w:spacing w:after="80" w:line="300"/>
        <w:jc w:val="both"/>
      </w:pPr>
      <w:r>
        <w:rPr>
          <w:rFonts w:ascii="Arial" w:cs="Arial" w:eastAsia="Arial" w:hAnsi="Arial"/>
          <w:b w:val="false"/>
          <w:bCs w:val="false"/>
          <w:i w:val="false"/>
          <w:iCs w:val="false"/>
          <w:color w:val="000000"/>
          <w:sz w:val="22"/>
          <w:szCs w:val="22"/>
        </w:rPr>
        <w:t xml:space="preserve">McCall, M. K. (2021). Participatory mapping and PGIS: Secerning facts and values. Progress in Planning, 100602.</w:t>
      </w:r>
    </w:p>
    <w:p>
      <w:pPr>
        <w:spacing w:after="80" w:line="300"/>
        <w:jc w:val="both"/>
      </w:pPr>
      <w:r>
        <w:rPr>
          <w:rFonts w:ascii="Arial" w:cs="Arial" w:eastAsia="Arial" w:hAnsi="Arial"/>
          <w:b w:val="false"/>
          <w:bCs w:val="false"/>
          <w:i w:val="false"/>
          <w:iCs w:val="false"/>
          <w:color w:val="000000"/>
          <w:sz w:val="22"/>
          <w:szCs w:val="22"/>
        </w:rPr>
        <w:t xml:space="preserve">Messick, S. (1989). Validity. In R. L. Linn (Ed.), Educational Measurement (3rd ed., pp. 13-103). New York: Macmillan.</w:t>
      </w:r>
    </w:p>
    <w:p>
      <w:pPr>
        <w:spacing w:after="80" w:line="300"/>
        <w:jc w:val="both"/>
      </w:pPr>
      <w:r>
        <w:rPr>
          <w:rFonts w:ascii="Arial" w:cs="Arial" w:eastAsia="Arial" w:hAnsi="Arial"/>
          <w:b w:val="false"/>
          <w:bCs w:val="false"/>
          <w:i w:val="false"/>
          <w:iCs w:val="false"/>
          <w:color w:val="000000"/>
          <w:sz w:val="22"/>
          <w:szCs w:val="22"/>
        </w:rPr>
        <w:t xml:space="preserve">Morgan, D. L. (2019). Basic and Advanced Focus Groups. Thousand Oaks: Sage.</w:t>
      </w:r>
    </w:p>
    <w:p>
      <w:pPr>
        <w:spacing w:after="80" w:line="300"/>
        <w:jc w:val="both"/>
      </w:pPr>
      <w:r>
        <w:rPr>
          <w:rFonts w:ascii="Arial" w:cs="Arial" w:eastAsia="Arial" w:hAnsi="Arial"/>
          <w:b w:val="false"/>
          <w:bCs w:val="false"/>
          <w:i w:val="false"/>
          <w:iCs w:val="false"/>
          <w:color w:val="000000"/>
          <w:sz w:val="22"/>
          <w:szCs w:val="22"/>
        </w:rPr>
        <w:t xml:space="preserve">Newman, M. E. J., &amp; Girvan, M. (2004). Finding and evaluating community structure in networks. Physical Review E, 69, 026113.</w:t>
      </w:r>
    </w:p>
    <w:p>
      <w:pPr>
        <w:spacing w:after="80" w:line="300"/>
        <w:jc w:val="both"/>
      </w:pPr>
      <w:r>
        <w:rPr>
          <w:rFonts w:ascii="Arial" w:cs="Arial" w:eastAsia="Arial" w:hAnsi="Arial"/>
          <w:b w:val="false"/>
          <w:bCs w:val="false"/>
          <w:i w:val="false"/>
          <w:iCs w:val="false"/>
          <w:color w:val="000000"/>
          <w:sz w:val="22"/>
          <w:szCs w:val="22"/>
        </w:rPr>
        <w:t xml:space="preserve">Nykiforuk, C. I. J., Vallianatos, H., &amp; Nieuwendyk, L. M. (2011). Photovoice as a method for revealing community perceptions. International Journal of Qualitative Methods, 10(2), 103-124.</w:t>
      </w:r>
    </w:p>
    <w:p>
      <w:pPr>
        <w:spacing w:after="80" w:line="300"/>
        <w:jc w:val="both"/>
      </w:pPr>
      <w:r>
        <w:rPr>
          <w:rFonts w:ascii="Arial" w:cs="Arial" w:eastAsia="Arial" w:hAnsi="Arial"/>
          <w:b w:val="false"/>
          <w:bCs w:val="false"/>
          <w:i w:val="false"/>
          <w:iCs w:val="false"/>
          <w:color w:val="000000"/>
          <w:sz w:val="22"/>
          <w:szCs w:val="22"/>
        </w:rPr>
        <w:t xml:space="preserve">Pauly, D. (1995). Anecdotes and the shifting baseline syndrome of fisheries. Trends in Ecology &amp; Evolution, 10(10), 430.</w:t>
      </w:r>
    </w:p>
    <w:p>
      <w:pPr>
        <w:spacing w:after="80" w:line="300"/>
        <w:jc w:val="both"/>
      </w:pPr>
      <w:r>
        <w:rPr>
          <w:rFonts w:ascii="Arial" w:cs="Arial" w:eastAsia="Arial" w:hAnsi="Arial"/>
          <w:b w:val="false"/>
          <w:bCs w:val="false"/>
          <w:i w:val="false"/>
          <w:iCs w:val="false"/>
          <w:color w:val="000000"/>
          <w:sz w:val="22"/>
          <w:szCs w:val="22"/>
        </w:rPr>
        <w:t xml:space="preserve">Spradley, J. P. (1980). Participant Observation. New York: Holt, Rinehart and Winston.</w:t>
      </w:r>
    </w:p>
    <w:p>
      <w:pPr>
        <w:spacing w:after="80" w:line="300"/>
        <w:jc w:val="both"/>
      </w:pPr>
      <w:r>
        <w:rPr>
          <w:rFonts w:ascii="Arial" w:cs="Arial" w:eastAsia="Arial" w:hAnsi="Arial"/>
          <w:b w:val="false"/>
          <w:bCs w:val="false"/>
          <w:i w:val="false"/>
          <w:iCs w:val="false"/>
          <w:color w:val="000000"/>
          <w:sz w:val="22"/>
          <w:szCs w:val="22"/>
        </w:rPr>
        <w:t xml:space="preserve">Strauss, A., &amp; Corbin, J. (1990). Basics of Qualitative Research. Newbury Park: Sage.</w:t>
      </w:r>
    </w:p>
    <w:p>
      <w:pPr>
        <w:spacing w:after="80" w:line="300"/>
        <w:jc w:val="both"/>
      </w:pPr>
      <w:r>
        <w:rPr>
          <w:rFonts w:ascii="Arial" w:cs="Arial" w:eastAsia="Arial" w:hAnsi="Arial"/>
          <w:b w:val="false"/>
          <w:bCs w:val="false"/>
          <w:i w:val="false"/>
          <w:iCs w:val="false"/>
          <w:color w:val="000000"/>
          <w:sz w:val="22"/>
          <w:szCs w:val="22"/>
        </w:rPr>
        <w:t xml:space="preserve">Tavakol, M., &amp; Dennick, R. (2011). Making sense of Cronbach's alpha. International Journal of Medical Education, 2, 53-55.</w:t>
      </w:r>
    </w:p>
    <w:p>
      <w:pPr>
        <w:spacing w:after="80" w:line="300"/>
        <w:jc w:val="both"/>
      </w:pPr>
      <w:r>
        <w:rPr>
          <w:rFonts w:ascii="Arial" w:cs="Arial" w:eastAsia="Arial" w:hAnsi="Arial"/>
          <w:b w:val="false"/>
          <w:bCs w:val="false"/>
          <w:i w:val="false"/>
          <w:iCs w:val="false"/>
          <w:color w:val="000000"/>
          <w:sz w:val="22"/>
          <w:szCs w:val="22"/>
        </w:rPr>
        <w:t xml:space="preserve">Wang, C., &amp; Burris, M. A. (1997). Photovoice: Concept, methodology, and use for participatory needs assessment. Health Education &amp; Behavior, 24(3), 369-387.</w:t>
      </w:r>
    </w:p>
    <w:p>
      <w:pPr>
        <w:spacing w:after="80" w:line="300"/>
        <w:jc w:val="both"/>
      </w:pPr>
      <w:r>
        <w:rPr>
          <w:rFonts w:ascii="Arial" w:cs="Arial" w:eastAsia="Arial" w:hAnsi="Arial"/>
          <w:b w:val="false"/>
          <w:bCs w:val="false"/>
          <w:i w:val="false"/>
          <w:iCs w:val="false"/>
          <w:color w:val="000000"/>
          <w:sz w:val="22"/>
          <w:szCs w:val="22"/>
        </w:rPr>
        <w:t xml:space="preserve">Wasserman, S., &amp; Faust, K. (1994). Social Network Analysis: Methods and Applications. Cambridge: Cambridge University Press.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Página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de </w:t>
    </w:r>
    <w:r>
      <w:rPr>
        <w:rFonts w:ascii="Arial" w:cs="Arial" w:eastAsia="Arial" w:hAnsi="Arial"/>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08080"/>
        <w:sz w:val="18"/>
        <w:szCs w:val="18"/>
      </w:rPr>
      <w:t xml:space="preserve">Métodos Cualitativos para la Gestión Marino-Costera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2E75B6"/>
      <w:sz w:val="23"/>
      <w:szCs w:val="23"/>
    </w:rPr>
  </w:style>
  <w:style w:type="paragraph" w:styleId="Heading4">
    <w:name w:val="Heading 4"/>
    <w:basedOn w:val="Normal"/>
    <w:next w:val="Normal"/>
    <w:qFormat/>
    <w:pPr>
      <w:spacing w:after="80" w:before="160"/>
      <w:outlineLvl w:val="3"/>
    </w:pPr>
    <w:rPr>
      <w:rFonts w:ascii="Arial" w:cs="Arial" w:eastAsia="Arial" w:hAnsi="Arial"/>
      <w:b/>
      <w:bCs/>
      <w:i/>
      <w:i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Métodos Cualitativos para la Gestión Marino-Costera</dc:title>
  <dc:creator>Agustín Gómez Meléndez</dc:creator>
  <dc:description>Documento técnico-pedagógico</dc:description>
  <cp:lastModifiedBy>Un-named</cp:lastModifiedBy>
  <cp:revision>1</cp:revision>
  <dcterms:created xsi:type="dcterms:W3CDTF">2026-04-21T13:18:00.949Z</dcterms:created>
  <dcterms:modified xsi:type="dcterms:W3CDTF">2026-04-21T13:18:00.950Z</dcterms:modified>
</cp:coreProperties>
</file>

<file path=docProps/custom.xml><?xml version="1.0" encoding="utf-8"?>
<Properties xmlns="http://schemas.openxmlformats.org/officeDocument/2006/custom-properties" xmlns:vt="http://schemas.openxmlformats.org/officeDocument/2006/docPropsVTypes"/>
</file>