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18"/>
          <w:szCs w:val="18"/>
        </w:rPr>
        <w:t xml:space="preserve">PROYECTO ANÁLISIS PISA 2000-2025 · CIOdD-UCR / OMiPYME-UNED</w:t>
      </w:r>
    </w:p>
    <w:p>
      <w:pPr>
        <w:spacing w:after="260"/>
      </w:pPr>
      <w:r>
        <w:rPr>
          <w:color w:val="595959"/>
          <w:sz w:val="18"/>
          <w:szCs w:val="18"/>
        </w:rPr>
        <w:t xml:space="preserve">Documento de apoyo para la Capacitación Docente "Team Up 2 Level Up" (INA, 6 de octubre de 2026) — insumo para el Bloque 1</w:t>
      </w:r>
    </w:p>
    <w:p>
      <w:pPr>
        <w:pStyle w:val="Title"/>
        <w:spacing w:after="80"/>
      </w:pPr>
      <w:r>
        <w:rPr>
          <w:b/>
          <w:bCs/>
          <w:color w:val="1F4E78"/>
          <w:sz w:val="36"/>
          <w:szCs w:val="36"/>
        </w:rPr>
        <w:t xml:space="preserve">El componente de inglés en PISA y la evidencia de IA 2025 para Costa Rica</w:t>
      </w:r>
    </w:p>
    <w:p>
      <w:pPr>
        <w:spacing w:after="300"/>
      </w:pPr>
      <w:r>
        <w:rPr>
          <w:i/>
          <w:iCs/>
          <w:color w:val="595959"/>
          <w:sz w:val="20"/>
          <w:szCs w:val="20"/>
        </w:rPr>
        <w:t xml:space="preserve">Informe de contexto — 16 de septiembre de 2026</w:t>
      </w:r>
    </w:p>
    <w:p>
      <w:pPr>
        <w:pStyle w:val="Heading1"/>
        <w:spacing w:after="160" w:before="360"/>
      </w:pPr>
      <w:r>
        <w:rPr>
          <w:b/>
          <w:bCs/>
          <w:color w:val="1F4E78"/>
          <w:sz w:val="28"/>
          <w:szCs w:val="28"/>
        </w:rPr>
        <w:t xml:space="preserve">0. Resumen ejecutivo (para uso directo en el taller)</w:t>
      </w:r>
    </w:p>
    <w:p>
      <w:pPr>
        <w:pStyle w:val="ListParagraph"/>
        <w:numPr>
          <w:ilvl w:val="0"/>
          <w:numId w:val="1"/>
        </w:numPr>
        <w:spacing w:after="100" w:line="276"/>
      </w:pPr>
      <w:r>
        <w:rPr>
          <w:sz w:val="22"/>
          <w:szCs w:val="22"/>
        </w:rPr>
        <w:t xml:space="preserve">PISA 2025 introdujo por primera vez un componente opcional de idioma extranjero (la </w:t>
      </w:r>
      <w:r>
        <w:rPr>
          <w:i/>
          <w:iCs/>
          <w:sz w:val="22"/>
          <w:szCs w:val="22"/>
        </w:rPr>
        <w:t xml:space="preserve">Foreign Language Assessment</w:t>
      </w:r>
      <w:r>
        <w:rPr>
          <w:sz w:val="22"/>
          <w:szCs w:val="22"/>
        </w:rPr>
        <w:t xml:space="preserve">, FLA), enfocado en inglés como lengua extranjera (lectura, escucha y expresión oral), evaluado en </w:t>
      </w:r>
      <w:r>
        <w:rPr>
          <w:b/>
          <w:bCs/>
          <w:sz w:val="22"/>
          <w:szCs w:val="22"/>
        </w:rPr>
        <w:t xml:space="preserve">21 países y economías</w:t>
      </w:r>
      <w:r>
        <w:rPr>
          <w:sz w:val="22"/>
          <w:szCs w:val="22"/>
        </w:rPr>
        <w:t xml:space="preserve">, en su gran mayoría europeos —16 Estados miembros de la UE cofinanciados por la Comisión Europea, más algunos no comunitarios como Inglaterra—, con el instrumento desarrollado por Cambridge Assessment English bajo el marco del MCER.</w:t>
      </w:r>
    </w:p>
    <w:p>
      <w:pPr>
        <w:pBdr>
          <w:left w:val="single" w:color="B33018" w:sz="24" w:space="12"/>
        </w:pBdr>
        <w:spacing w:after="200" w:before="120"/>
        <w:ind w:left="240"/>
      </w:pPr>
      <w:r>
        <w:rPr>
          <w:b/>
          <w:bCs/>
          <w:color w:val="B33018"/>
          <w:sz w:val="22"/>
          <w:szCs w:val="22"/>
        </w:rPr>
        <w:t xml:space="preserve">Hallazgo crítico — </w:t>
      </w:r>
      <w:r>
        <w:rPr>
          <w:sz w:val="22"/>
          <w:szCs w:val="22"/>
        </w:rPr>
        <w:t xml:space="preserve">con la evidencia disponible, </w:t>
      </w:r>
      <w:r>
        <w:rPr>
          <w:b/>
          <w:bCs/>
          <w:sz w:val="22"/>
          <w:szCs w:val="22"/>
        </w:rPr>
        <w:t xml:space="preserve">Costa Rica no figura entre los países que aplicaron el FLA-inglés en el ciclo 2025.</w:t>
      </w:r>
      <w:r>
        <w:rPr>
          <w:sz w:val="22"/>
          <w:szCs w:val="22"/>
        </w:rPr>
        <w:t xml:space="preserve"> El propio comunicado oficial del MEP sobre la aplicación PISA 2025 en el país (mayo de 2025) enumera explícitamente solo cuatro áreas evaluadas —lectura, matemáticas, ciencias y aprendizaje en un mundo digital— sin mencionar inglés. Ver sección 2 para el detalle y el nivel de certeza de esta conclusión.</w:t>
      </w:r>
    </w:p>
    <w:p>
      <w:pPr>
        <w:pStyle w:val="ListParagraph"/>
        <w:numPr>
          <w:ilvl w:val="0"/>
          <w:numId w:val="1"/>
        </w:numPr>
        <w:spacing w:after="100" w:line="276"/>
      </w:pPr>
      <w:r>
        <w:rPr>
          <w:sz w:val="22"/>
          <w:szCs w:val="22"/>
        </w:rPr>
        <w:t xml:space="preserve">Lo que Costa Rica </w:t>
      </w:r>
      <w:r>
        <w:rPr>
          <w:b/>
          <w:bCs/>
          <w:sz w:val="22"/>
          <w:szCs w:val="22"/>
        </w:rPr>
        <w:t xml:space="preserve">sí tiene</w:t>
      </w:r>
      <w:r>
        <w:rPr>
          <w:sz w:val="22"/>
          <w:szCs w:val="22"/>
        </w:rPr>
        <w:t xml:space="preserve"> en PISA 2025 es evidencia oficial y auditada sobre </w:t>
      </w:r>
      <w:r>
        <w:rPr>
          <w:b/>
          <w:bCs/>
          <w:sz w:val="22"/>
          <w:szCs w:val="22"/>
        </w:rPr>
        <w:t xml:space="preserve">uso de inteligencia artificial generativa</w:t>
      </w:r>
      <w:r>
        <w:rPr>
          <w:sz w:val="22"/>
          <w:szCs w:val="22"/>
        </w:rPr>
        <w:t xml:space="preserve">, directamente aprovechable en el Bloque 1 del taller: un resultado en resolución computacional de problemas (452 frente a 500 del promedio OCDE) y una tabla de uso semanal o diario de IA para aprender con desagregación costarricense (50.06 % CR frente a 45.52 % OCDE).</w:t>
      </w:r>
    </w:p>
    <w:p>
      <w:pPr>
        <w:pStyle w:val="ListParagraph"/>
        <w:numPr>
          <w:ilvl w:val="0"/>
          <w:numId w:val="1"/>
        </w:numPr>
        <w:spacing w:after="100" w:line="276"/>
      </w:pPr>
      <w:r>
        <w:rPr>
          <w:sz w:val="22"/>
          <w:szCs w:val="22"/>
        </w:rPr>
        <w:t xml:space="preserve">Fuera de PISA, Costa Rica cuenta con un </w:t>
      </w:r>
      <w:r>
        <w:rPr>
          <w:b/>
          <w:bCs/>
          <w:sz w:val="22"/>
          <w:szCs w:val="22"/>
        </w:rPr>
        <w:t xml:space="preserve">ecosistema nacional propio de evaluación de inglés</w:t>
      </w:r>
      <w:r>
        <w:rPr>
          <w:sz w:val="22"/>
          <w:szCs w:val="22"/>
        </w:rPr>
        <w:t xml:space="preserve"> —PNELE, PELEx-UCR, TEYL y, desde agosto de 2025, AWA-UCR— con muestras muchísimo mayores que cualquier componente PISA y, en el caso de AWA-UCR, explícitamente presentado por sus responsables como un adelanto frente a la propia PISA en evaluación de escritura en inglés.</w:t>
      </w:r>
    </w:p>
    <w:p>
      <w:pPr>
        <w:pStyle w:val="Heading1"/>
        <w:spacing w:after="160" w:before="360"/>
      </w:pPr>
      <w:r>
        <w:rPr>
          <w:b/>
          <w:bCs/>
          <w:color w:val="1F4E78"/>
          <w:sz w:val="28"/>
          <w:szCs w:val="28"/>
        </w:rPr>
        <w:t xml:space="preserve">1. El componente de inglés de PISA 2025 (Foreign Language Assessment)</w:t>
      </w:r>
    </w:p>
    <w:p>
      <w:pPr>
        <w:pStyle w:val="Heading2"/>
        <w:spacing w:after="120" w:before="260"/>
      </w:pPr>
      <w:r>
        <w:rPr>
          <w:b/>
          <w:bCs/>
          <w:color w:val="222222"/>
          <w:sz w:val="24"/>
          <w:szCs w:val="24"/>
        </w:rPr>
        <w:t xml:space="preserve">1.1 Qué es</w:t>
      </w:r>
    </w:p>
    <w:p>
      <w:pPr>
        <w:spacing w:after="160" w:line="276"/>
      </w:pPr>
      <w:r>
        <w:rPr>
          <w:sz w:val="22"/>
          <w:szCs w:val="22"/>
        </w:rPr>
        <w:t xml:space="preserve">La OCDE incorporó en PISA 2025, por primera vez en la historia del programa, una evaluación opcional de lengua extranjera —la </w:t>
      </w:r>
      <w:r>
        <w:rPr>
          <w:i/>
          <w:iCs/>
          <w:sz w:val="22"/>
          <w:szCs w:val="22"/>
        </w:rPr>
        <w:t xml:space="preserve">Foreign Language Assessment</w:t>
      </w:r>
      <w:r>
        <w:rPr>
          <w:sz w:val="22"/>
          <w:szCs w:val="22"/>
        </w:rPr>
        <w:t xml:space="preserve"> (FLA)—, que arranca con inglés y evalúa tres destrezas: lectura, escucha y expresión oral, sobre la base del Marco Común Europeo de Referencia para las Lenguas (MCER). El instrumento fue desarrollado en colaboración con Cambridge Assessment English y se ofrecerá cada dos ciclos PISA (el próximo, en 2031) para permitir análisis de tendencia.</w:t>
      </w:r>
    </w:p>
    <w:p>
      <w:pPr>
        <w:pStyle w:val="Heading2"/>
        <w:spacing w:after="120" w:before="260"/>
      </w:pPr>
      <w:r>
        <w:rPr>
          <w:b/>
          <w:bCs/>
          <w:color w:val="222222"/>
          <w:sz w:val="24"/>
          <w:szCs w:val="24"/>
        </w:rPr>
        <w:t xml:space="preserve">1.2 Cobertura internacional</w:t>
      </w:r>
    </w:p>
    <w:p>
      <w:pPr>
        <w:spacing w:after="160" w:line="276"/>
      </w:pPr>
      <w:r>
        <w:rPr>
          <w:sz w:val="22"/>
          <w:szCs w:val="22"/>
        </w:rPr>
        <w:t xml:space="preserve">Participaron </w:t>
      </w:r>
      <w:r>
        <w:rPr>
          <w:b/>
          <w:bCs/>
          <w:sz w:val="22"/>
          <w:szCs w:val="22"/>
        </w:rPr>
        <w:t xml:space="preserve">21 países y economías</w:t>
      </w:r>
      <w:r>
        <w:rPr>
          <w:sz w:val="22"/>
          <w:szCs w:val="22"/>
        </w:rPr>
        <w:t xml:space="preserve">, una cifra dominada por Europa: 16 Estados miembros de la Unión Europea aplicaron el módulo con cofinanciamiento de la Comisión Europea, a los que se suman algunas jurisdicciones no comunitarias (p. ej. Inglaterra). No se identificó, en las fuentes disponibles de la OCDE ni en prensa regional, ningún país de América Latina entre los participantes confirmados del FLA-inglés 2025.</w:t>
      </w:r>
    </w:p>
    <w:p>
      <w:pPr>
        <w:pStyle w:val="Heading2"/>
        <w:spacing w:after="120" w:before="260"/>
      </w:pPr>
      <w:r>
        <w:rPr>
          <w:b/>
          <w:bCs/>
          <w:color w:val="222222"/>
          <w:sz w:val="24"/>
          <w:szCs w:val="24"/>
        </w:rPr>
        <w:t xml:space="preserve">1.3 La ausencia de Costa Rica: evidencia y nivel de certeza</w:t>
      </w:r>
    </w:p>
    <w:p>
      <w:pPr>
        <w:spacing w:after="160" w:line="276"/>
      </w:pPr>
      <w:r>
        <w:rPr>
          <w:sz w:val="22"/>
          <w:szCs w:val="22"/>
        </w:rPr>
        <w:t xml:space="preserve">El comunicado oficial del MEP sobre la aplicación de PISA 2025 en el país (mayo de 2025) describe la prueba así: "evalúa competencias de estudiantes de 15 años en </w:t>
      </w:r>
      <w:r>
        <w:rPr>
          <w:i/>
          <w:iCs/>
          <w:sz w:val="22"/>
          <w:szCs w:val="22"/>
        </w:rPr>
        <w:t xml:space="preserve">cuatro áreas</w:t>
      </w:r>
      <w:r>
        <w:rPr>
          <w:sz w:val="22"/>
          <w:szCs w:val="22"/>
        </w:rPr>
        <w:t xml:space="preserve">: lectura, matemáticas, ciencias y aprendiendo en un mundo digital". No hay mención de inglés ni de lengua extranjera. Esto es consistente con que el FLA es opcional y que su cobertura reportada (21 países, mayoritariamente europeos y cofinanciados por la Comisión Europea) no incluye a Costa Rica.</w:t>
      </w:r>
    </w:p>
    <w:p>
      <w:pPr>
        <w:spacing w:after="160" w:line="276"/>
      </w:pPr>
      <w:r>
        <w:rPr>
          <w:b/>
          <w:bCs/>
          <w:sz w:val="22"/>
          <w:szCs w:val="22"/>
        </w:rPr>
        <w:t xml:space="preserve">Advertencia metodológica: </w:t>
      </w:r>
      <w:r>
        <w:rPr>
          <w:sz w:val="22"/>
          <w:szCs w:val="22"/>
        </w:rPr>
        <w:t xml:space="preserve">no fue posible acceder directamente al listado oficial de la OCDE de países participantes en el FLA 2025 (la nota de país de Costa Rica en PISA 2025 Volumen I bloquea el acceso automatizado), por lo que esta conclusión se apoya en evidencia indirecta pero consistente —el comunicado del MEP y la ausencia de cualquier referencia de prensa o institucional a un componente de inglés en la aplicación costarricense—. </w:t>
      </w:r>
      <w:r>
        <w:rPr>
          <w:b/>
          <w:bCs/>
          <w:sz w:val="22"/>
          <w:szCs w:val="22"/>
        </w:rPr>
        <w:t xml:space="preserve">Antes de afirmarlo en el taller frente a 246 docentes de inglés, se recomienda confirmarlo con la Dirección de Gestión y Evaluación de la Calidad (DGEC-MEP), que administra PISA en el país.</w:t>
      </w:r>
    </w:p>
    <w:p>
      <w:pPr>
        <w:pStyle w:val="Heading2"/>
        <w:spacing w:after="120" w:before="260"/>
      </w:pPr>
      <w:r>
        <w:rPr>
          <w:b/>
          <w:bCs/>
          <w:color w:val="222222"/>
          <w:sz w:val="24"/>
          <w:szCs w:val="24"/>
        </w:rPr>
        <w:t xml:space="preserve">1.4 Calendario de resultados (aunque CR hubiera participado)</w:t>
      </w:r>
    </w:p>
    <w:p>
      <w:pPr>
        <w:spacing w:after="160" w:line="276"/>
      </w:pPr>
      <w:r>
        <w:rPr>
          <w:sz w:val="22"/>
          <w:szCs w:val="22"/>
        </w:rPr>
        <w:t xml:space="preserve">Los resultados del FLA-inglés no se publicaron junto con PISA 2025 Resultados Volumen I (8 de septiembre de 2026); se anuncian para una entrega posterior separada. Es decir, incluso en países que sí aplicaron el módulo, no hay todavía puntajes públicos de FLA-inglés al momento de este informe (16 de septiembre de 2026) ni, previsiblemente, para la fecha del taller (6 de octubre de 2026).</w:t>
      </w:r>
    </w:p>
    <w:p>
      <w:pPr>
        <w:pStyle w:val="Heading1"/>
        <w:spacing w:after="160" w:before="360"/>
      </w:pPr>
      <w:r>
        <w:rPr>
          <w:b/>
          <w:bCs/>
          <w:color w:val="1F4E78"/>
          <w:sz w:val="28"/>
          <w:szCs w:val="28"/>
        </w:rPr>
        <w:t xml:space="preserve">2. Lo que sí hay para Costa Rica en 2025: el eje de inteligencia artificial (dato PISA oficial y auditado)</w:t>
      </w:r>
    </w:p>
    <w:p>
      <w:pPr>
        <w:spacing w:after="160" w:line="276"/>
      </w:pPr>
      <w:r>
        <w:rPr>
          <w:sz w:val="22"/>
          <w:szCs w:val="22"/>
        </w:rPr>
        <w:t xml:space="preserve">Este es el bloque de evidencia PISA 2025 con desagregación costarricense confirmada, ya validado en la auditoría externa del proyecto del 8 de septiembre de 2026, y es el que se recomienda usar como evidencia internacional comparada en el Bloque 1 del taller.</w:t>
      </w:r>
    </w:p>
    <w:p>
      <w:pPr>
        <w:pStyle w:val="ListParagraph"/>
        <w:numPr>
          <w:ilvl w:val="0"/>
          <w:numId w:val="1"/>
        </w:numPr>
        <w:spacing w:after="100" w:line="276"/>
      </w:pPr>
      <w:r>
        <w:rPr>
          <w:b/>
          <w:bCs/>
          <w:sz w:val="22"/>
          <w:szCs w:val="22"/>
        </w:rPr>
        <w:t xml:space="preserve">Learning in the Digital World: </w:t>
      </w:r>
      <w:r>
        <w:rPr>
          <w:sz w:val="22"/>
          <w:szCs w:val="22"/>
        </w:rPr>
        <w:t xml:space="preserve">dominio innovador de PISA 2025 (no reemplaza a inglés ni a ningún dominio mayor); incluye resolución computacional de problemas y autorregulación del aprendizaje como componentes.</w:t>
      </w:r>
    </w:p>
    <w:p>
      <w:pPr>
        <w:pStyle w:val="ListParagraph"/>
        <w:numPr>
          <w:ilvl w:val="0"/>
          <w:numId w:val="1"/>
        </w:numPr>
        <w:spacing w:after="100" w:line="276"/>
      </w:pPr>
      <w:r>
        <w:rPr>
          <w:b/>
          <w:bCs/>
          <w:sz w:val="22"/>
          <w:szCs w:val="22"/>
        </w:rPr>
        <w:t xml:space="preserve">Resolución computacional de problemas — Costa Rica: </w:t>
      </w:r>
      <w:r>
        <w:rPr>
          <w:sz w:val="22"/>
          <w:szCs w:val="22"/>
        </w:rPr>
        <w:t xml:space="preserve">452 puntos, frente a 500 del promedio OCDE.</w:t>
      </w:r>
    </w:p>
    <w:p>
      <w:pPr>
        <w:pStyle w:val="ListParagraph"/>
        <w:numPr>
          <w:ilvl w:val="0"/>
          <w:numId w:val="1"/>
        </w:numPr>
        <w:spacing w:after="100" w:line="276"/>
      </w:pPr>
      <w:r>
        <w:rPr>
          <w:b/>
          <w:bCs/>
          <w:sz w:val="22"/>
          <w:szCs w:val="22"/>
        </w:rPr>
        <w:t xml:space="preserve">Módulo de IA generativa en el cuestionario: </w:t>
      </w:r>
      <w:r>
        <w:rPr>
          <w:sz w:val="22"/>
          <w:szCs w:val="22"/>
        </w:rPr>
        <w:t xml:space="preserve">PISA 2025 es el primer ciclo con un bloque dedicado a IA generativa en el cuestionario de contexto.</w:t>
      </w:r>
    </w:p>
    <w:p>
      <w:pPr>
        <w:pStyle w:val="ListParagraph"/>
        <w:numPr>
          <w:ilvl w:val="0"/>
          <w:numId w:val="1"/>
        </w:numPr>
        <w:spacing w:after="100" w:line="276"/>
      </w:pPr>
      <w:r>
        <w:rPr>
          <w:b/>
          <w:bCs/>
          <w:sz w:val="22"/>
          <w:szCs w:val="22"/>
        </w:rPr>
        <w:t xml:space="preserve">Uso semanal o diario de IA generativa para ayudar a aprender (Tabla oficial I.B1.4.53): </w:t>
      </w:r>
      <w:r>
        <w:rPr>
          <w:sz w:val="22"/>
          <w:szCs w:val="22"/>
        </w:rPr>
        <w:t xml:space="preserve">50.06 % en Costa Rica frente a 45.52 % en el promedio OCDE (suma de valores fuente; no existe SE calculado para esa diferencia por falta de covarianzas entre categorías, así que no debe presentarse como una diferencia estadísticamente significativa, solo como una comparación descriptiva).</w:t>
      </w:r>
    </w:p>
    <w:p>
      <w:pPr>
        <w:spacing w:after="160" w:line="276"/>
      </w:pPr>
      <w:r>
        <w:rPr>
          <w:sz w:val="22"/>
          <w:szCs w:val="22"/>
        </w:rPr>
        <w:t xml:space="preserve">Nota de encuadre útil para el taller: los chatbots de IA generativa de uso masivo están disponibles públicamente solo desde finales de 2022, de modo que la cohorte evaluada en PISA 2025 (15 años, aplicación en 2025) tuvo, como máximo, alrededor de tres años de exposición pública a esta tecnología al momento de la prueba — un dato útil para matizar cualquier lectura de "familiaridad" del estudiantado con IA.</w:t>
      </w:r>
    </w:p>
    <w:p>
      <w:pPr>
        <w:pStyle w:val="Heading1"/>
        <w:spacing w:after="160" w:before="360"/>
      </w:pPr>
      <w:r>
        <w:rPr>
          <w:b/>
          <w:bCs/>
          <w:color w:val="1F4E78"/>
          <w:sz w:val="28"/>
          <w:szCs w:val="28"/>
        </w:rPr>
        <w:t xml:space="preserve">3. El ecosistema costarricense de evaluación de inglés (evidencia nacional, no PISA)</w:t>
      </w:r>
    </w:p>
    <w:p>
      <w:pPr>
        <w:spacing w:after="160" w:line="276"/>
      </w:pPr>
      <w:r>
        <w:rPr>
          <w:sz w:val="22"/>
          <w:szCs w:val="22"/>
        </w:rPr>
        <w:t xml:space="preserve">A falta de un componente PISA de inglés para Costa Rica, el país cuenta con instrumentos propios —de muestra bastante mayor que cualquier ciclo PISA— que sí permiten hablar con datos reales del estado del inglés en el sistema educativo costarricense.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950"/>
        <w:gridCol w:w="1650"/>
        <w:gridCol w:w="2150"/>
        <w:gridCol w:w="1750"/>
        <w:gridCol w:w="2340"/>
      </w:tblGrid>
      <w:tr>
        <w:trPr>
          <w:tblHeader/>
        </w:trPr>
        <w:tc>
          <w:tcPr>
            <w:tcW w:type="dxa" w:w="1950"/>
            <w:shd w:fill="1F4E78" w:val="clear"/>
            <w:tcMar>
              <w:top w:type="dxa" w:w="80"/>
              <w:left w:type="dxa" w:w="100"/>
              <w:bottom w:type="dxa" w:w="80"/>
              <w:right w:type="dxa" w:w="100"/>
            </w:tcMar>
          </w:tcPr>
          <w:p>
            <w:r>
              <w:rPr>
                <w:b/>
                <w:bCs/>
                <w:color w:val="FFFFFF"/>
                <w:sz w:val="20"/>
                <w:szCs w:val="20"/>
              </w:rPr>
              <w:t xml:space="preserve">Instrumento</w:t>
            </w:r>
          </w:p>
        </w:tc>
        <w:tc>
          <w:tcPr>
            <w:tcW w:type="dxa" w:w="1650"/>
            <w:shd w:fill="1F4E78" w:val="clear"/>
            <w:tcMar>
              <w:top w:type="dxa" w:w="80"/>
              <w:left w:type="dxa" w:w="100"/>
              <w:bottom w:type="dxa" w:w="80"/>
              <w:right w:type="dxa" w:w="100"/>
            </w:tcMar>
          </w:tcPr>
          <w:p>
            <w:r>
              <w:rPr>
                <w:b/>
                <w:bCs/>
                <w:color w:val="FFFFFF"/>
                <w:sz w:val="20"/>
                <w:szCs w:val="20"/>
              </w:rPr>
              <w:t xml:space="preserve">Responsable</w:t>
            </w:r>
          </w:p>
        </w:tc>
        <w:tc>
          <w:tcPr>
            <w:tcW w:type="dxa" w:w="2150"/>
            <w:shd w:fill="1F4E78" w:val="clear"/>
            <w:tcMar>
              <w:top w:type="dxa" w:w="80"/>
              <w:left w:type="dxa" w:w="100"/>
              <w:bottom w:type="dxa" w:w="80"/>
              <w:right w:type="dxa" w:w="100"/>
            </w:tcMar>
          </w:tcPr>
          <w:p>
            <w:r>
              <w:rPr>
                <w:b/>
                <w:bCs/>
                <w:color w:val="FFFFFF"/>
                <w:sz w:val="20"/>
                <w:szCs w:val="20"/>
              </w:rPr>
              <w:t xml:space="preserve">Población / muestra</w:t>
            </w:r>
          </w:p>
        </w:tc>
        <w:tc>
          <w:tcPr>
            <w:tcW w:type="dxa" w:w="1750"/>
            <w:shd w:fill="1F4E78" w:val="clear"/>
            <w:tcMar>
              <w:top w:type="dxa" w:w="80"/>
              <w:left w:type="dxa" w:w="100"/>
              <w:bottom w:type="dxa" w:w="80"/>
              <w:right w:type="dxa" w:w="100"/>
            </w:tcMar>
          </w:tcPr>
          <w:p>
            <w:r>
              <w:rPr>
                <w:b/>
                <w:bCs/>
                <w:color w:val="FFFFFF"/>
                <w:sz w:val="20"/>
                <w:szCs w:val="20"/>
              </w:rPr>
              <w:t xml:space="preserve">Destrezas</w:t>
            </w:r>
          </w:p>
        </w:tc>
        <w:tc>
          <w:tcPr>
            <w:tcW w:type="dxa" w:w="2340"/>
            <w:shd w:fill="1F4E78" w:val="clear"/>
            <w:tcMar>
              <w:top w:type="dxa" w:w="80"/>
              <w:left w:type="dxa" w:w="100"/>
              <w:bottom w:type="dxa" w:w="80"/>
              <w:right w:type="dxa" w:w="100"/>
            </w:tcMar>
          </w:tcPr>
          <w:p>
            <w:r>
              <w:rPr>
                <w:b/>
                <w:bCs/>
                <w:color w:val="FFFFFF"/>
                <w:sz w:val="20"/>
                <w:szCs w:val="20"/>
              </w:rPr>
              <w:t xml:space="preserve">Hito 2025-2026</w:t>
            </w:r>
          </w:p>
        </w:tc>
      </w:tr>
      <w:tr>
        <w:tc>
          <w:tcPr>
            <w:tcW w:type="dxa" w:w="1950"/>
            <w:tcMar>
              <w:top w:type="dxa" w:w="80"/>
              <w:left w:type="dxa" w:w="100"/>
              <w:bottom w:type="dxa" w:w="80"/>
              <w:right w:type="dxa" w:w="100"/>
            </w:tcMar>
          </w:tcPr>
          <w:p>
            <w:r>
              <w:rPr>
                <w:b w:val="false"/>
                <w:bCs w:val="false"/>
                <w:color w:val="000000"/>
                <w:sz w:val="20"/>
                <w:szCs w:val="20"/>
              </w:rPr>
              <w:t xml:space="preserve">PNELE — Prueba Nacional Estandarizada de Lengua Extranjera: Inglés</w:t>
            </w:r>
          </w:p>
        </w:tc>
        <w:tc>
          <w:tcPr>
            <w:tcW w:type="dxa" w:w="1650"/>
            <w:tcMar>
              <w:top w:type="dxa" w:w="80"/>
              <w:left w:type="dxa" w:w="100"/>
              <w:bottom w:type="dxa" w:w="80"/>
              <w:right w:type="dxa" w:w="100"/>
            </w:tcMar>
          </w:tcPr>
          <w:p>
            <w:r>
              <w:rPr>
                <w:b w:val="false"/>
                <w:bCs w:val="false"/>
                <w:color w:val="000000"/>
                <w:sz w:val="20"/>
                <w:szCs w:val="20"/>
              </w:rPr>
              <w:t xml:space="preserve">DGEC-MEP</w:t>
            </w:r>
          </w:p>
        </w:tc>
        <w:tc>
          <w:tcPr>
            <w:tcW w:type="dxa" w:w="2150"/>
            <w:tcMar>
              <w:top w:type="dxa" w:w="80"/>
              <w:left w:type="dxa" w:w="100"/>
              <w:bottom w:type="dxa" w:w="80"/>
              <w:right w:type="dxa" w:w="100"/>
            </w:tcMar>
          </w:tcPr>
          <w:p>
            <w:r>
              <w:rPr>
                <w:b w:val="false"/>
                <w:bCs w:val="false"/>
                <w:color w:val="000000"/>
                <w:sz w:val="20"/>
                <w:szCs w:val="20"/>
              </w:rPr>
              <w:t xml:space="preserve">Último año de secundaria, pública y privada (decenas de miles de estudiantes)</w:t>
            </w:r>
          </w:p>
        </w:tc>
        <w:tc>
          <w:tcPr>
            <w:tcW w:type="dxa" w:w="1750"/>
            <w:tcMar>
              <w:top w:type="dxa" w:w="80"/>
              <w:left w:type="dxa" w:w="100"/>
              <w:bottom w:type="dxa" w:w="80"/>
              <w:right w:type="dxa" w:w="100"/>
            </w:tcMar>
          </w:tcPr>
          <w:p>
            <w:r>
              <w:rPr>
                <w:b w:val="false"/>
                <w:bCs w:val="false"/>
                <w:color w:val="000000"/>
                <w:sz w:val="20"/>
                <w:szCs w:val="20"/>
              </w:rPr>
              <w:t xml:space="preserve">Comprensión de lectura y comprensión auditiva</w:t>
            </w:r>
          </w:p>
        </w:tc>
        <w:tc>
          <w:tcPr>
            <w:tcW w:type="dxa" w:w="2340"/>
            <w:tcMar>
              <w:top w:type="dxa" w:w="80"/>
              <w:left w:type="dxa" w:w="100"/>
              <w:bottom w:type="dxa" w:w="80"/>
              <w:right w:type="dxa" w:w="100"/>
            </w:tcMar>
          </w:tcPr>
          <w:p>
            <w:r>
              <w:rPr>
                <w:b w:val="false"/>
                <w:bCs w:val="false"/>
                <w:color w:val="000000"/>
                <w:sz w:val="20"/>
                <w:szCs w:val="20"/>
              </w:rPr>
              <w:t xml:space="preserve">Aplicación 2025: 28 de agosto – 8 de setiembre, formato digital en línea</w:t>
            </w:r>
          </w:p>
        </w:tc>
      </w:tr>
      <w:tr>
        <w:tc>
          <w:tcPr>
            <w:tcW w:type="dxa" w:w="1950"/>
            <w:shd w:fill="F2F2F2" w:val="clear"/>
            <w:tcMar>
              <w:top w:type="dxa" w:w="80"/>
              <w:left w:type="dxa" w:w="100"/>
              <w:bottom w:type="dxa" w:w="80"/>
              <w:right w:type="dxa" w:w="100"/>
            </w:tcMar>
          </w:tcPr>
          <w:p>
            <w:r>
              <w:rPr>
                <w:b w:val="false"/>
                <w:bCs w:val="false"/>
                <w:color w:val="000000"/>
                <w:sz w:val="20"/>
                <w:szCs w:val="20"/>
              </w:rPr>
              <w:t xml:space="preserve">PELEx — Pruebas de monitoreo de competencias lingüísticas</w:t>
            </w:r>
          </w:p>
        </w:tc>
        <w:tc>
          <w:tcPr>
            <w:tcW w:type="dxa" w:w="1650"/>
            <w:shd w:fill="F2F2F2" w:val="clear"/>
            <w:tcMar>
              <w:top w:type="dxa" w:w="80"/>
              <w:left w:type="dxa" w:w="100"/>
              <w:bottom w:type="dxa" w:w="80"/>
              <w:right w:type="dxa" w:w="100"/>
            </w:tcMar>
          </w:tcPr>
          <w:p>
            <w:r>
              <w:rPr>
                <w:b w:val="false"/>
                <w:bCs w:val="false"/>
                <w:color w:val="000000"/>
                <w:sz w:val="20"/>
                <w:szCs w:val="20"/>
              </w:rPr>
              <w:t xml:space="preserve">UCR (Escuela de Lenguas Modernas) + MEP</w:t>
            </w:r>
          </w:p>
        </w:tc>
        <w:tc>
          <w:tcPr>
            <w:tcW w:type="dxa" w:w="2150"/>
            <w:shd w:fill="F2F2F2" w:val="clear"/>
            <w:tcMar>
              <w:top w:type="dxa" w:w="80"/>
              <w:left w:type="dxa" w:w="100"/>
              <w:bottom w:type="dxa" w:w="80"/>
              <w:right w:type="dxa" w:w="100"/>
            </w:tcMar>
          </w:tcPr>
          <w:p>
            <w:r>
              <w:rPr>
                <w:b w:val="false"/>
                <w:bCs w:val="false"/>
                <w:color w:val="000000"/>
                <w:sz w:val="20"/>
                <w:szCs w:val="20"/>
              </w:rPr>
              <w:t xml:space="preserve">Primaria y secundaria; ~25 000 estudiantes, 46 500 pruebas donadas</w:t>
            </w:r>
          </w:p>
        </w:tc>
        <w:tc>
          <w:tcPr>
            <w:tcW w:type="dxa" w:w="1750"/>
            <w:shd w:fill="F2F2F2" w:val="clear"/>
            <w:tcMar>
              <w:top w:type="dxa" w:w="80"/>
              <w:left w:type="dxa" w:w="100"/>
              <w:bottom w:type="dxa" w:w="80"/>
              <w:right w:type="dxa" w:w="100"/>
            </w:tcMar>
          </w:tcPr>
          <w:p>
            <w:r>
              <w:rPr>
                <w:b w:val="false"/>
                <w:bCs w:val="false"/>
                <w:color w:val="000000"/>
                <w:sz w:val="20"/>
                <w:szCs w:val="20"/>
              </w:rPr>
              <w:t xml:space="preserve">Inglés, francés e italiano; comprensión y diagnóstico</w:t>
            </w:r>
          </w:p>
        </w:tc>
        <w:tc>
          <w:tcPr>
            <w:tcW w:type="dxa" w:w="2340"/>
            <w:shd w:fill="F2F2F2" w:val="clear"/>
            <w:tcMar>
              <w:top w:type="dxa" w:w="80"/>
              <w:left w:type="dxa" w:w="100"/>
              <w:bottom w:type="dxa" w:w="80"/>
              <w:right w:type="dxa" w:w="100"/>
            </w:tcMar>
          </w:tcPr>
          <w:p>
            <w:r>
              <w:rPr>
                <w:b w:val="false"/>
                <w:bCs w:val="false"/>
                <w:color w:val="000000"/>
                <w:sz w:val="20"/>
                <w:szCs w:val="20"/>
              </w:rPr>
              <w:t xml:space="preserve">Convenio MEP-UCR vigente; ronda 2026 ("Language Competency Monitoring Tests")</w:t>
            </w:r>
          </w:p>
        </w:tc>
      </w:tr>
      <w:tr>
        <w:tc>
          <w:tcPr>
            <w:tcW w:type="dxa" w:w="1950"/>
            <w:tcMar>
              <w:top w:type="dxa" w:w="80"/>
              <w:left w:type="dxa" w:w="100"/>
              <w:bottom w:type="dxa" w:w="80"/>
              <w:right w:type="dxa" w:w="100"/>
            </w:tcMar>
          </w:tcPr>
          <w:p>
            <w:r>
              <w:rPr>
                <w:b w:val="false"/>
                <w:bCs w:val="false"/>
                <w:color w:val="000000"/>
                <w:sz w:val="20"/>
                <w:szCs w:val="20"/>
              </w:rPr>
              <w:t xml:space="preserve">TEYL — Prueba de inglés para aprendices jóvenes</w:t>
            </w:r>
          </w:p>
        </w:tc>
        <w:tc>
          <w:tcPr>
            <w:tcW w:type="dxa" w:w="1650"/>
            <w:tcMar>
              <w:top w:type="dxa" w:w="80"/>
              <w:left w:type="dxa" w:w="100"/>
              <w:bottom w:type="dxa" w:w="80"/>
              <w:right w:type="dxa" w:w="100"/>
            </w:tcMar>
          </w:tcPr>
          <w:p>
            <w:r>
              <w:rPr>
                <w:b w:val="false"/>
                <w:bCs w:val="false"/>
                <w:color w:val="000000"/>
                <w:sz w:val="20"/>
                <w:szCs w:val="20"/>
              </w:rPr>
              <w:t xml:space="preserve">MEP + UCR, en el marco de la Alianza para el Bilingüismo (ABI)</w:t>
            </w:r>
          </w:p>
        </w:tc>
        <w:tc>
          <w:tcPr>
            <w:tcW w:type="dxa" w:w="2150"/>
            <w:tcMar>
              <w:top w:type="dxa" w:w="80"/>
              <w:left w:type="dxa" w:w="100"/>
              <w:bottom w:type="dxa" w:w="80"/>
              <w:right w:type="dxa" w:w="100"/>
            </w:tcMar>
          </w:tcPr>
          <w:p>
            <w:r>
              <w:rPr>
                <w:b w:val="false"/>
                <w:bCs w:val="false"/>
                <w:color w:val="000000"/>
                <w:sz w:val="20"/>
                <w:szCs w:val="20"/>
              </w:rPr>
              <w:t xml:space="preserve">Primaria</w:t>
            </w:r>
          </w:p>
        </w:tc>
        <w:tc>
          <w:tcPr>
            <w:tcW w:type="dxa" w:w="1750"/>
            <w:tcMar>
              <w:top w:type="dxa" w:w="80"/>
              <w:left w:type="dxa" w:w="100"/>
              <w:bottom w:type="dxa" w:w="80"/>
              <w:right w:type="dxa" w:w="100"/>
            </w:tcMar>
          </w:tcPr>
          <w:p>
            <w:r>
              <w:rPr>
                <w:b w:val="false"/>
                <w:bCs w:val="false"/>
                <w:color w:val="000000"/>
                <w:sz w:val="20"/>
                <w:szCs w:val="20"/>
              </w:rPr>
              <w:t xml:space="preserve">Comprensión ligada al nuevo programa de estudio de inglés en primaria</w:t>
            </w:r>
          </w:p>
        </w:tc>
        <w:tc>
          <w:tcPr>
            <w:tcW w:type="dxa" w:w="2340"/>
            <w:tcMar>
              <w:top w:type="dxa" w:w="80"/>
              <w:left w:type="dxa" w:w="100"/>
              <w:bottom w:type="dxa" w:w="80"/>
              <w:right w:type="dxa" w:w="100"/>
            </w:tcMar>
          </w:tcPr>
          <w:p>
            <w:r>
              <w:rPr>
                <w:b w:val="false"/>
                <w:bCs w:val="false"/>
                <w:color w:val="000000"/>
                <w:sz w:val="20"/>
                <w:szCs w:val="20"/>
              </w:rPr>
              <w:t xml:space="preserve">Primera aplicación: diagnóstico del nuevo currículo</w:t>
            </w:r>
          </w:p>
        </w:tc>
      </w:tr>
      <w:tr>
        <w:tc>
          <w:tcPr>
            <w:tcW w:type="dxa" w:w="1950"/>
            <w:shd w:fill="F2F2F2" w:val="clear"/>
            <w:tcMar>
              <w:top w:type="dxa" w:w="80"/>
              <w:left w:type="dxa" w:w="100"/>
              <w:bottom w:type="dxa" w:w="80"/>
              <w:right w:type="dxa" w:w="100"/>
            </w:tcMar>
          </w:tcPr>
          <w:p>
            <w:r>
              <w:rPr>
                <w:b w:val="false"/>
                <w:bCs w:val="false"/>
                <w:color w:val="000000"/>
                <w:sz w:val="20"/>
                <w:szCs w:val="20"/>
              </w:rPr>
              <w:t xml:space="preserve">AWA-UCR — Automated Writing Assessment</w:t>
            </w:r>
          </w:p>
        </w:tc>
        <w:tc>
          <w:tcPr>
            <w:tcW w:type="dxa" w:w="1650"/>
            <w:shd w:fill="F2F2F2" w:val="clear"/>
            <w:tcMar>
              <w:top w:type="dxa" w:w="80"/>
              <w:left w:type="dxa" w:w="100"/>
              <w:bottom w:type="dxa" w:w="80"/>
              <w:right w:type="dxa" w:w="100"/>
            </w:tcMar>
          </w:tcPr>
          <w:p>
            <w:r>
              <w:rPr>
                <w:b w:val="false"/>
                <w:bCs w:val="false"/>
                <w:color w:val="000000"/>
                <w:sz w:val="20"/>
                <w:szCs w:val="20"/>
              </w:rPr>
              <w:t xml:space="preserve">PELEx / Escuela de Lenguas Modernas, UCR, con MEP</w:t>
            </w:r>
          </w:p>
        </w:tc>
        <w:tc>
          <w:tcPr>
            <w:tcW w:type="dxa" w:w="2150"/>
            <w:shd w:fill="F2F2F2" w:val="clear"/>
            <w:tcMar>
              <w:top w:type="dxa" w:w="80"/>
              <w:left w:type="dxa" w:w="100"/>
              <w:bottom w:type="dxa" w:w="80"/>
              <w:right w:type="dxa" w:w="100"/>
            </w:tcMar>
          </w:tcPr>
          <w:p>
            <w:r>
              <w:rPr>
                <w:b w:val="false"/>
                <w:bCs w:val="false"/>
                <w:color w:val="000000"/>
                <w:sz w:val="20"/>
                <w:szCs w:val="20"/>
              </w:rPr>
              <w:t xml:space="preserve">10.º y 11.º año de Colegios Experimentales Bilingües (LEB) y Secciones Bilingües Español-Inglés (SEBI)</w:t>
            </w:r>
          </w:p>
        </w:tc>
        <w:tc>
          <w:tcPr>
            <w:tcW w:type="dxa" w:w="1750"/>
            <w:shd w:fill="F2F2F2" w:val="clear"/>
            <w:tcMar>
              <w:top w:type="dxa" w:w="80"/>
              <w:left w:type="dxa" w:w="100"/>
              <w:bottom w:type="dxa" w:w="80"/>
              <w:right w:type="dxa" w:w="100"/>
            </w:tcMar>
          </w:tcPr>
          <w:p>
            <w:r>
              <w:rPr>
                <w:b w:val="false"/>
                <w:bCs w:val="false"/>
                <w:color w:val="000000"/>
                <w:sz w:val="20"/>
                <w:szCs w:val="20"/>
              </w:rPr>
              <w:t xml:space="preserve">Escritura (ensayo), corrección con IA + evaluadores humanos</w:t>
            </w:r>
          </w:p>
        </w:tc>
        <w:tc>
          <w:tcPr>
            <w:tcW w:type="dxa" w:w="2340"/>
            <w:shd w:fill="F2F2F2" w:val="clear"/>
            <w:tcMar>
              <w:top w:type="dxa" w:w="80"/>
              <w:left w:type="dxa" w:w="100"/>
              <w:bottom w:type="dxa" w:w="80"/>
              <w:right w:type="dxa" w:w="100"/>
            </w:tcMar>
          </w:tcPr>
          <w:p>
            <w:r>
              <w:rPr>
                <w:b w:val="false"/>
                <w:bCs w:val="false"/>
                <w:color w:val="000000"/>
                <w:sz w:val="20"/>
                <w:szCs w:val="20"/>
              </w:rPr>
              <w:t xml:space="preserve">Primera aplicación: agosto de 2025 — primera vez que el país evalúa escritura en inglés a esta escala</w:t>
            </w:r>
          </w:p>
        </w:tc>
      </w:tr>
    </w:tbl>
    <w:p>
      <w:pPr>
        <w:spacing w:after="260" w:line="276"/>
      </w:pPr>
      <w:r>
        <w:rPr>
          <w:sz w:val="22"/>
          <w:szCs w:val="22"/>
        </w:rPr>
        <w:t xml:space="preserve">Sobre AWA-UCR vale la pena una precisión para el taller: su propio director, Allen Quesada Pacheco (Escuela de Lenguas Modernas, UCR), la presentó explícitamente en agosto de 2025 como un instrumento que </w:t>
      </w:r>
      <w:r>
        <w:rPr>
          <w:i/>
          <w:iCs/>
          <w:sz w:val="22"/>
          <w:szCs w:val="22"/>
        </w:rPr>
        <w:t xml:space="preserve">"se adelanta, incluso, a la implementación de evaluaciones de escritura en inglés que se aplicarán por primera vez [...] por parte de las Pruebas PISA"</w:t>
      </w:r>
      <w:r>
        <w:rPr>
          <w:sz w:val="22"/>
          <w:szCs w:val="22"/>
        </w:rPr>
        <w:t xml:space="preserve"> — es decir, Costa Rica ya estaba evaluando escritura en inglés con apoyo de IA antes de que PISA lo hiciera a nivel global, lo cual es un dato de posicionamiento útil y verificable para la audiencia docente.</w:t>
      </w:r>
    </w:p>
    <w:p>
      <w:pPr>
        <w:pStyle w:val="Heading1"/>
        <w:spacing w:after="160" w:before="360"/>
      </w:pPr>
      <w:r>
        <w:rPr>
          <w:b/>
          <w:bCs/>
          <w:color w:val="1F4E78"/>
          <w:sz w:val="28"/>
          <w:szCs w:val="28"/>
        </w:rPr>
        <w:t xml:space="preserve">4. Implicaciones para el diseño del Bloque 1</w:t>
      </w:r>
    </w:p>
    <w:p>
      <w:pPr>
        <w:pStyle w:val="ListParagraph"/>
        <w:numPr>
          <w:ilvl w:val="0"/>
          <w:numId w:val="1"/>
        </w:numPr>
        <w:spacing w:after="100" w:line="276"/>
      </w:pPr>
      <w:r>
        <w:rPr>
          <w:b/>
          <w:bCs/>
          <w:sz w:val="22"/>
          <w:szCs w:val="22"/>
        </w:rPr>
        <w:t xml:space="preserve">Evitar: </w:t>
      </w:r>
      <w:r>
        <w:rPr>
          <w:sz w:val="22"/>
          <w:szCs w:val="22"/>
        </w:rPr>
        <w:t xml:space="preserve">presentar "resultados de Costa Rica en inglés-PISA" o dar a entender que existen. Con una audiencia de 246 docentes de inglés que probablemente conocen PISA por su reputación mediática, afirmar puntajes inexistentes es un riesgo de credibilidad alto y fácilmente verificable por la propia audiencia.</w:t>
      </w:r>
    </w:p>
    <w:p>
      <w:pPr>
        <w:pStyle w:val="ListParagraph"/>
        <w:numPr>
          <w:ilvl w:val="0"/>
          <w:numId w:val="1"/>
        </w:numPr>
        <w:spacing w:after="100" w:line="276"/>
      </w:pPr>
      <w:r>
        <w:rPr>
          <w:b/>
          <w:bCs/>
          <w:sz w:val="22"/>
          <w:szCs w:val="22"/>
        </w:rPr>
        <w:t xml:space="preserve">Sí usar: </w:t>
      </w:r>
      <w:r>
        <w:rPr>
          <w:sz w:val="22"/>
          <w:szCs w:val="22"/>
        </w:rPr>
        <w:t xml:space="preserve">el dato de IA generativa (50.06 % frente a 45.52 %) como la pieza de evidencia PISA 2025 genuinamente comparable e internacional disponible para Costa Rica, enlazando directamente con el objetivo específico 2.1 del diseño metodológico del taller ("distinguir con evidencia qué tareas docentes la IA generativa automatiza con solvencia").</w:t>
      </w:r>
    </w:p>
    <w:p>
      <w:pPr>
        <w:pStyle w:val="ListParagraph"/>
        <w:numPr>
          <w:ilvl w:val="0"/>
          <w:numId w:val="1"/>
        </w:numPr>
        <w:spacing w:after="100" w:line="276"/>
      </w:pPr>
      <w:r>
        <w:rPr>
          <w:b/>
          <w:bCs/>
          <w:sz w:val="22"/>
          <w:szCs w:val="22"/>
        </w:rPr>
        <w:t xml:space="preserve">Sí usar: </w:t>
      </w:r>
      <w:r>
        <w:rPr>
          <w:sz w:val="22"/>
          <w:szCs w:val="22"/>
        </w:rPr>
        <w:t xml:space="preserve">el ecosistema nacional (PNELE / PELEx / TEYL / AWA-UCR) como la base empírica real y más granular sobre el estado del inglés en Costa Rica — y AWA-UCR en particular como gancho pedagógico, porque su modelo de corrección híbrida (IA + evaluador humano) es exactamente el mismo principio de "verificación crítica de resultados" que estructura el ciclo de práctica del taller (encargo → instrucción → salida → verificación → adaptación).</w:t>
      </w:r>
    </w:p>
    <w:p>
      <w:pPr>
        <w:pStyle w:val="ListParagraph"/>
        <w:numPr>
          <w:ilvl w:val="0"/>
          <w:numId w:val="1"/>
        </w:numPr>
        <w:spacing w:after="100" w:line="276"/>
      </w:pPr>
      <w:r>
        <w:rPr>
          <w:b/>
          <w:bCs/>
          <w:sz w:val="22"/>
          <w:szCs w:val="22"/>
        </w:rPr>
        <w:t xml:space="preserve">Para la evidencia internacional general sobre IA y aprendizaje de inglés fuera del aula </w:t>
      </w:r>
      <w:r>
        <w:rPr>
          <w:sz w:val="22"/>
          <w:szCs w:val="22"/>
        </w:rPr>
        <w:t xml:space="preserve">(objetivo 2.1, dónde hay ganancia documentada y dónde hay riesgo), a falta todavía de resultados FLA, la OCDE ya publicó en 2023-2024 estudios de caso cualitativos sobre exposición a inglés fuera de la escuela en cinco países europeos (Finlandia, Grecia, Israel, Países Bajos, Portugal), con hallazgos utilizables con cautela: mayor exposición informal se asocia con ganancias percibidas en vocabulario, comprensión y motivación, pero también con sobreestimación de la propia competencia por parte del estudiantado.</w:t>
      </w:r>
    </w:p>
    <w:p>
      <w:pPr>
        <w:pStyle w:val="Heading1"/>
        <w:spacing w:after="160" w:before="360"/>
      </w:pPr>
      <w:r>
        <w:rPr>
          <w:b/>
          <w:bCs/>
          <w:color w:val="1F4E78"/>
          <w:sz w:val="28"/>
          <w:szCs w:val="28"/>
        </w:rPr>
        <w:t xml:space="preserve">5. Fuentes y trazabilidad</w:t>
      </w:r>
    </w:p>
    <w:p>
      <w:pPr>
        <w:pStyle w:val="ListParagraph"/>
        <w:numPr>
          <w:ilvl w:val="0"/>
          <w:numId w:val="1"/>
        </w:numPr>
        <w:spacing w:after="100" w:line="276"/>
      </w:pPr>
      <w:r>
        <w:rPr>
          <w:sz w:val="22"/>
          <w:szCs w:val="22"/>
        </w:rPr>
        <w:t xml:space="preserve">OECD, PISA 2025 Assessment and Analytical Framework (mayo 2026), DOI 10.1787/86c36975-en — confirma la introducción del FLA-inglés.</w:t>
      </w:r>
    </w:p>
    <w:p>
      <w:pPr>
        <w:pStyle w:val="ListParagraph"/>
        <w:numPr>
          <w:ilvl w:val="0"/>
          <w:numId w:val="1"/>
        </w:numPr>
        <w:spacing w:after="100" w:line="276"/>
      </w:pPr>
      <w:r>
        <w:rPr>
          <w:sz w:val="22"/>
          <w:szCs w:val="22"/>
        </w:rPr>
        <w:t xml:space="preserve">OECD, PISA Frequently Asked Questions (actualizado 2026) — confirma el carácter opcional del FLA y que sus resultados se detallan en PISA 2025 Results (Volumen I).</w:t>
      </w:r>
    </w:p>
    <w:p>
      <w:pPr>
        <w:pStyle w:val="ListParagraph"/>
        <w:numPr>
          <w:ilvl w:val="0"/>
          <w:numId w:val="1"/>
        </w:numPr>
        <w:spacing w:after="100" w:line="276"/>
      </w:pPr>
      <w:r>
        <w:rPr>
          <w:sz w:val="22"/>
          <w:szCs w:val="22"/>
        </w:rPr>
        <w:t xml:space="preserve">OECD / Cambridge Assessment English, PISA 2025 Foreign Language Assessment Framework — confirma el desarrollo con Cambridge Assessment English y el antecedente de 14 países en el estudio ESLC 2012.</w:t>
      </w:r>
    </w:p>
    <w:p>
      <w:pPr>
        <w:pStyle w:val="ListParagraph"/>
        <w:numPr>
          <w:ilvl w:val="0"/>
          <w:numId w:val="1"/>
        </w:numPr>
        <w:spacing w:after="100" w:line="276"/>
      </w:pPr>
      <w:r>
        <w:rPr>
          <w:sz w:val="22"/>
          <w:szCs w:val="22"/>
        </w:rPr>
        <w:t xml:space="preserve">Cambridge University Press &amp; Assessment, "What the PISA Foreign Language Assessment means for English language education" (2025) — cifra de 21 países y economías participantes.</w:t>
      </w:r>
    </w:p>
    <w:p>
      <w:pPr>
        <w:pStyle w:val="ListParagraph"/>
        <w:numPr>
          <w:ilvl w:val="0"/>
          <w:numId w:val="1"/>
        </w:numPr>
        <w:spacing w:after="100" w:line="276"/>
      </w:pPr>
      <w:r>
        <w:rPr>
          <w:sz w:val="22"/>
          <w:szCs w:val="22"/>
        </w:rPr>
        <w:t xml:space="preserve">European School Education Platform (Comisión Europea) — confirma cofinanciamiento y participación de 16 Estados miembros de la UE.</w:t>
      </w:r>
    </w:p>
    <w:p>
      <w:pPr>
        <w:pStyle w:val="ListParagraph"/>
        <w:numPr>
          <w:ilvl w:val="0"/>
          <w:numId w:val="1"/>
        </w:numPr>
        <w:spacing w:after="100" w:line="276"/>
      </w:pPr>
      <w:r>
        <w:rPr>
          <w:sz w:val="22"/>
          <w:szCs w:val="22"/>
        </w:rPr>
        <w:t xml:space="preserve">Ministerio de Educación Pública de Costa Rica, "MEP participa en la aplicación de pruebas PISA 2025" (mayo de 2025) — enumera las cuatro áreas evaluadas en el país, sin inglés.</w:t>
      </w:r>
    </w:p>
    <w:p>
      <w:pPr>
        <w:pStyle w:val="ListParagraph"/>
        <w:numPr>
          <w:ilvl w:val="0"/>
          <w:numId w:val="1"/>
        </w:numPr>
        <w:spacing w:after="100" w:line="276"/>
      </w:pPr>
      <w:r>
        <w:rPr>
          <w:sz w:val="22"/>
          <w:szCs w:val="22"/>
        </w:rPr>
        <w:t xml:space="preserve">Universidad de Costa Rica / MEP, "La UCR y el MEP aplican una innovadora prueba para evaluar la escritura en inglés" (4 de agosto de 2025) — AWA-UCR, declaración de Allen Quesada Pacheco.</w:t>
      </w:r>
    </w:p>
    <w:p>
      <w:pPr>
        <w:pStyle w:val="ListParagraph"/>
        <w:numPr>
          <w:ilvl w:val="0"/>
          <w:numId w:val="1"/>
        </w:numPr>
        <w:spacing w:after="100" w:line="276"/>
      </w:pPr>
      <w:r>
        <w:rPr>
          <w:sz w:val="22"/>
          <w:szCs w:val="22"/>
        </w:rPr>
        <w:t xml:space="preserve">Ministerio de Educación Pública de Costa Rica, portal de palabras clave "inglés" e "idiomas" (PNELE, PELEx, TEYL) — cobertura, fechas de aplicación y poblaciones.</w:t>
      </w:r>
    </w:p>
    <w:p>
      <w:pPr>
        <w:pStyle w:val="ListParagraph"/>
        <w:numPr>
          <w:ilvl w:val="0"/>
          <w:numId w:val="1"/>
        </w:numPr>
        <w:spacing w:after="100" w:line="276"/>
      </w:pPr>
      <w:r>
        <w:rPr>
          <w:i/>
          <w:iCs/>
          <w:sz w:val="22"/>
          <w:szCs w:val="22"/>
        </w:rPr>
        <w:t xml:space="preserve">Auditoría externa del proyecto PISA (2026-09-08)</w:t>
      </w:r>
      <w:r>
        <w:rPr>
          <w:sz w:val="22"/>
          <w:szCs w:val="22"/>
        </w:rPr>
        <w:t xml:space="preserve"> — cifras de resolución computacional de problemas (452 vs. 500) y de la Tabla I.B1.4.53 (50.06 % vs. 45.52 %), ya validadas para Costa Rica; ver memoria del proyecto, archivo </w:t>
      </w:r>
      <w:r>
        <w:rPr>
          <w:i/>
          <w:iCs/>
          <w:sz w:val="22"/>
          <w:szCs w:val="22"/>
        </w:rPr>
        <w:t xml:space="preserve">pisa-audit-2026</w:t>
      </w:r>
      <w:r>
        <w:rPr>
          <w:sz w:val="22"/>
          <w:szCs w:val="22"/>
        </w:rPr>
        <w:t xml:space="preserve">.</w:t>
      </w:r>
    </w:p>
    <w:p>
      <w:pPr>
        <w:pStyle w:val="Heading1"/>
        <w:spacing w:after="160" w:before="360"/>
      </w:pPr>
      <w:r>
        <w:rPr>
          <w:b/>
          <w:bCs/>
          <w:color w:val="1F4E78"/>
          <w:sz w:val="28"/>
          <w:szCs w:val="28"/>
        </w:rPr>
        <w:t xml:space="preserve">6. Nota metodológica</w:t>
      </w:r>
    </w:p>
    <w:p>
      <w:pPr>
        <w:spacing w:after="160" w:line="276"/>
      </w:pPr>
      <w:r>
        <w:rPr>
          <w:sz w:val="22"/>
          <w:szCs w:val="22"/>
        </w:rPr>
        <w:t xml:space="preserve">Este informe sigue las mismas restricciones del proyecto "Análisis PISA 2000-2025": solo se reportan datos reales u oficiales, con la fuente indicada en cada caso; el análisis es descriptivo, no causal; y toda afirmación con incertidumbre epistémica relevante —como la no participación de Costa Rica en el FLA-inglés 2025— se documenta explícitamente como tal, incluyendo el paso de verificación pendiente, en lugar de presentarla como un hecho cerrado.</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2026-09-16T19:52:18.522Z</dcterms:created>
  <dcterms:modified xsi:type="dcterms:W3CDTF">2026-09-16T19:52:18.522Z</dcterms:modified>
</cp:coreProperties>
</file>

<file path=docProps/custom.xml><?xml version="1.0" encoding="utf-8"?>
<Properties xmlns="http://schemas.openxmlformats.org/officeDocument/2006/custom-properties" xmlns:vt="http://schemas.openxmlformats.org/officeDocument/2006/docPropsVTypes"/>
</file>