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6755036F" ns2:textId="77777777" w:rsidR="003F7691" w:rsidRDefault="0071494F">
      <w:pPr>
        <w:pStyle w:val="Title"/>
        <w:rPr>
          <w:rFonts w:ascii="Arial" w:hAnsi="Arial" w:cs="Arial"/>
          <w:b/>
          <w:bCs/>
          <w:sz w:val="28"/>
          <w:szCs w:val="28"/>
        </w:rPr>
      </w:pPr>
      <w:r w:rsidRPr="00C97AAB">
        <w:rPr>
          <w:rFonts w:ascii="Arial" w:hAnsi="Arial" w:cs="Arial"/>
          <w:b/>
          <w:bCs/>
          <w:sz w:val="28"/>
          <w:szCs w:val="28"/>
        </w:rPr>
        <w:t>B305 Understanding the IT Environment</w:t>
      </w:r>
    </w:p>
    <w:p ns2:paraId="0198B3D7" ns2:textId="24D4C0DE" w:rsidR="00BB69AB" w:rsidRDefault="00BB69AB" w:rsidP="00BB69AB">
      <w:pPr>
        <w:spacing w:after="0"/>
        <w:rPr>
          <w:rFonts w:ascii="Arial" w:hAnsi="Arial" w:cs="Arial"/>
          <w:sz w:val="20"/>
          <w:szCs w:val="20"/>
        </w:rPr>
      </w:pPr>
      <w:r>
        <w:rPr>
          <w:rFonts w:ascii="Arial" w:hAnsi="Arial" w:cs="Arial"/>
          <w:sz w:val="20"/>
          <w:szCs w:val="20"/>
        </w:rPr>
        <w:t xml:space="preserve">Client name: </w:t>
      </w:r>
      <w:r w:rsidR="006C21FC">
        <w:rPr>
          <w:rFonts w:ascii="Arial" w:hAnsi="Arial" w:cs="Arial"/>
          <w:sz w:val="20"/>
          <w:szCs w:val="20"/>
        </w:rPr>
        <w:t>AGM Technology (BVI) Inc</w:t>
      </w:r>
    </w:p>
    <w:p ns2:paraId="0333D6FB" ns2:textId="3464E058" w:rsidR="00BB69AB" w:rsidRDefault="00BB69AB" w:rsidP="00BB69AB">
      <w:pPr>
        <w:spacing w:after="0"/>
        <w:rPr>
          <w:rFonts w:ascii="Arial" w:hAnsi="Arial" w:cs="Arial"/>
          <w:sz w:val="20"/>
          <w:szCs w:val="20"/>
        </w:rPr>
      </w:pPr>
      <w:r>
        <w:rPr>
          <w:rFonts w:ascii="Arial" w:hAnsi="Arial" w:cs="Arial"/>
          <w:sz w:val="20"/>
          <w:szCs w:val="20"/>
        </w:rPr>
        <w:t>Reporting period: 31 December 2025</w:t>
      </w:r>
    </w:p>
    <w:p ns2:paraId="1DB9A315" ns2:textId="77777777" w:rsidR="00BB69AB" w:rsidRPr="00BB69AB" w:rsidRDefault="00BB69AB" w:rsidP="00BB69AB">
      <w:pPr>
        <w:rPr>
          <w:rFonts w:ascii="Arial" w:hAnsi="Arial" w:cs="Arial"/>
          <w:sz w:val="20"/>
          <w:szCs w:val="20"/>
        </w:rPr>
      </w:pPr>
    </w:p>
    <w:tbl>
      <w:tblPr>
        <w:tblW w:w="0" w:type="auto"/>
        <w:tblLook w:val="04A0" w:firstRow="1" w:lastRow="0" w:firstColumn="1" w:lastColumn="0" w:noHBand="0" w:noVBand="1"/>
      </w:tblPr>
      <w:tblGrid>
        <w:gridCol w:w="2880"/>
        <w:gridCol w:w="2880"/>
        <w:gridCol w:w="2880"/>
      </w:tblGrid>
      <w:tr w:rsidR="003F7691" w:rsidRPr="00C97AAB" ns2:paraId="6F74CE71" ns2:textId="77777777">
        <w:tc>
          <w:tcPr>
            <w:tcW w:w="2880" w:type="dxa"/>
          </w:tcPr>
          <w:p ns2:paraId="4371B7BA" ns2:textId="77777777" w:rsidR="003F7691" w:rsidRPr="00C97AAB" w:rsidRDefault="0071494F">
            <w:pPr>
              <w:rPr>
                <w:rFonts w:ascii="Arial" w:hAnsi="Arial" w:cs="Arial"/>
                <w:b/>
                <w:bCs/>
                <w:sz w:val="18"/>
                <w:szCs w:val="18"/>
              </w:rPr>
            </w:pPr>
            <w:r w:rsidRPr="00C97AAB">
              <w:rPr>
                <w:rFonts w:ascii="Arial" w:hAnsi="Arial" w:cs="Arial"/>
                <w:b/>
                <w:bCs/>
                <w:sz w:val="18"/>
                <w:szCs w:val="18"/>
              </w:rPr>
              <w:t>Section</w:t>
            </w:r>
          </w:p>
        </w:tc>
        <w:tc>
          <w:tcPr>
            <w:tcW w:w="2880" w:type="dxa"/>
          </w:tcPr>
          <w:p ns2:paraId="7CA244D1" ns2:textId="77777777" w:rsidR="003F7691" w:rsidRPr="00C97AAB" w:rsidRDefault="0071494F">
            <w:pPr>
              <w:rPr>
                <w:rFonts w:ascii="Arial" w:hAnsi="Arial" w:cs="Arial"/>
                <w:b/>
                <w:bCs/>
                <w:sz w:val="18"/>
                <w:szCs w:val="18"/>
              </w:rPr>
            </w:pPr>
            <w:r w:rsidRPr="00C97AAB">
              <w:rPr>
                <w:rFonts w:ascii="Arial" w:hAnsi="Arial" w:cs="Arial"/>
                <w:b/>
                <w:bCs/>
                <w:sz w:val="18"/>
                <w:szCs w:val="18"/>
              </w:rPr>
              <w:t>Description</w:t>
            </w:r>
          </w:p>
        </w:tc>
        <w:tc>
          <w:tcPr>
            <w:tcW w:w="2880" w:type="dxa"/>
          </w:tcPr>
          <w:p ns2:paraId="7836F57E" ns2:textId="77777777" w:rsidR="003F7691" w:rsidRPr="00C97AAB" w:rsidRDefault="0071494F">
            <w:pPr>
              <w:rPr>
                <w:rFonts w:ascii="Arial" w:hAnsi="Arial" w:cs="Arial"/>
                <w:b/>
                <w:bCs/>
                <w:sz w:val="18"/>
                <w:szCs w:val="18"/>
              </w:rPr>
            </w:pPr>
            <w:r w:rsidRPr="00C97AAB">
              <w:rPr>
                <w:rFonts w:ascii="Arial" w:hAnsi="Arial" w:cs="Arial"/>
                <w:b/>
                <w:bCs/>
                <w:sz w:val="18"/>
                <w:szCs w:val="18"/>
              </w:rPr>
              <w:t>Client Response</w:t>
            </w:r>
          </w:p>
        </w:tc>
      </w:tr>
      <w:tr w:rsidR="003F7691" w:rsidRPr="00C97AAB" ns2:paraId="4BC349A9" ns2:textId="77777777">
        <w:tc>
          <w:tcPr>
            <w:tcW w:w="2880" w:type="dxa"/>
          </w:tcPr>
          <w:p ns2:paraId="6F20C600" ns2:textId="77777777" w:rsidR="003F7691" w:rsidRPr="00C97AAB" w:rsidRDefault="0071494F">
            <w:pPr>
              <w:rPr>
                <w:rFonts w:ascii="Arial" w:hAnsi="Arial" w:cs="Arial"/>
                <w:sz w:val="18"/>
                <w:szCs w:val="18"/>
              </w:rPr>
            </w:pPr>
            <w:r w:rsidRPr="00C97AAB">
              <w:rPr>
                <w:rFonts w:ascii="Arial" w:hAnsi="Arial" w:cs="Arial"/>
                <w:sz w:val="18"/>
                <w:szCs w:val="18"/>
              </w:rPr>
              <w:t>1. Design</w:t>
            </w:r>
          </w:p>
        </w:tc>
        <w:tc>
          <w:tcPr>
            <w:tcW w:w="2880" w:type="dxa"/>
          </w:tcPr>
          <w:p ns2:paraId="5758DF11" ns2:textId="77777777" w:rsidR="003F7691" w:rsidRPr="00C97AAB" w:rsidRDefault="0071494F">
            <w:pPr>
              <w:rPr>
                <w:rFonts w:ascii="Arial" w:hAnsi="Arial" w:cs="Arial"/>
                <w:sz w:val="18"/>
                <w:szCs w:val="18"/>
              </w:rPr>
            </w:pPr>
            <w:r w:rsidRPr="00C97AAB">
              <w:rPr>
                <w:rFonts w:ascii="Arial" w:hAnsi="Arial" w:cs="Arial"/>
                <w:sz w:val="18"/>
                <w:szCs w:val="18"/>
              </w:rPr>
              <w:t>Describe how the network components are designed/deployed.</w:t>
            </w:r>
          </w:p>
        </w:tc>
        <w:tc>
          <w:p>
            <w:r>
              <w:t>Network and application components are deployed in a hybrid model combining local endpoint devices and cloud-hosted platforms. Core data processing uses controlled internal workflows with automated monitoring and exception logging. Cloud environments are used for collaboration, analytics, storage and reporting, with access restricted to authorised users and monitored controls.</w:t>
            </w:r>
          </w:p>
        </w:tc>
      </w:tr>
      <w:tr w:rsidR="003F7691" w:rsidRPr="00C97AAB" ns2:paraId="50172F07" ns2:textId="77777777">
        <w:tc>
          <w:tcPr>
            <w:tcW w:w="2880" w:type="dxa"/>
          </w:tcPr>
          <w:p ns2:paraId="1DEDA38D" ns2:textId="77777777" w:rsidR="003F7691" w:rsidRPr="00C97AAB" w:rsidRDefault="0071494F">
            <w:pPr>
              <w:rPr>
                <w:rFonts w:ascii="Arial" w:hAnsi="Arial" w:cs="Arial"/>
                <w:sz w:val="18"/>
                <w:szCs w:val="18"/>
              </w:rPr>
            </w:pPr>
            <w:r w:rsidRPr="00C97AAB">
              <w:rPr>
                <w:rFonts w:ascii="Arial" w:hAnsi="Arial" w:cs="Arial"/>
                <w:sz w:val="18"/>
                <w:szCs w:val="18"/>
              </w:rPr>
              <w:t>2. Hardware</w:t>
            </w:r>
          </w:p>
        </w:tc>
        <w:tc>
          <w:tcPr>
            <w:tcW w:w="2880" w:type="dxa"/>
          </w:tcPr>
          <w:p ns2:paraId="40A812D1" ns2:textId="77777777" w:rsidR="003F7691" w:rsidRPr="00C97AAB" w:rsidRDefault="0071494F">
            <w:pPr>
              <w:rPr>
                <w:rFonts w:ascii="Arial" w:hAnsi="Arial" w:cs="Arial"/>
                <w:sz w:val="18"/>
                <w:szCs w:val="18"/>
              </w:rPr>
            </w:pPr>
            <w:r w:rsidRPr="00C97AAB">
              <w:rPr>
                <w:rFonts w:ascii="Arial" w:hAnsi="Arial" w:cs="Arial"/>
                <w:sz w:val="18"/>
                <w:szCs w:val="18"/>
              </w:rPr>
              <w:t>Describe hardware used in the operations.</w:t>
            </w:r>
          </w:p>
        </w:tc>
        <w:tc>
          <w:p>
            <w:r>
              <w:t>Operations use Mac Mini (M4, 2024), MacBook Air M3 13", and Mac Mini (M2, 2022) workstations located at the main office.</w:t>
            </w:r>
          </w:p>
        </w:tc>
      </w:tr>
      <w:tr w:rsidR="003F7691" w:rsidRPr="00C97AAB" ns2:paraId="6A6FEB66" ns2:textId="77777777">
        <w:tc>
          <w:tcPr>
            <w:tcW w:w="2880" w:type="dxa"/>
          </w:tcPr>
          <w:p ns2:paraId="2474115C" ns2:textId="77777777" w:rsidR="003F7691" w:rsidRPr="00C97AAB" w:rsidRDefault="0071494F">
            <w:pPr>
              <w:rPr>
                <w:rFonts w:ascii="Arial" w:hAnsi="Arial" w:cs="Arial"/>
                <w:sz w:val="18"/>
                <w:szCs w:val="18"/>
              </w:rPr>
            </w:pPr>
            <w:r w:rsidRPr="00C97AAB">
              <w:rPr>
                <w:rFonts w:ascii="Arial" w:hAnsi="Arial" w:cs="Arial"/>
                <w:sz w:val="18"/>
                <w:szCs w:val="18"/>
              </w:rPr>
              <w:t>3. Third party service providers</w:t>
            </w:r>
          </w:p>
        </w:tc>
        <w:tc>
          <w:tcPr>
            <w:tcW w:w="2880" w:type="dxa"/>
          </w:tcPr>
          <w:p ns2:paraId="13CACCE4" ns2:textId="77777777" w:rsidR="003F7691" w:rsidRPr="00C97AAB" w:rsidRDefault="0071494F">
            <w:pPr>
              <w:rPr>
                <w:rFonts w:ascii="Arial" w:hAnsi="Arial" w:cs="Arial"/>
                <w:sz w:val="18"/>
                <w:szCs w:val="18"/>
              </w:rPr>
            </w:pPr>
            <w:r w:rsidRPr="00C97AAB">
              <w:rPr>
                <w:rFonts w:ascii="Arial" w:hAnsi="Arial" w:cs="Arial"/>
                <w:sz w:val="18"/>
                <w:szCs w:val="18"/>
              </w:rPr>
              <w:t>Describe any third party service providers and the services outsourced.</w:t>
            </w:r>
          </w:p>
        </w:tc>
        <w:tc>
          <w:p>
            <w:r>
              <w:t>Yes. Service organisations are used. Key third-party providers include Google (Google Workspace / Google Cloud) and Microsoft (Microsoft 365 and Power BI on Azure). Outsourced services include cloud hosting, collaboration tooling, analytics services, and managed cloud data storage.</w:t>
            </w:r>
          </w:p>
        </w:tc>
      </w:tr>
      <w:tr w:rsidR="003F7691" w:rsidRPr="00C97AAB" ns2:paraId="580107D6" ns2:textId="77777777">
        <w:tc>
          <w:tcPr>
            <w:tcW w:w="2880" w:type="dxa"/>
          </w:tcPr>
          <w:p ns2:paraId="62A68BC8" ns2:textId="77777777" w:rsidR="003F7691" w:rsidRPr="00C97AAB" w:rsidRDefault="0071494F">
            <w:pPr>
              <w:rPr>
                <w:rFonts w:ascii="Arial" w:hAnsi="Arial" w:cs="Arial"/>
                <w:sz w:val="18"/>
                <w:szCs w:val="18"/>
              </w:rPr>
            </w:pPr>
            <w:r w:rsidRPr="00C97AAB">
              <w:rPr>
                <w:rFonts w:ascii="Arial" w:hAnsi="Arial" w:cs="Arial"/>
                <w:sz w:val="18"/>
                <w:szCs w:val="18"/>
              </w:rPr>
              <w:t>4. Software</w:t>
            </w:r>
          </w:p>
        </w:tc>
        <w:tc>
          <w:tcPr>
            <w:tcW w:w="2880" w:type="dxa"/>
          </w:tcPr>
          <w:p ns2:paraId="2A4D6ECB" ns2:textId="77777777" w:rsidR="003F7691" w:rsidRPr="00C97AAB" w:rsidRDefault="0071494F">
            <w:pPr>
              <w:rPr>
                <w:rFonts w:ascii="Arial" w:hAnsi="Arial" w:cs="Arial"/>
                <w:sz w:val="18"/>
                <w:szCs w:val="18"/>
              </w:rPr>
            </w:pPr>
            <w:r w:rsidRPr="00C97AAB">
              <w:rPr>
                <w:rFonts w:ascii="Arial" w:hAnsi="Arial" w:cs="Arial"/>
                <w:sz w:val="18"/>
                <w:szCs w:val="18"/>
              </w:rPr>
              <w:t>Describe the operating system and applications used by the entity and the related transaction classes affected.</w:t>
            </w:r>
          </w:p>
        </w:tc>
        <w:tc>
          <w:p>
            <w:r>
              <w:t>Applications include Python (custom-developed processing scripts), Microsoft Excel (Microsoft 365), Power BI Service, and Google Workspace. These support revenues, purchases, payroll, financial reporting, inventory and investments, including supporting document and reporting workflows.</w:t>
            </w:r>
          </w:p>
        </w:tc>
      </w:tr>
      <w:tr w:rsidR="003F7691" w:rsidRPr="00C97AAB" ns2:paraId="2743AA0B" ns2:textId="77777777">
        <w:tc>
          <w:tcPr>
            <w:tcW w:w="2880" w:type="dxa"/>
          </w:tcPr>
          <w:p ns2:paraId="3A968A5D" ns2:textId="77777777" w:rsidR="003F7691" w:rsidRPr="00C97AAB" w:rsidRDefault="0071494F">
            <w:pPr>
              <w:rPr>
                <w:rFonts w:ascii="Arial" w:hAnsi="Arial" w:cs="Arial"/>
                <w:sz w:val="18"/>
                <w:szCs w:val="18"/>
              </w:rPr>
            </w:pPr>
            <w:r w:rsidRPr="00C97AAB">
              <w:rPr>
                <w:rFonts w:ascii="Arial" w:hAnsi="Arial" w:cs="Arial"/>
                <w:sz w:val="18"/>
                <w:szCs w:val="18"/>
              </w:rPr>
              <w:t>5. Supplier support</w:t>
            </w:r>
          </w:p>
        </w:tc>
        <w:tc>
          <w:tcPr>
            <w:tcW w:w="2880" w:type="dxa"/>
          </w:tcPr>
          <w:p ns2:paraId="3C46E1A9" ns2:textId="77777777" w:rsidR="003F7691" w:rsidRPr="00C97AAB" w:rsidRDefault="0071494F">
            <w:pPr>
              <w:rPr>
                <w:rFonts w:ascii="Arial" w:hAnsi="Arial" w:cs="Arial"/>
                <w:sz w:val="18"/>
                <w:szCs w:val="18"/>
              </w:rPr>
            </w:pPr>
            <w:r w:rsidRPr="00C97AAB">
              <w:rPr>
                <w:rFonts w:ascii="Arial" w:hAnsi="Arial" w:cs="Arial"/>
                <w:sz w:val="18"/>
                <w:szCs w:val="18"/>
              </w:rPr>
              <w:t>Describe the supplier support for software applications used by the entity and terms of any agreements.</w:t>
            </w:r>
          </w:p>
        </w:tc>
        <w:tc>
          <w:p>
            <w:r>
              <w:t>Supplier support is provided through standard vendor support models for Microsoft and Google SaaS platforms, combined with internally managed support for custom Python-based processes and integrations. Licensing and usage compliance controls are in place.</w:t>
            </w:r>
          </w:p>
        </w:tc>
      </w:tr>
      <w:tr w:rsidR="003F7691" w:rsidRPr="00C97AAB" ns2:paraId="268A3654" ns2:textId="77777777">
        <w:tc>
          <w:tcPr>
            <w:tcW w:w="2880" w:type="dxa"/>
          </w:tcPr>
          <w:p ns2:paraId="69DF2AC1" ns2:textId="77777777" w:rsidR="003F7691" w:rsidRPr="00C97AAB" w:rsidRDefault="0071494F">
            <w:pPr>
              <w:rPr>
                <w:rFonts w:ascii="Arial" w:hAnsi="Arial" w:cs="Arial"/>
                <w:sz w:val="18"/>
                <w:szCs w:val="18"/>
              </w:rPr>
            </w:pPr>
            <w:r w:rsidRPr="00C97AAB">
              <w:rPr>
                <w:rFonts w:ascii="Arial" w:hAnsi="Arial" w:cs="Arial"/>
                <w:sz w:val="18"/>
                <w:szCs w:val="18"/>
              </w:rPr>
              <w:t>6. IT Governance</w:t>
            </w:r>
          </w:p>
        </w:tc>
        <w:tc>
          <w:tcPr>
            <w:tcW w:w="2880" w:type="dxa"/>
          </w:tcPr>
          <w:p ns2:paraId="3178283F" ns2:textId="77777777" w:rsidR="003F7691" w:rsidRPr="00C97AAB" w:rsidRDefault="0071494F">
            <w:pPr>
              <w:rPr>
                <w:rFonts w:ascii="Arial" w:hAnsi="Arial" w:cs="Arial"/>
                <w:sz w:val="18"/>
                <w:szCs w:val="18"/>
              </w:rPr>
            </w:pPr>
            <w:r w:rsidRPr="00C97AAB">
              <w:rPr>
                <w:rFonts w:ascii="Arial" w:hAnsi="Arial" w:cs="Arial"/>
                <w:sz w:val="18"/>
                <w:szCs w:val="18"/>
              </w:rPr>
              <w:t>Describe how management takes responsibility for IT.</w:t>
            </w:r>
          </w:p>
        </w:tc>
        <w:tc>
          <w:p>
            <w:r>
              <w:t>Management takes responsibility for IT governance through defined oversight of IT strategy, monitoring of control effectiveness, and periodic review of IT activities against the IT plan.</w:t>
            </w:r>
          </w:p>
        </w:tc>
      </w:tr>
      <w:tr w:rsidR="003F7691" w:rsidRPr="00C97AAB" ns2:paraId="50B591A5" ns2:textId="77777777">
        <w:tc>
          <w:tcPr>
            <w:tcW w:w="2880" w:type="dxa"/>
          </w:tcPr>
          <w:p ns2:paraId="1F530AC3" ns2:textId="77777777" w:rsidR="003F7691" w:rsidRPr="00C97AAB" w:rsidRDefault="0071494F">
            <w:pPr>
              <w:rPr>
                <w:rFonts w:ascii="Arial" w:hAnsi="Arial" w:cs="Arial"/>
                <w:sz w:val="18"/>
                <w:szCs w:val="18"/>
              </w:rPr>
            </w:pPr>
            <w:r w:rsidRPr="00C97AAB">
              <w:rPr>
                <w:rFonts w:ascii="Arial" w:hAnsi="Arial" w:cs="Arial"/>
                <w:sz w:val="18"/>
                <w:szCs w:val="18"/>
              </w:rPr>
              <w:t>7. IT administration policies and procedures</w:t>
            </w:r>
          </w:p>
        </w:tc>
        <w:tc>
          <w:tcPr>
            <w:tcW w:w="2880" w:type="dxa"/>
          </w:tcPr>
          <w:p ns2:paraId="4FD090F0" ns2:textId="77777777" w:rsidR="003F7691" w:rsidRPr="00C97AAB" w:rsidRDefault="0071494F">
            <w:pPr>
              <w:rPr>
                <w:rFonts w:ascii="Arial" w:hAnsi="Arial" w:cs="Arial"/>
                <w:sz w:val="18"/>
                <w:szCs w:val="18"/>
              </w:rPr>
            </w:pPr>
            <w:r w:rsidRPr="00C97AAB">
              <w:rPr>
                <w:rFonts w:ascii="Arial" w:hAnsi="Arial" w:cs="Arial"/>
                <w:sz w:val="18"/>
                <w:szCs w:val="18"/>
              </w:rPr>
              <w:t>Describe IT administrative policies and procedures and the communication process to users.</w:t>
            </w:r>
          </w:p>
        </w:tc>
        <w:tc>
          <w:p>
            <w:r>
              <w:t>IT administrative and security policies and procedures are documented, approved, and communicated to relevant users. Controls include documentation standards, data management controls, backup and continuity procedures, and access/security administration requirements.</w:t>
            </w:r>
          </w:p>
        </w:tc>
      </w:tr>
      <w:tr w:rsidR="003F7691" w:rsidRPr="00C97AAB" ns2:paraId="3ABE0390" ns2:textId="77777777">
        <w:tc>
          <w:tcPr>
            <w:tcW w:w="2880" w:type="dxa"/>
          </w:tcPr>
          <w:p ns2:paraId="60A14247" ns2:textId="77777777" w:rsidR="003F7691" w:rsidRPr="00C97AAB" w:rsidRDefault="0071494F">
            <w:pPr>
              <w:rPr>
                <w:rFonts w:ascii="Arial" w:hAnsi="Arial" w:cs="Arial"/>
                <w:sz w:val="18"/>
                <w:szCs w:val="18"/>
              </w:rPr>
            </w:pPr>
            <w:r w:rsidRPr="00C97AAB">
              <w:rPr>
                <w:rFonts w:ascii="Arial" w:hAnsi="Arial" w:cs="Arial"/>
                <w:sz w:val="18"/>
                <w:szCs w:val="18"/>
              </w:rPr>
              <w:t>8. Qualified personnel</w:t>
            </w:r>
          </w:p>
        </w:tc>
        <w:tc>
          <w:tcPr>
            <w:tcW w:w="2880" w:type="dxa"/>
          </w:tcPr>
          <w:p ns2:paraId="257887BE" ns2:textId="77777777" w:rsidR="003F7691" w:rsidRPr="00C97AAB" w:rsidRDefault="0071494F">
            <w:pPr>
              <w:rPr>
                <w:rFonts w:ascii="Arial" w:hAnsi="Arial" w:cs="Arial"/>
                <w:sz w:val="18"/>
                <w:szCs w:val="18"/>
              </w:rPr>
            </w:pPr>
            <w:r w:rsidRPr="00C97AAB">
              <w:rPr>
                <w:rFonts w:ascii="Arial" w:hAnsi="Arial" w:cs="Arial"/>
                <w:sz w:val="18"/>
                <w:szCs w:val="18"/>
              </w:rPr>
              <w:t>Describe IT policies and procedures to ensure personnel have the qualified skill sets and ongoing upgrading of skill sets.</w:t>
            </w:r>
          </w:p>
        </w:tc>
        <w:tc>
          <w:p>
            <w:r>
              <w:t>Procedures are in place to ensure IT personnel maintain appropriate skills, including ongoing updates of relevant technical competencies required to operate and support the IT environment.</w:t>
            </w:r>
          </w:p>
        </w:tc>
      </w:tr>
      <w:tr w:rsidR="003F7691" w:rsidRPr="00C97AAB" ns2:paraId="5361B846" ns2:textId="77777777">
        <w:tc>
          <w:tcPr>
            <w:tcW w:w="2880" w:type="dxa"/>
          </w:tcPr>
          <w:p ns2:paraId="269B7D5C" ns2:textId="77777777" w:rsidR="003F7691" w:rsidRPr="00C97AAB" w:rsidRDefault="0071494F">
            <w:pPr>
              <w:rPr>
                <w:rFonts w:ascii="Arial" w:hAnsi="Arial" w:cs="Arial"/>
                <w:sz w:val="18"/>
                <w:szCs w:val="18"/>
              </w:rPr>
            </w:pPr>
            <w:r w:rsidRPr="00C97AAB">
              <w:rPr>
                <w:rFonts w:ascii="Arial" w:hAnsi="Arial" w:cs="Arial"/>
                <w:sz w:val="18"/>
                <w:szCs w:val="18"/>
              </w:rPr>
              <w:t>9. Technical support and training</w:t>
            </w:r>
          </w:p>
        </w:tc>
        <w:tc>
          <w:tcPr>
            <w:tcW w:w="2880" w:type="dxa"/>
          </w:tcPr>
          <w:p ns2:paraId="3625084A" ns2:textId="77777777" w:rsidR="003F7691" w:rsidRPr="00C97AAB" w:rsidRDefault="0071494F">
            <w:pPr>
              <w:rPr>
                <w:rFonts w:ascii="Arial" w:hAnsi="Arial" w:cs="Arial"/>
                <w:sz w:val="18"/>
                <w:szCs w:val="18"/>
              </w:rPr>
            </w:pPr>
            <w:r w:rsidRPr="00C97AAB">
              <w:rPr>
                <w:rFonts w:ascii="Arial" w:hAnsi="Arial" w:cs="Arial"/>
                <w:sz w:val="18"/>
                <w:szCs w:val="18"/>
              </w:rPr>
              <w:t>Describe how users are trained and supported.</w:t>
            </w:r>
          </w:p>
        </w:tc>
        <w:tc>
          <w:p>
            <w:r>
              <w:t>Users are supported through controlled operating procedures, management monitoring, and established vendor-supported platforms (Microsoft and Google). Technical workflows include automated processes with monitoring and exception handling.</w:t>
            </w:r>
          </w:p>
        </w:tc>
      </w:tr>
      <w:tr w:rsidR="003F7691" w:rsidRPr="00C97AAB" ns2:paraId="56EAE29A" ns2:textId="77777777">
        <w:tc>
          <w:tcPr>
            <w:tcW w:w="2880" w:type="dxa"/>
          </w:tcPr>
          <w:p ns2:paraId="66E73629" ns2:textId="77777777" w:rsidR="003F7691" w:rsidRPr="00C97AAB" w:rsidRDefault="0071494F">
            <w:pPr>
              <w:rPr>
                <w:rFonts w:ascii="Arial" w:hAnsi="Arial" w:cs="Arial"/>
                <w:sz w:val="18"/>
                <w:szCs w:val="18"/>
              </w:rPr>
            </w:pPr>
            <w:r w:rsidRPr="00C97AAB">
              <w:rPr>
                <w:rFonts w:ascii="Arial" w:hAnsi="Arial" w:cs="Arial"/>
                <w:sz w:val="18"/>
                <w:szCs w:val="18"/>
              </w:rPr>
              <w:t>10. Change management - hardware</w:t>
            </w:r>
          </w:p>
        </w:tc>
        <w:tc>
          <w:tcPr>
            <w:tcW w:w="2880" w:type="dxa"/>
          </w:tcPr>
          <w:p ns2:paraId="4F15AFD7" ns2:textId="77777777" w:rsidR="003F7691" w:rsidRPr="00C97AAB" w:rsidRDefault="0071494F">
            <w:pPr>
              <w:rPr>
                <w:rFonts w:ascii="Arial" w:hAnsi="Arial" w:cs="Arial"/>
                <w:sz w:val="18"/>
                <w:szCs w:val="18"/>
              </w:rPr>
            </w:pPr>
            <w:r w:rsidRPr="00C97AAB">
              <w:rPr>
                <w:rFonts w:ascii="Arial" w:hAnsi="Arial" w:cs="Arial"/>
                <w:sz w:val="18"/>
                <w:szCs w:val="18"/>
              </w:rPr>
              <w:t>Describe process for managing changes to IT infrastructure.</w:t>
            </w:r>
          </w:p>
        </w:tc>
        <w:tc>
          <w:p>
            <w:r>
              <w:t>Hardware changes are managed through a formally approved and monitored change process, with documentation and testing requirements before implementation of major changes.</w:t>
            </w:r>
          </w:p>
        </w:tc>
      </w:tr>
      <w:tr w:rsidR="003F7691" w:rsidRPr="00C97AAB" ns2:paraId="4B9F7DFE" ns2:textId="77777777">
        <w:tc>
          <w:tcPr>
            <w:tcW w:w="2880" w:type="dxa"/>
          </w:tcPr>
          <w:p ns2:paraId="0C040EFB" ns2:textId="77777777" w:rsidR="003F7691" w:rsidRPr="00C97AAB" w:rsidRDefault="0071494F">
            <w:pPr>
              <w:rPr>
                <w:rFonts w:ascii="Arial" w:hAnsi="Arial" w:cs="Arial"/>
                <w:sz w:val="18"/>
                <w:szCs w:val="18"/>
              </w:rPr>
            </w:pPr>
            <w:r w:rsidRPr="00C97AAB">
              <w:rPr>
                <w:rFonts w:ascii="Arial" w:hAnsi="Arial" w:cs="Arial"/>
                <w:sz w:val="18"/>
                <w:szCs w:val="18"/>
              </w:rPr>
              <w:t>11. Change management - applications</w:t>
            </w:r>
          </w:p>
        </w:tc>
        <w:tc>
          <w:tcPr>
            <w:tcW w:w="2880" w:type="dxa"/>
          </w:tcPr>
          <w:p ns2:paraId="12BF6F47" ns2:textId="77777777" w:rsidR="003F7691" w:rsidRPr="00C97AAB" w:rsidRDefault="0071494F">
            <w:pPr>
              <w:rPr>
                <w:rFonts w:ascii="Arial" w:hAnsi="Arial" w:cs="Arial"/>
                <w:sz w:val="18"/>
                <w:szCs w:val="18"/>
              </w:rPr>
            </w:pPr>
            <w:r w:rsidRPr="00C97AAB">
              <w:rPr>
                <w:rFonts w:ascii="Arial" w:hAnsi="Arial" w:cs="Arial"/>
                <w:sz w:val="18"/>
                <w:szCs w:val="18"/>
              </w:rPr>
              <w:t>Describe process for managing changes to IT applications.</w:t>
            </w:r>
          </w:p>
        </w:tc>
        <w:tc>
          <w:p>
            <w:r>
              <w:t>Application and related system changes (programs, databases and operating systems) follow a formally approved and monitored process, including change documentation and pre-implementation testing for major changes.</w:t>
            </w:r>
          </w:p>
        </w:tc>
      </w:tr>
      <w:tr w:rsidR="003F7691" w:rsidRPr="00C97AAB" ns2:paraId="500CB096" ns2:textId="77777777">
        <w:tc>
          <w:tcPr>
            <w:tcW w:w="2880" w:type="dxa"/>
          </w:tcPr>
          <w:p ns2:paraId="40B14C38" ns2:textId="77777777" w:rsidR="003F7691" w:rsidRPr="00C97AAB" w:rsidRDefault="0071494F">
            <w:pPr>
              <w:rPr>
                <w:rFonts w:ascii="Arial" w:hAnsi="Arial" w:cs="Arial"/>
                <w:sz w:val="18"/>
                <w:szCs w:val="18"/>
              </w:rPr>
            </w:pPr>
            <w:r w:rsidRPr="00C97AAB">
              <w:rPr>
                <w:rFonts w:ascii="Arial" w:hAnsi="Arial" w:cs="Arial"/>
                <w:sz w:val="18"/>
                <w:szCs w:val="18"/>
              </w:rPr>
              <w:t>12. Logical access</w:t>
            </w:r>
          </w:p>
        </w:tc>
        <w:tc>
          <w:tcPr>
            <w:tcW w:w="2880" w:type="dxa"/>
          </w:tcPr>
          <w:p ns2:paraId="6CC5DD1A" ns2:textId="77777777" w:rsidR="003F7691" w:rsidRPr="00C97AAB" w:rsidRDefault="0071494F">
            <w:pPr>
              <w:rPr>
                <w:rFonts w:ascii="Arial" w:hAnsi="Arial" w:cs="Arial"/>
                <w:sz w:val="18"/>
                <w:szCs w:val="18"/>
              </w:rPr>
            </w:pPr>
            <w:r w:rsidRPr="00C97AAB">
              <w:rPr>
                <w:rFonts w:ascii="Arial" w:hAnsi="Arial" w:cs="Arial"/>
                <w:sz w:val="18"/>
                <w:szCs w:val="18"/>
              </w:rPr>
              <w:t>Describe policies for defining internal access.</w:t>
            </w:r>
          </w:p>
        </w:tc>
        <w:tc>
          <w:p>
            <w:r>
              <w:t>Logical access is restricted to authorised personnel. Controls include managed administrator privileges, password controls (including periodic changes and leaver controls), monitoring of access violations, and role-based restriction of program and data access.</w:t>
            </w:r>
          </w:p>
        </w:tc>
      </w:tr>
      <w:tr w:rsidR="003F7691" w:rsidRPr="00C97AAB" ns2:paraId="24ECF46F" ns2:textId="77777777">
        <w:tc>
          <w:tcPr>
            <w:tcW w:w="2880" w:type="dxa"/>
          </w:tcPr>
          <w:p ns2:paraId="11DF4E60" ns2:textId="77777777" w:rsidR="003F7691" w:rsidRPr="00C97AAB" w:rsidRDefault="0071494F">
            <w:pPr>
              <w:rPr>
                <w:rFonts w:ascii="Arial" w:hAnsi="Arial" w:cs="Arial"/>
                <w:sz w:val="18"/>
                <w:szCs w:val="18"/>
              </w:rPr>
            </w:pPr>
            <w:r w:rsidRPr="00C97AAB">
              <w:rPr>
                <w:rFonts w:ascii="Arial" w:hAnsi="Arial" w:cs="Arial"/>
                <w:sz w:val="18"/>
                <w:szCs w:val="18"/>
              </w:rPr>
              <w:t>13. External logical access</w:t>
            </w:r>
          </w:p>
        </w:tc>
        <w:tc>
          <w:tcPr>
            <w:tcW w:w="2880" w:type="dxa"/>
          </w:tcPr>
          <w:p ns2:paraId="3ECE7139" ns2:textId="77777777" w:rsidR="003F7691" w:rsidRPr="00C97AAB" w:rsidRDefault="0071494F">
            <w:pPr>
              <w:rPr>
                <w:rFonts w:ascii="Arial" w:hAnsi="Arial" w:cs="Arial"/>
                <w:sz w:val="18"/>
                <w:szCs w:val="18"/>
              </w:rPr>
            </w:pPr>
            <w:r w:rsidRPr="00C97AAB">
              <w:rPr>
                <w:rFonts w:ascii="Arial" w:hAnsi="Arial" w:cs="Arial"/>
                <w:sz w:val="18"/>
                <w:szCs w:val="18"/>
              </w:rPr>
              <w:t xml:space="preserve">Describe policies for external </w:t>
            </w:r>
            <w:r w:rsidRPr="00C97AAB">
              <w:rPr>
                <w:rFonts w:ascii="Arial" w:hAnsi="Arial" w:cs="Arial"/>
                <w:sz w:val="18"/>
                <w:szCs w:val="18"/>
              </w:rPr>
              <w:lastRenderedPageBreak/>
              <w:t>access.</w:t>
            </w:r>
          </w:p>
        </w:tc>
        <w:tc>
          <w:p>
            <w:r>
              <w:t>External logical access is controlled through authorised remote access mechanisms, including VPN, remote desktop, and approved remote access software, with monitoring and security controls applied.</w:t>
            </w:r>
          </w:p>
        </w:tc>
      </w:tr>
      <w:tr w:rsidR="003F7691" w:rsidRPr="00C97AAB" ns2:paraId="490B8713" ns2:textId="77777777">
        <w:tc>
          <w:tcPr>
            <w:tcW w:w="2880" w:type="dxa"/>
          </w:tcPr>
          <w:p ns2:paraId="316A068A" ns2:textId="77777777" w:rsidR="003F7691" w:rsidRPr="00C97AAB" w:rsidRDefault="0071494F">
            <w:pPr>
              <w:rPr>
                <w:rFonts w:ascii="Arial" w:hAnsi="Arial" w:cs="Arial"/>
                <w:sz w:val="18"/>
                <w:szCs w:val="18"/>
              </w:rPr>
            </w:pPr>
            <w:r w:rsidRPr="00C97AAB">
              <w:rPr>
                <w:rFonts w:ascii="Arial" w:hAnsi="Arial" w:cs="Arial"/>
                <w:sz w:val="18"/>
                <w:szCs w:val="18"/>
              </w:rPr>
              <w:t>14. Physical access</w:t>
            </w:r>
          </w:p>
        </w:tc>
        <w:tc>
          <w:tcPr>
            <w:tcW w:w="2880" w:type="dxa"/>
          </w:tcPr>
          <w:p ns2:paraId="4B89A929" ns2:textId="77777777" w:rsidR="003F7691" w:rsidRPr="00C97AAB" w:rsidRDefault="0071494F">
            <w:pPr>
              <w:rPr>
                <w:rFonts w:ascii="Arial" w:hAnsi="Arial" w:cs="Arial"/>
                <w:sz w:val="18"/>
                <w:szCs w:val="18"/>
              </w:rPr>
            </w:pPr>
            <w:r w:rsidRPr="00C97AAB">
              <w:rPr>
                <w:rFonts w:ascii="Arial" w:hAnsi="Arial" w:cs="Arial"/>
                <w:sz w:val="18"/>
                <w:szCs w:val="18"/>
              </w:rPr>
              <w:t>Describe physical security and access control.</w:t>
            </w:r>
          </w:p>
        </w:tc>
        <w:tc>
          <w:p>
            <w:r>
              <w:t>Physical access to computer systems is restricted to authorised personnel, with physical security controls applied to protect IT assets and processing environments.</w:t>
            </w:r>
          </w:p>
        </w:tc>
      </w:tr>
      <w:tr w:rsidR="003F7691" w:rsidRPr="00C97AAB" ns2:paraId="3639638E" ns2:textId="77777777">
        <w:tc>
          <w:tcPr>
            <w:tcW w:w="2880" w:type="dxa"/>
          </w:tcPr>
          <w:p ns2:paraId="5A49BEF0" ns2:textId="77777777" w:rsidR="003F7691" w:rsidRPr="00C97AAB" w:rsidRDefault="0071494F">
            <w:pPr>
              <w:rPr>
                <w:rFonts w:ascii="Arial" w:hAnsi="Arial" w:cs="Arial"/>
                <w:sz w:val="18"/>
                <w:szCs w:val="18"/>
              </w:rPr>
            </w:pPr>
            <w:r w:rsidRPr="00C97AAB">
              <w:rPr>
                <w:rFonts w:ascii="Arial" w:hAnsi="Arial" w:cs="Arial"/>
                <w:sz w:val="18"/>
                <w:szCs w:val="18"/>
              </w:rPr>
              <w:t>15. Business continuity / disaster recovery</w:t>
            </w:r>
          </w:p>
        </w:tc>
        <w:tc>
          <w:tcPr>
            <w:tcW w:w="2880" w:type="dxa"/>
          </w:tcPr>
          <w:p ns2:paraId="5A2EF1A0" ns2:textId="77777777" w:rsidR="003F7691" w:rsidRPr="00C97AAB" w:rsidRDefault="0071494F">
            <w:pPr>
              <w:rPr>
                <w:rFonts w:ascii="Arial" w:hAnsi="Arial" w:cs="Arial"/>
                <w:sz w:val="18"/>
                <w:szCs w:val="18"/>
              </w:rPr>
            </w:pPr>
            <w:r w:rsidRPr="00C97AAB">
              <w:rPr>
                <w:rFonts w:ascii="Arial" w:hAnsi="Arial" w:cs="Arial"/>
                <w:sz w:val="18"/>
                <w:szCs w:val="18"/>
              </w:rPr>
              <w:t>Describe business continuity plans.</w:t>
            </w:r>
          </w:p>
        </w:tc>
        <w:tc>
          <w:p>
            <w:r>
              <w:t>Business continuity and disaster recovery controls are in place, including backup procedures, offsite/cloud storage of critical backup resources, restoration safeguards for critical systems, and periodic policy review and testing.</w:t>
            </w:r>
          </w:p>
        </w:tc>
      </w:tr>
      <w:tr w:rsidR="003F7691" w:rsidRPr="00C97AAB" ns2:paraId="01852EC4" ns2:textId="77777777">
        <w:tc>
          <w:tcPr>
            <w:tcW w:w="2880" w:type="dxa"/>
          </w:tcPr>
          <w:p ns2:paraId="52AD1EB8" ns2:textId="77777777" w:rsidR="003F7691" w:rsidRPr="00C97AAB" w:rsidRDefault="0071494F">
            <w:pPr>
              <w:rPr>
                <w:rFonts w:ascii="Arial" w:hAnsi="Arial" w:cs="Arial"/>
                <w:sz w:val="18"/>
                <w:szCs w:val="18"/>
              </w:rPr>
            </w:pPr>
            <w:r w:rsidRPr="00C97AAB">
              <w:rPr>
                <w:rFonts w:ascii="Arial" w:hAnsi="Arial" w:cs="Arial"/>
                <w:sz w:val="18"/>
                <w:szCs w:val="18"/>
              </w:rPr>
              <w:t xml:space="preserve">16. Service </w:t>
            </w:r>
            <w:proofErr w:type="spellStart"/>
            <w:r w:rsidRPr="00C97AAB">
              <w:rPr>
                <w:rFonts w:ascii="Arial" w:hAnsi="Arial" w:cs="Arial"/>
                <w:sz w:val="18"/>
                <w:szCs w:val="18"/>
              </w:rPr>
              <w:t>organisations</w:t>
            </w:r>
            <w:proofErr w:type="spellEnd"/>
          </w:p>
        </w:tc>
        <w:tc>
          <w:tcPr>
            <w:tcW w:w="2880" w:type="dxa"/>
          </w:tcPr>
          <w:p ns2:paraId="56805468" ns2:textId="77777777" w:rsidR="003F7691" w:rsidRPr="00C97AAB" w:rsidRDefault="0071494F">
            <w:pPr>
              <w:rPr>
                <w:rFonts w:ascii="Arial" w:hAnsi="Arial" w:cs="Arial"/>
                <w:sz w:val="18"/>
                <w:szCs w:val="18"/>
              </w:rPr>
            </w:pPr>
            <w:r w:rsidRPr="00C97AAB">
              <w:rPr>
                <w:rFonts w:ascii="Arial" w:hAnsi="Arial" w:cs="Arial"/>
                <w:sz w:val="18"/>
                <w:szCs w:val="18"/>
              </w:rPr>
              <w:t xml:space="preserve">Does the IT environment include service </w:t>
            </w:r>
            <w:proofErr w:type="spellStart"/>
            <w:r w:rsidRPr="00C97AAB">
              <w:rPr>
                <w:rFonts w:ascii="Arial" w:hAnsi="Arial" w:cs="Arial"/>
                <w:sz w:val="18"/>
                <w:szCs w:val="18"/>
              </w:rPr>
              <w:t>organisations</w:t>
            </w:r>
            <w:proofErr w:type="spellEnd"/>
            <w:r w:rsidRPr="00C97AAB">
              <w:rPr>
                <w:rFonts w:ascii="Arial" w:hAnsi="Arial" w:cs="Arial"/>
                <w:sz w:val="18"/>
                <w:szCs w:val="18"/>
              </w:rPr>
              <w:t>?</w:t>
            </w:r>
          </w:p>
        </w:tc>
        <w:tc>
          <w:p>
            <w:r>
              <w:t>Yes. The IT environment includes service organisations, specifically Google and Microsoft cloud/SaaS services used for critical operational and reporting support.</w:t>
            </w:r>
          </w:p>
        </w:tc>
      </w:tr>
      <w:tr w:rsidR="003F7691" w:rsidRPr="00C97AAB" ns2:paraId="5B0C3AF8" ns2:textId="77777777">
        <w:tc>
          <w:tcPr>
            <w:tcW w:w="2880" w:type="dxa"/>
          </w:tcPr>
          <w:p ns2:paraId="6D5FC5AE" ns2:textId="77777777" w:rsidR="003F7691" w:rsidRPr="00C97AAB" w:rsidRDefault="0071494F">
            <w:pPr>
              <w:rPr>
                <w:rFonts w:ascii="Arial" w:hAnsi="Arial" w:cs="Arial"/>
                <w:sz w:val="18"/>
                <w:szCs w:val="18"/>
              </w:rPr>
            </w:pPr>
            <w:r w:rsidRPr="00C97AAB">
              <w:rPr>
                <w:rFonts w:ascii="Arial" w:hAnsi="Arial" w:cs="Arial"/>
                <w:sz w:val="18"/>
                <w:szCs w:val="18"/>
              </w:rPr>
              <w:t>17. E-Commerce</w:t>
            </w:r>
          </w:p>
        </w:tc>
        <w:tc>
          <w:tcPr>
            <w:tcW w:w="2880" w:type="dxa"/>
          </w:tcPr>
          <w:p ns2:paraId="0E2F920F" ns2:textId="77777777" w:rsidR="003F7691" w:rsidRPr="00C97AAB" w:rsidRDefault="0071494F">
            <w:pPr>
              <w:rPr>
                <w:rFonts w:ascii="Arial" w:hAnsi="Arial" w:cs="Arial"/>
                <w:sz w:val="18"/>
                <w:szCs w:val="18"/>
              </w:rPr>
            </w:pPr>
            <w:r w:rsidRPr="00C97AAB">
              <w:rPr>
                <w:rFonts w:ascii="Arial" w:hAnsi="Arial" w:cs="Arial"/>
                <w:sz w:val="18"/>
                <w:szCs w:val="18"/>
              </w:rPr>
              <w:t>Does the IT environment include E-Commerce?</w:t>
            </w:r>
          </w:p>
        </w:tc>
        <w:tc>
          <w:p>
            <w:r>
              <w:t>Not applicable. The IT environment does not include an E-Commerce platform for this reporting context.</w:t>
            </w:r>
          </w:p>
        </w:tc>
      </w:tr>
      <w:tr w:rsidR="003F7691" w:rsidRPr="00C97AAB" ns2:paraId="69CA9058" ns2:textId="77777777">
        <w:tc>
          <w:tcPr>
            <w:tcW w:w="2880" w:type="dxa"/>
          </w:tcPr>
          <w:p ns2:paraId="7F3F3327" ns2:textId="77777777" w:rsidR="003F7691" w:rsidRPr="00C97AAB" w:rsidRDefault="0071494F">
            <w:pPr>
              <w:rPr>
                <w:rFonts w:ascii="Arial" w:hAnsi="Arial" w:cs="Arial"/>
                <w:sz w:val="18"/>
                <w:szCs w:val="18"/>
              </w:rPr>
            </w:pPr>
            <w:r w:rsidRPr="00C97AAB">
              <w:rPr>
                <w:rFonts w:ascii="Arial" w:hAnsi="Arial" w:cs="Arial"/>
                <w:sz w:val="18"/>
                <w:szCs w:val="18"/>
              </w:rPr>
              <w:t>18. Documents outside accounting systems</w:t>
            </w:r>
          </w:p>
        </w:tc>
        <w:tc>
          <w:tcPr>
            <w:tcW w:w="2880" w:type="dxa"/>
          </w:tcPr>
          <w:p ns2:paraId="369A510F" ns2:textId="77777777" w:rsidR="003F7691" w:rsidRPr="00C97AAB" w:rsidRDefault="0071494F">
            <w:pPr>
              <w:rPr>
                <w:rFonts w:ascii="Arial" w:hAnsi="Arial" w:cs="Arial"/>
                <w:sz w:val="18"/>
                <w:szCs w:val="18"/>
              </w:rPr>
            </w:pPr>
            <w:r w:rsidRPr="00C97AAB">
              <w:rPr>
                <w:rFonts w:ascii="Arial" w:hAnsi="Arial" w:cs="Arial"/>
                <w:sz w:val="18"/>
                <w:szCs w:val="18"/>
              </w:rPr>
              <w:t>Describe controls over such documents.</w:t>
            </w:r>
          </w:p>
        </w:tc>
        <w:tc>
          <w:p>
            <w:r>
              <w:t>Yes. Controls are in place over significant documents developed outside core accounting applications (e.g., spreadsheets and related working files), with governance over accuracy, completeness, access and audit support.</w:t>
            </w:r>
          </w:p>
        </w:tc>
      </w:tr>
    </w:tbl>
    <w:p ns2:paraId="1B1079BB" ns2:textId="77777777" w:rsidR="008209C3" w:rsidRDefault="008209C3"/>
    <w:sectPr w:rsidR="008209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475164">
    <w:abstractNumId w:val="8"/>
  </w:num>
  <w:num w:numId="2" w16cid:durableId="1637564777">
    <w:abstractNumId w:val="6"/>
  </w:num>
  <w:num w:numId="3" w16cid:durableId="265230510">
    <w:abstractNumId w:val="5"/>
  </w:num>
  <w:num w:numId="4" w16cid:durableId="1012608046">
    <w:abstractNumId w:val="4"/>
  </w:num>
  <w:num w:numId="5" w16cid:durableId="1655796897">
    <w:abstractNumId w:val="7"/>
  </w:num>
  <w:num w:numId="6" w16cid:durableId="509180617">
    <w:abstractNumId w:val="3"/>
  </w:num>
  <w:num w:numId="7" w16cid:durableId="1882740826">
    <w:abstractNumId w:val="2"/>
  </w:num>
  <w:num w:numId="8" w16cid:durableId="1116944021">
    <w:abstractNumId w:val="1"/>
  </w:num>
  <w:num w:numId="9" w16cid:durableId="73139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691"/>
    <w:rsid w:val="0051562D"/>
    <w:rsid w:val="00697EEB"/>
    <w:rsid w:val="006B4EA6"/>
    <w:rsid w:val="006C21FC"/>
    <w:rsid w:val="0071494F"/>
    <w:rsid w:val="008209C3"/>
    <w:rsid w:val="00AA1D8D"/>
    <w:rsid w:val="00B47730"/>
    <w:rsid w:val="00BA677A"/>
    <w:rsid w:val="00BB69AB"/>
    <w:rsid w:val="00C97AAB"/>
    <w:rsid w:val="00CB0664"/>
    <w:rsid w:val="00E36B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64CE2"/>
  <w14:defaultImageDpi w14:val="300"/>
  <w15:docId w15:val="{88A95150-AFB5-465A-9644-9B038723B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Sharmin Del Socorro</cp:lastModifiedBy>
  <cp:revision>5</cp:revision>
  <dcterms:created xsi:type="dcterms:W3CDTF">2013-12-23T23:15:00Z</dcterms:created>
  <dcterms:modified xsi:type="dcterms:W3CDTF">2026-05-12T16:05:00Z</dcterms:modified>
  <cp:category/>
</cp:coreProperties>
</file>