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481.88976377952764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  <w:rtl w:val="0"/>
              </w:rPr>
              <w:t xml:space="preserve">  — DIPLÔMES ET CERTIFICATIONS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  <w:rtl w:val="0"/>
              </w:rPr>
              <w:t xml:space="preserve">  — LANGUES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center"/>
              <w:rPr>
                <w:rFonts w:ascii="Amatic SC" w:cs="Amatic SC" w:eastAsia="Amatic SC" w:hAnsi="Amatic SC"/>
                <w:b w:val="1"/>
                <w:color w:val="ffbf6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bf69"/>
                <w:rtl w:val="0"/>
              </w:rPr>
              <w:t xml:space="preserve">  2015 —</w:t>
            </w:r>
            <w:r w:rsidDel="00000000" w:rsidR="00000000" w:rsidRPr="00000000">
              <w:rPr>
                <w:rtl w:val="0"/>
              </w:rPr>
              <w:t xml:space="preserve"> Master 2 Sécurité, Cryptographie et Codage de l'Information (SCCI)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Français — Natif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rFonts w:ascii="Amatic SC" w:cs="Amatic SC" w:eastAsia="Amatic SC" w:hAnsi="Amatic SC"/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Anglais — 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Espagnol — 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Japonais — 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  <w:rtl w:val="0"/>
              </w:rPr>
              <w:t xml:space="preserve">  — COMPÉTENCES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LANGAGES ET FRAMEWORK 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DONNÉES ET SYSTÈME 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DEVOPS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OUTILS / APPLICATIONS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— méthodologies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Scala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IntelliJ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Terraform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Visual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JIRA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Akka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Neo4J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Eclipse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Swagger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Kakfa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Jenkins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Atom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Cassandra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Java 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Keycloak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Android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Gatling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HTML /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38582677165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React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413.38582677165357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INGÉNIEUR EN DÉVELOPPEMENT SCALA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Stampyt</w:t>
            </w:r>
            <w:r w:rsidDel="00000000" w:rsidR="00000000" w:rsidRPr="00000000">
              <w:rPr>
                <w:rtl w:val="0"/>
              </w:rPr>
              <w:t xml:space="preserve"> — 1 an et 8 mois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Développement de plusieurs APIs 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2ec4b6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Scala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CDI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de Avril 2018 à Janvier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Configuration et déploiement des solutions développées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Installation d'un système de queue pour gérer les flux de façon asynchrone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IntelliJ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Intégration des process photos avec des APIs de Deep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Refonte du SAAS permettant d'administrer la configuration des comptes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Jenkins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Sécurisation des applications avec le protocole OpenID (Keycloak)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Référent technique - Évolution vers un post plus Lead 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center"/>
              <w:rPr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Tests unitaires et fonctionnels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Création d’une base de données relationnelle Neo4J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Swagger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Gestion de bases de données PostgreSQL et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Rédaction des tickets techniques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Rédaction des besoins des clients (rédaction en anglais)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Keycloak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Rédaction des documentations techniques et fonctionnelles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Neo4J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rPr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</w:tr>
    </w:tbl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340.157480314960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INGÉNIEUR ETUDE ET DÉVELOPPEMENT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Thales Services</w:t>
            </w:r>
            <w:r w:rsidDel="00000000" w:rsidR="00000000" w:rsidRPr="00000000">
              <w:rPr>
                <w:rtl w:val="0"/>
              </w:rPr>
              <w:t xml:space="preserve"> — 4 mois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Développement d’un consommateur Kafka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2ec4b6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CDI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de Déc. 2017 à Mars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Gestion de base de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Evolution sur un projet en Go et en TypeScript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Kafka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</w:tr>
    </w:tbl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413.38582677165357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INGÉNIEUR ETUDE ET DÉVELOPPEMENT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Compte Nickel </w:t>
            </w:r>
            <w:r w:rsidDel="00000000" w:rsidR="00000000" w:rsidRPr="00000000">
              <w:rPr>
                <w:rtl w:val="0"/>
              </w:rPr>
              <w:t xml:space="preserve">— 11 mois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Conception et développement du module SEPA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2ec4b6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Scala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CDI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de Janvier 2017 à Nov.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Installation d'un Kafka pour gérer les flux bancaires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Gestion d'une base de données en temps réel Cassandra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Rédaction de spécifications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Réalisation d'études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Tests unitaires et fonctionnels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Kafka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Mise à jour d'une API Play (gestion de board en interne)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0" w:firstLine="0"/>
              <w:jc w:val="center"/>
              <w:rPr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Gatling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0" w:firstLine="0"/>
              <w:rPr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</w:tr>
    </w:tbl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340.157480314960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ASSISTANTE MAÎTRISE D’OUVRAGE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PSA</w:t>
            </w:r>
            <w:r w:rsidDel="00000000" w:rsidR="00000000" w:rsidRPr="00000000">
              <w:rPr>
                <w:rtl w:val="0"/>
              </w:rPr>
              <w:t xml:space="preserve"> — 3 mois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Rédaction d'aides au support niveau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Presta.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de Sep. 2016 à Nov. 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Développement d'une plateforme pour les supports niveau 1 en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Support au responsable MOA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SVN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VBA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</w:tbl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340.157480314960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CONSULTANTE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PSA</w:t>
            </w:r>
            <w:r w:rsidDel="00000000" w:rsidR="00000000" w:rsidRPr="00000000">
              <w:rPr>
                <w:rtl w:val="0"/>
              </w:rPr>
              <w:t xml:space="preserve"> — 11 mois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Mise à jour et évolution d'une application obsolète en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Presta.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de Oct. 2015 à Mai 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Migration vers Java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Tests unitaires et fonctionnels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SVN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VBA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0" w:top="0" w:left="283.46456692913387" w:right="283.46456692913387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Cookie">
    <w:embedRegular w:fontKey="{00000000-0000-0000-0000-000000000000}" r:id="rId1" w:subsetted="0"/>
  </w:font>
  <w:font w:name="Amatic SC">
    <w:embedRegular w:fontKey="{00000000-0000-0000-0000-000000000000}" r:id="rId2" w:subsetted="0"/>
    <w:embedBold w:fontKey="{00000000-0000-0000-0000-000000000000}" r:id="rId3" w:subsetted="0"/>
  </w:font>
  <w:font w:name="Rochester">
    <w:embedRegular w:fontKey="{00000000-0000-0000-0000-000000000000}" r:id="rId4" w:subsetted="0"/>
  </w:font>
  <w:font w:name="Abel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ind w:left="0" w:firstLine="0"/>
      <w:jc w:val="center"/>
      <w:rPr>
        <w:rFonts w:ascii="Amatic SC" w:cs="Amatic SC" w:eastAsia="Amatic SC" w:hAnsi="Amatic SC"/>
        <w:b w:val="1"/>
        <w:color w:val="212529"/>
        <w:sz w:val="60"/>
        <w:szCs w:val="60"/>
      </w:rPr>
    </w:pPr>
    <w:r w:rsidDel="00000000" w:rsidR="00000000" w:rsidRPr="00000000">
      <w:rPr>
        <w:rFonts w:ascii="Amatic SC" w:cs="Amatic SC" w:eastAsia="Amatic SC" w:hAnsi="Amatic SC"/>
        <w:b w:val="1"/>
        <w:color w:val="212529"/>
        <w:sz w:val="60"/>
        <w:szCs w:val="60"/>
        <w:rtl w:val="0"/>
      </w:rPr>
      <w:t xml:space="preserve">Agnès Maury</w:t>
    </w:r>
  </w:p>
  <w:p w:rsidR="00000000" w:rsidDel="00000000" w:rsidP="00000000" w:rsidRDefault="00000000" w:rsidRPr="00000000" w14:paraId="000002D4">
    <w:pPr>
      <w:ind w:left="0" w:firstLine="0"/>
      <w:jc w:val="center"/>
      <w:rPr>
        <w:color w:val="434343"/>
        <w:sz w:val="28"/>
        <w:szCs w:val="28"/>
      </w:rPr>
    </w:pPr>
    <w:r w:rsidDel="00000000" w:rsidR="00000000" w:rsidRPr="00000000">
      <w:rPr>
        <w:color w:val="434343"/>
        <w:sz w:val="28"/>
        <w:szCs w:val="28"/>
        <w:rtl w:val="0"/>
      </w:rPr>
      <w:t xml:space="preserve">Développeur Back-end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bel" w:cs="Abel" w:eastAsia="Abel" w:hAnsi="Abel"/>
        <w:sz w:val="24"/>
        <w:szCs w:val="24"/>
        <w:lang w:val="fr"/>
      </w:rPr>
    </w:rPrDefault>
    <w:pPrDefault>
      <w:pPr>
        <w:spacing w:line="276" w:lineRule="auto"/>
        <w:ind w:left="566.9291338582675" w:hanging="283.464566929133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firstLine="0"/>
    </w:pPr>
    <w:rPr>
      <w:rFonts w:ascii="Cookie" w:cs="Cookie" w:eastAsia="Cookie" w:hAnsi="Cookie"/>
      <w:color w:val="e5503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firstLine="0"/>
    </w:pPr>
    <w:rPr>
      <w:rFonts w:ascii="Cookie" w:cs="Cookie" w:eastAsia="Cookie" w:hAnsi="Cookie"/>
      <w:color w:val="f6b93b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rFonts w:ascii="Rochester" w:cs="Rochester" w:eastAsia="Rochester" w:hAnsi="Rochester"/>
      <w:b w:val="1"/>
      <w:color w:val="b7154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rFonts w:ascii="Amatic SC" w:cs="Amatic SC" w:eastAsia="Amatic SC" w:hAnsi="Amatic SC"/>
      <w:color w:val="b7154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okie-regular.ttf"/><Relationship Id="rId2" Type="http://schemas.openxmlformats.org/officeDocument/2006/relationships/font" Target="fonts/AmaticSC-regular.ttf"/><Relationship Id="rId3" Type="http://schemas.openxmlformats.org/officeDocument/2006/relationships/font" Target="fonts/AmaticSC-bold.ttf"/><Relationship Id="rId4" Type="http://schemas.openxmlformats.org/officeDocument/2006/relationships/font" Target="fonts/Rochester-regular.ttf"/><Relationship Id="rId5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