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DIOSMINE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5-hydroxy-2-(3-hydroxy-4-methoxyphenyl)-7-[(2S,3R,4S,5S,6R)-3,4,5-trihydroxy-6-[[(2R,3R,4R,5R,6S)-3,4,5-trihydroxy-6-methyloxan-2-yl]oxymethyl]oxan-2-yl]oxychromen-4-one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>
              <w:t>Toxicity profile</w:t>
            </w:r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Acute toxicity (oral)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Acute toxicity (dermal)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Acute toxicity (inhalation)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Skin irritation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Eye irritation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Skin sensitisation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Dermal absorption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Repeated dose toxicity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Mutagenicity/genotoxicity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Carcinogenicity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Reproductive toxicity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Toxicokinetics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Phototoxicity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Human data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</w:t>
              <w:br/>
              <w:t>ECHA base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