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Arial" w:cs="Arial" w:eastAsia="Arial" w:hAnsi="Arial"/>
          <w:b/>
          <w:bCs/>
          <w:caps/>
          <w:color w:val="888888"/>
          <w:sz w:val="18"/>
          <w:szCs w:val="18"/>
        </w:rPr>
        <w:t xml:space="preserve">CHIEF OF STAFF REVIEW — UNABRIDGED</w:t>
      </w:r>
    </w:p>
    <w:p>
      <w:pPr>
        <w:jc w:val="center"/>
      </w:pPr>
      <w:r>
        <w:rPr>
          <w:rFonts w:ascii="Arial" w:cs="Arial" w:eastAsia="Arial" w:hAnsi="Arial"/>
          <w:b/>
          <w:bCs/>
          <w:color w:val="7B0000"/>
          <w:sz w:val="48"/>
          <w:szCs w:val="48"/>
        </w:rPr>
        <w:t xml:space="preserve">LagnaMaster Vision — Complete Gap Assessment</w:t>
      </w:r>
    </w:p>
    <w:p>
      <w:pPr>
        <w:spacing w:after="100"/>
        <w:jc w:val="center"/>
      </w:pPr>
      <w:r>
        <w:rPr>
          <w:rFonts w:ascii="Arial" w:cs="Arial" w:eastAsia="Arial" w:hAnsi="Arial"/>
          <w:color w:val="8B1A1A"/>
          <w:sz w:val="28"/>
          <w:szCs w:val="28"/>
        </w:rPr>
        <w:t xml:space="preserve">22 Gaps. No Artificial Limit.</w:t>
      </w:r>
    </w:p>
    <w:p>
      <w:pPr>
        <w:spacing w:after="280"/>
        <w:jc w:val="center"/>
      </w:pPr>
      <w:r>
        <w:rPr>
          <w:rFonts w:ascii="Arial" w:cs="Arial" w:eastAsia="Arial" w:hAnsi="Arial"/>
          <w:color w:val="666666"/>
          <w:sz w:val="19"/>
          <w:szCs w:val="19"/>
        </w:rPr>
        <w:t xml:space="preserve">Based on: LagnaMaster_Future_State_S190.docx + LagnaMaster_Appendix_S20_S22.docx | March 2026</w:t>
      </w:r>
    </w:p>
    <w:p>
      <w:pPr>
        <w:spacing w:after="120"/>
      </w:pPr>
      <w:r>
        <w:t xml:space="preserve"/>
      </w:r>
    </w:p>
    <w:p>
      <w:pPr>
        <w:pBdr>
          <w:left w:val="single" w:color="CC0000" w:sz="18" w:space="1"/>
        </w:pBdr>
        <w:shd w:fill="FFF0F0" w:val="clear"/>
        <w:spacing w:after="130"/>
        <w:ind w:left="300" w:right="200"/>
      </w:pPr>
      <w:r>
        <w:rPr>
          <w:rFonts w:ascii="Arial" w:cs="Arial" w:eastAsia="Arial" w:hAnsi="Arial"/>
          <w:sz w:val="20"/>
          <w:szCs w:val="20"/>
        </w:rPr>
        <w:t xml:space="preserve">The first version of this review stopped at 10 because the brief said 'top 10.' That was a mistake. There are 22 genuine gaps. Some of the excluded ones are more dangerous than those included. This is the complete version.</w:t>
      </w:r>
    </w:p>
    <w:p>
      <w:pPr>
        <w:spacing w:after="120"/>
      </w:pPr>
      <w:r>
        <w:t xml:space="preserve"/>
      </w:r>
    </w:p>
    <w:p>
      <w:pPr>
        <w:spacing w:after="110"/>
      </w:pPr>
      <w:r>
        <w:rPr>
          <w:rFonts w:ascii="Arial" w:cs="Arial" w:eastAsia="Arial" w:hAnsi="Arial"/>
          <w:sz w:val="22"/>
          <w:szCs w:val="22"/>
        </w:rPr>
        <w:t xml:space="preserve">The two vision documents are the most rigorous product specifications in this space. They deserve honest criticism — not the version that fits a slide deck. What follows is every significant gap identified, including the ones that were uncomfortable to write.</w:t>
      </w:r>
    </w:p>
    <w:p>
      <w:pPr>
        <w:spacing w:after="120"/>
      </w:pPr>
      <w:r>
        <w:t xml:space="preserve"/>
      </w:r>
    </w:p>
    <w:p>
      <w:pPr>
        <w:spacing w:after="110"/>
      </w:pPr>
      <w:r>
        <w:rPr>
          <w:rFonts w:ascii="Arial" w:cs="Arial" w:eastAsia="Arial" w:hAnsi="Arial"/>
          <w:sz w:val="22"/>
          <w:szCs w:val="22"/>
        </w:rPr>
        <w:t xml:space="preserve">Priority coding:</w:t>
      </w:r>
    </w:p>
    <w:p>
      <w:pPr>
        <w:pStyle w:val="ListParagraph"/>
        <w:numPr>
          <w:ilvl w:val="0"/>
          <w:numId w:val="2"/>
        </w:numPr>
        <w:spacing w:after="80"/>
      </w:pPr>
      <w:r>
        <w:rPr>
          <w:rFonts w:ascii="Arial" w:cs="Arial" w:eastAsia="Arial" w:hAnsi="Arial"/>
          <w:sz w:val="22"/>
          <w:szCs w:val="22"/>
        </w:rPr>
        <w:t xml:space="preserve">🔴 CRITICAL — fix before writing any code or onboarding any user</w:t>
      </w:r>
    </w:p>
    <w:p>
      <w:pPr>
        <w:pStyle w:val="ListParagraph"/>
        <w:numPr>
          <w:ilvl w:val="0"/>
          <w:numId w:val="2"/>
        </w:numPr>
        <w:spacing w:after="80"/>
      </w:pPr>
      <w:r>
        <w:rPr>
          <w:rFonts w:ascii="Arial" w:cs="Arial" w:eastAsia="Arial" w:hAnsi="Arial"/>
          <w:sz w:val="22"/>
          <w:szCs w:val="22"/>
        </w:rPr>
        <w:t xml:space="preserve">🟠 HIGH — fix before first paid user or public launch</w:t>
      </w:r>
    </w:p>
    <w:p>
      <w:pPr>
        <w:pStyle w:val="ListParagraph"/>
        <w:numPr>
          <w:ilvl w:val="0"/>
          <w:numId w:val="2"/>
        </w:numPr>
        <w:spacing w:after="80"/>
      </w:pPr>
      <w:r>
        <w:rPr>
          <w:rFonts w:ascii="Arial" w:cs="Arial" w:eastAsia="Arial" w:hAnsi="Arial"/>
          <w:sz w:val="22"/>
          <w:szCs w:val="22"/>
        </w:rPr>
        <w:t xml:space="preserve">🟡 MEDIUM — fix before Series A or significant scale</w:t>
      </w:r>
    </w:p>
    <w:p>
      <w:pPr>
        <w:pStyle w:val="ListParagraph"/>
        <w:numPr>
          <w:ilvl w:val="0"/>
          <w:numId w:val="2"/>
        </w:numPr>
        <w:spacing w:after="80"/>
      </w:pPr>
      <w:r>
        <w:rPr>
          <w:rFonts w:ascii="Arial" w:cs="Arial" w:eastAsia="Arial" w:hAnsi="Arial"/>
          <w:sz w:val="22"/>
          <w:szCs w:val="22"/>
        </w:rPr>
        <w:t xml:space="preserve">🟢 ENHANCEMENT — improves the vision, not blocking</w:t>
      </w:r>
    </w:p>
    <w:p>
      <w:r>
        <w:br w:type="page"/>
      </w:r>
    </w:p>
    <w:p>
      <w:pPr>
        <w:pStyle w:val="Heading1"/>
      </w:pPr>
      <w:r>
        <w:rPr>
          <w:rFonts w:ascii="Arial" w:cs="Arial" w:eastAsia="Arial" w:hAnsi="Arial"/>
          <w:b/>
          <w:bCs/>
          <w:color w:val="7B0000"/>
          <w:sz w:val="36"/>
          <w:szCs w:val="36"/>
        </w:rPr>
        <w:t xml:space="preserve">Gap 1 🔴  Legal and Regulatory Architecture Is Entirely Absent</w:t>
      </w:r>
    </w:p>
    <w:p>
      <w:pPr>
        <w:spacing w:after="110"/>
      </w:pPr>
      <w:r>
        <w:rPr>
          <w:rFonts w:ascii="Arial" w:cs="Arial" w:eastAsia="Arial" w:hAnsi="Arial"/>
          <w:sz w:val="22"/>
          <w:szCs w:val="22"/>
        </w:rPr>
        <w:t xml:space="preserve">The documents contain zero legal or regulatory analysis. For a platform issuing outputs about health, career, relationships, financial outcomes, and longevity across multiple jurisdictions, this is the single highest-probability way to destroy the project before it reaches scale.</w:t>
      </w:r>
    </w:p>
    <w:p>
      <w:pPr>
        <w:spacing w:after="120"/>
      </w:pPr>
      <w:r>
        <w:t xml:space="preserve"/>
      </w:r>
    </w:p>
    <w:p>
      <w:pPr>
        <w:pStyle w:val="Heading2"/>
      </w:pPr>
      <w:r>
        <w:rPr>
          <w:rFonts w:ascii="Arial" w:cs="Arial" w:eastAsia="Arial" w:hAnsi="Arial"/>
          <w:b/>
          <w:bCs/>
          <w:color w:val="8B1A1A"/>
          <w:sz w:val="26"/>
          <w:szCs w:val="26"/>
        </w:rPr>
        <w:t xml:space="preserve">1.1 The Word 'Prediction' Is Regulated in Multiple Jurisdictions</w:t>
      </w:r>
    </w:p>
    <w:p>
      <w:pPr>
        <w:spacing w:after="110"/>
      </w:pPr>
      <w:r>
        <w:rPr>
          <w:rFonts w:ascii="Arial" w:cs="Arial" w:eastAsia="Arial" w:hAnsi="Arial"/>
          <w:sz w:val="22"/>
          <w:szCs w:val="22"/>
        </w:rPr>
        <w:t xml:space="preserve">In India, SEBI regulates 'investment advice.' If a user acts on a 'career prediction' that includes financial decisions, LagnaMaster could be investigated regardless of disclaimers. The stock market mundane astrology feature (Section 12.3 of the appendix) triggers SEBI scrutiny immediately upon launch.</w:t>
      </w:r>
    </w:p>
    <w:p>
      <w:pPr>
        <w:spacing w:after="110"/>
      </w:pPr>
      <w:r>
        <w:rPr>
          <w:rFonts w:ascii="Arial" w:cs="Arial" w:eastAsia="Arial" w:hAnsi="Arial"/>
          <w:sz w:val="22"/>
          <w:szCs w:val="22"/>
        </w:rPr>
        <w:t xml:space="preserve">In the EU, 'prediction' combined with financial outcomes may qualify as investment advice under MiFID II. In the US, astrology-based financial guidance has been subject to FTC and SEC enforcement historically.</w:t>
      </w:r>
    </w:p>
    <w:p>
      <w:pPr>
        <w:pBdr>
          <w:left w:val="single" w:color="CC0000" w:sz="18" w:space="1"/>
        </w:pBdr>
        <w:shd w:fill="FFF0F0" w:val="clear"/>
        <w:spacing w:after="130"/>
        <w:ind w:left="300" w:right="200"/>
      </w:pPr>
      <w:r>
        <w:rPr>
          <w:rFonts w:ascii="Arial" w:cs="Arial" w:eastAsia="Arial" w:hAnsi="Arial"/>
          <w:sz w:val="20"/>
          <w:szCs w:val="20"/>
        </w:rPr>
        <w:t xml:space="preserve">Do not use the word 'prediction' in the product UI, terms of service, or marketing materials without jurisdiction-specific legal review. Use 'astrological insight,' 'timing analysis,' or 'likelihood assessment' as interim replacements pending counsel.</w:t>
      </w:r>
    </w:p>
    <w:p>
      <w:pPr>
        <w:spacing w:after="120"/>
      </w:pPr>
      <w:r>
        <w:t xml:space="preserve"/>
      </w:r>
    </w:p>
    <w:p>
      <w:pPr>
        <w:pStyle w:val="Heading2"/>
      </w:pPr>
      <w:r>
        <w:rPr>
          <w:rFonts w:ascii="Arial" w:cs="Arial" w:eastAsia="Arial" w:hAnsi="Arial"/>
          <w:b/>
          <w:bCs/>
          <w:color w:val="8B1A1A"/>
          <w:sz w:val="26"/>
          <w:szCs w:val="26"/>
        </w:rPr>
        <w:t xml:space="preserve">1.2 Health and Mental Health Predictions Are Regulated</w:t>
      </w:r>
    </w:p>
    <w:p>
      <w:pPr>
        <w:spacing w:after="110"/>
      </w:pPr>
      <w:r>
        <w:rPr>
          <w:rFonts w:ascii="Arial" w:cs="Arial" w:eastAsia="Arial" w:hAnsi="Arial"/>
          <w:sz w:val="22"/>
          <w:szCs w:val="22"/>
        </w:rPr>
        <w:t xml:space="preserve">Section 8 of the main document describes health event prediction: 'illness, recovery, surgery, mental health event, energy peak.' In India, the Indian Medical Council Act regulates medical advice. In the EU, any software claiming to predict health outcomes may qualify as a medical device under EU MDR 2017/745, requiring CE marking and clinical evidence. The FDA in the US has asserted jurisdiction over 'clinical decision support software.'</w:t>
      </w:r>
    </w:p>
    <w:p>
      <w:pPr>
        <w:spacing w:after="110"/>
      </w:pPr>
      <w:r>
        <w:rPr>
          <w:rFonts w:ascii="Arial" w:cs="Arial" w:eastAsia="Arial" w:hAnsi="Arial"/>
          <w:sz w:val="22"/>
          <w:szCs w:val="22"/>
        </w:rPr>
        <w:t xml:space="preserve">The biosignal study worsens this: correlating HRV with planetary transits and suggesting it predicts health events comes dangerously close to medical device territory.</w:t>
      </w:r>
    </w:p>
    <w:p>
      <w:pPr>
        <w:pBdr>
          <w:left w:val="single" w:color="CC0000" w:sz="18" w:space="1"/>
        </w:pBdr>
        <w:shd w:fill="FFF0F0" w:val="clear"/>
        <w:spacing w:after="130"/>
        <w:ind w:left="300" w:right="200"/>
      </w:pPr>
      <w:r>
        <w:rPr>
          <w:rFonts w:ascii="Arial" w:cs="Arial" w:eastAsia="Arial" w:hAnsi="Arial"/>
          <w:sz w:val="20"/>
          <w:szCs w:val="20"/>
        </w:rPr>
        <w:t xml:space="preserve">Health predictions must be either (a) removed from the public feature set, or (b) framed exclusively as 'timing context' with explicit disclaimers. Legal counsel must review the specific language in each launch jurisdiction before any health-adjacent feature ships.</w:t>
      </w:r>
    </w:p>
    <w:p>
      <w:pPr>
        <w:spacing w:after="120"/>
      </w:pPr>
      <w:r>
        <w:t xml:space="preserve"/>
      </w:r>
    </w:p>
    <w:p>
      <w:pPr>
        <w:pStyle w:val="Heading2"/>
      </w:pPr>
      <w:r>
        <w:rPr>
          <w:rFonts w:ascii="Arial" w:cs="Arial" w:eastAsia="Arial" w:hAnsi="Arial"/>
          <w:b/>
          <w:bCs/>
          <w:color w:val="8B1A1A"/>
          <w:sz w:val="26"/>
          <w:szCs w:val="26"/>
        </w:rPr>
        <w:t xml:space="preserve">1.3 Longevity Predictions Create Direct Tort Liability</w:t>
      </w:r>
    </w:p>
    <w:p>
      <w:pPr>
        <w:spacing w:after="110"/>
      </w:pPr>
      <w:r>
        <w:rPr>
          <w:rFonts w:ascii="Arial" w:cs="Arial" w:eastAsia="Arial" w:hAnsi="Arial"/>
          <w:sz w:val="22"/>
          <w:szCs w:val="22"/>
        </w:rPr>
        <w:t xml:space="preserve">The survival analysis will generate H1/H8 scores correlating with lifespan. Even if never exposed to users directly, if a journalist discovers that LagnaMaster's internal model predicts early death and a user experiences that, the headlines write themselves. This is reputational and legal risk in one.</w:t>
      </w:r>
    </w:p>
    <w:p>
      <w:pPr>
        <w:pBdr>
          <w:left w:val="single" w:color="CC0000" w:sz="18" w:space="1"/>
        </w:pBdr>
        <w:shd w:fill="FFF0F0" w:val="clear"/>
        <w:spacing w:after="130"/>
        <w:ind w:left="300" w:right="200"/>
      </w:pPr>
      <w:r>
        <w:rPr>
          <w:rFonts w:ascii="Arial" w:cs="Arial" w:eastAsia="Arial" w:hAnsi="Arial"/>
          <w:sz w:val="20"/>
          <w:szCs w:val="20"/>
        </w:rPr>
        <w:t xml:space="preserve">Longevity and survival analysis: research only, never user-facing. The Cox model runs internally for scientific validation. The product never references lifespan, mortality, or death timing under any framing.</w:t>
      </w:r>
    </w:p>
    <w:p>
      <w:pPr>
        <w:spacing w:after="120"/>
      </w:pPr>
      <w:r>
        <w:t xml:space="preserve"/>
      </w:r>
    </w:p>
    <w:p>
      <w:pPr>
        <w:pStyle w:val="Heading2"/>
      </w:pPr>
      <w:r>
        <w:rPr>
          <w:rFonts w:ascii="Arial" w:cs="Arial" w:eastAsia="Arial" w:hAnsi="Arial"/>
          <w:b/>
          <w:bCs/>
          <w:color w:val="8B1A1A"/>
          <w:sz w:val="26"/>
          <w:szCs w:val="26"/>
        </w:rPr>
        <w:t xml:space="preserve">1.4 India's DPDP Act 2023 Is Entirely Unaddressed</w:t>
      </w:r>
    </w:p>
    <w:p>
      <w:pPr>
        <w:spacing w:after="110"/>
      </w:pPr>
      <w:r>
        <w:rPr>
          <w:rFonts w:ascii="Arial" w:cs="Arial" w:eastAsia="Arial" w:hAnsi="Arial"/>
          <w:sz w:val="22"/>
          <w:szCs w:val="22"/>
        </w:rPr>
        <w:t xml:space="preserve">DPDP 2023 is live. Birth date, time, and place are personally identifiable data. Astrological profiles derived from this data are likely 'inferred sensitive data.' Requirements include: explicit specific consent per processing purpose, data localisation for Indian users, right to erasure (what happens to training data from a deleted user?), a resident grievance officer, and parental consent for minors. The multigenerational map collecting children's charts requires special protections.</w:t>
      </w:r>
    </w:p>
    <w:p>
      <w:pPr>
        <w:pBdr>
          <w:left w:val="single" w:color="CC0000" w:sz="18" w:space="1"/>
        </w:pBdr>
        <w:shd w:fill="FFF0F0" w:val="clear"/>
        <w:spacing w:after="130"/>
        <w:ind w:left="300" w:right="200"/>
      </w:pPr>
      <w:r>
        <w:rPr>
          <w:rFonts w:ascii="Arial" w:cs="Arial" w:eastAsia="Arial" w:hAnsi="Arial"/>
          <w:sz w:val="20"/>
          <w:szCs w:val="20"/>
        </w:rPr>
        <w:t xml:space="preserve">DPDP compliance must be architected into the data layer before any Indian user onboards. This includes consent ledger, erasure pipeline, data localisation policy, and minor detection. This is not a post-launch patch.</w:t>
      </w:r>
    </w:p>
    <w:p>
      <w:pPr>
        <w:spacing w:after="120"/>
      </w:pPr>
      <w:r>
        <w:t xml:space="preserve"/>
      </w:r>
    </w:p>
    <w:p>
      <w:pPr>
        <w:pStyle w:val="Heading2"/>
      </w:pPr>
      <w:r>
        <w:rPr>
          <w:rFonts w:ascii="Arial" w:cs="Arial" w:eastAsia="Arial" w:hAnsi="Arial"/>
          <w:b/>
          <w:bCs/>
          <w:color w:val="8B1A1A"/>
          <w:sz w:val="26"/>
          <w:szCs w:val="26"/>
        </w:rPr>
        <w:t xml:space="preserve">1.5 GDPR Applies the Moment Any European User Onboards</w:t>
      </w:r>
    </w:p>
    <w:p>
      <w:pPr>
        <w:spacing w:after="110"/>
      </w:pPr>
      <w:r>
        <w:rPr>
          <w:rFonts w:ascii="Arial" w:cs="Arial" w:eastAsia="Arial" w:hAnsi="Arial"/>
          <w:sz w:val="22"/>
          <w:szCs w:val="22"/>
        </w:rPr>
        <w:t xml:space="preserve">Birth data is personal data under GDPR. Article 9 defines 'health data' broadly — astrological health predictions would likely qualify. Processing this requires explicit consent, a DPIA, and potentially a DPO. With the multigenerational map, you are also processing data about third parties (family members) who are EU residents.</w:t>
      </w:r>
    </w:p>
    <w:p>
      <w:pPr>
        <w:spacing w:after="120"/>
      </w:pPr>
      <w:r>
        <w:t xml:space="preserve"/>
      </w:r>
    </w:p>
    <w:p>
      <w:pPr>
        <w:pStyle w:val="Heading2"/>
      </w:pPr>
      <w:r>
        <w:rPr>
          <w:rFonts w:ascii="Arial" w:cs="Arial" w:eastAsia="Arial" w:hAnsi="Arial"/>
          <w:b/>
          <w:bCs/>
          <w:color w:val="8B1A1A"/>
          <w:sz w:val="26"/>
          <w:szCs w:val="26"/>
        </w:rPr>
        <w:t xml:space="preserve">1.6 The Prediction Ledger Creates Lawsuit Exposure</w:t>
      </w:r>
    </w:p>
    <w:p>
      <w:pPr>
        <w:spacing w:after="110"/>
      </w:pPr>
      <w:r>
        <w:rPr>
          <w:rFonts w:ascii="Arial" w:cs="Arial" w:eastAsia="Arial" w:hAnsi="Arial"/>
          <w:sz w:val="22"/>
          <w:szCs w:val="22"/>
        </w:rPr>
        <w:t xml:space="preserve">Publishing a public accuracy ledger (73% confirmed predictions) means a lawyer for a user whose decision backfired will cite that ledger as evidence that LagnaMaster knew 27% of predictions were wrong and published them anyway. This is 'known risk' in tort law.</w:t>
      </w:r>
    </w:p>
    <w:p>
      <w:pPr>
        <w:pBdr>
          <w:left w:val="single" w:color="1A6A1A" w:sz="18" w:space="1"/>
        </w:pBdr>
        <w:shd w:fill="F0FFF0" w:val="clear"/>
        <w:spacing w:after="130"/>
        <w:ind w:left="300" w:right="200"/>
      </w:pPr>
      <w:r>
        <w:rPr>
          <w:rFonts w:ascii="Arial" w:cs="Arial" w:eastAsia="Arial" w:hAnsi="Arial"/>
          <w:sz w:val="20"/>
          <w:szCs w:val="20"/>
        </w:rPr>
        <w:t xml:space="preserve">Reframe the ledger as a research transparency metric in a white paper context — not a consumer UI element. Separate the scientific publication from the commercial product. Consider whether the ledger should appear only in a 'Research' section rather than in the main product.</w:t>
      </w:r>
    </w:p>
    <w:p>
      <w:r>
        <w:br w:type="page"/>
      </w:r>
    </w:p>
    <w:p>
      <w:pPr>
        <w:pStyle w:val="Heading1"/>
      </w:pPr>
      <w:r>
        <w:rPr>
          <w:rFonts w:ascii="Arial" w:cs="Arial" w:eastAsia="Arial" w:hAnsi="Arial"/>
          <w:b/>
          <w:bCs/>
          <w:color w:val="7B0000"/>
          <w:sz w:val="36"/>
          <w:szCs w:val="36"/>
        </w:rPr>
        <w:t xml:space="preserve">Gap 2 🔴  'Birth Time Certificate' Is Misconceived on Three Levels</w:t>
      </w:r>
    </w:p>
    <w:p>
      <w:pPr>
        <w:spacing w:after="110"/>
      </w:pPr>
      <w:r>
        <w:rPr>
          <w:rFonts w:ascii="Arial" w:cs="Arial" w:eastAsia="Arial" w:hAnsi="Arial"/>
          <w:sz w:val="22"/>
          <w:szCs w:val="22"/>
        </w:rPr>
        <w:t xml:space="preserve">The concept is correct. The word 'certificate' and the surrounding framing are wrong.</w:t>
      </w:r>
    </w:p>
    <w:p>
      <w:pPr>
        <w:spacing w:after="120"/>
      </w:pPr>
      <w:r>
        <w:t xml:space="preserve"/>
      </w:r>
    </w:p>
    <w:p>
      <w:pPr>
        <w:pStyle w:val="Heading2"/>
      </w:pPr>
      <w:r>
        <w:rPr>
          <w:rFonts w:ascii="Arial" w:cs="Arial" w:eastAsia="Arial" w:hAnsi="Arial"/>
          <w:b/>
          <w:bCs/>
          <w:color w:val="8B1A1A"/>
          <w:sz w:val="26"/>
          <w:szCs w:val="26"/>
        </w:rPr>
        <w:t xml:space="preserve">2.1 A Certificate Implies Verification That Was Never Performed</w:t>
      </w:r>
    </w:p>
    <w:p>
      <w:pPr>
        <w:spacing w:after="110"/>
      </w:pPr>
      <w:r>
        <w:rPr>
          <w:rFonts w:ascii="Arial" w:cs="Arial" w:eastAsia="Arial" w:hAnsi="Arial"/>
          <w:sz w:val="22"/>
          <w:szCs w:val="22"/>
        </w:rPr>
        <w:t xml:space="preserve">'Certificate' implies an issuing authority and a guarantee. LagnaMaster has neither. Users will read 'HIGH certificate' as meaning their birth time has been externally verified. It has not — it is a sensitivity analysis based on a self-reported time. When predictions go wrong for a 'HIGH certificate' user, they will feel defrauded.</w:t>
      </w:r>
    </w:p>
    <w:p>
      <w:pPr>
        <w:spacing w:after="120"/>
      </w:pPr>
      <w:r>
        <w:t xml:space="preserve"/>
      </w:r>
    </w:p>
    <w:p>
      <w:pPr>
        <w:pStyle w:val="Heading2"/>
      </w:pPr>
      <w:r>
        <w:rPr>
          <w:rFonts w:ascii="Arial" w:cs="Arial" w:eastAsia="Arial" w:hAnsi="Arial"/>
          <w:b/>
          <w:bCs/>
          <w:color w:val="8B1A1A"/>
          <w:sz w:val="26"/>
          <w:szCs w:val="26"/>
        </w:rPr>
        <w:t xml:space="preserve">2.2 The Classical Birth Moment Problem Is Unacknowledged</w:t>
      </w:r>
    </w:p>
    <w:p>
      <w:pPr>
        <w:spacing w:after="110"/>
      </w:pPr>
      <w:r>
        <w:rPr>
          <w:rFonts w:ascii="Arial" w:cs="Arial" w:eastAsia="Arial" w:hAnsi="Arial"/>
          <w:sz w:val="22"/>
          <w:szCs w:val="22"/>
        </w:rPr>
        <w:t xml:space="preserve">Classical Jyotish has four competing definitions of the birth moment: first cry, first breath, cord cutting, and full emergence. Hospital records log when the attending physician noted the time — which may be minutes after any classical moment. This systematic error affects every user regardless of precision, and the documents do not address it.</w:t>
      </w:r>
    </w:p>
    <w:p>
      <w:pPr>
        <w:spacing w:after="120"/>
      </w:pPr>
      <w:r>
        <w:t xml:space="preserve"/>
      </w:r>
    </w:p>
    <w:p>
      <w:pPr>
        <w:pStyle w:val="Heading2"/>
      </w:pPr>
      <w:r>
        <w:rPr>
          <w:rFonts w:ascii="Arial" w:cs="Arial" w:eastAsia="Arial" w:hAnsi="Arial"/>
          <w:b/>
          <w:bCs/>
          <w:color w:val="8B1A1A"/>
          <w:sz w:val="26"/>
          <w:szCs w:val="26"/>
        </w:rPr>
        <w:t xml:space="preserve">2.3 Collecting Hospital Records for 'Verification' Creates Regulatory Traps</w:t>
      </w:r>
    </w:p>
    <w:p>
      <w:pPr>
        <w:spacing w:after="110"/>
      </w:pPr>
      <w:r>
        <w:rPr>
          <w:rFonts w:ascii="Arial" w:cs="Arial" w:eastAsia="Arial" w:hAnsi="Arial"/>
          <w:sz w:val="22"/>
          <w:szCs w:val="22"/>
        </w:rPr>
        <w:t xml:space="preserve">If the product ever suggests users upload birth certificates for improved accuracy, those documents contain sensitive government-issued personal data with storage obligations far beyond what an astrological platform should accept.</w:t>
      </w:r>
    </w:p>
    <w:p>
      <w:pPr>
        <w:pBdr>
          <w:left w:val="single" w:color="1A6A1A" w:sz="18" w:space="1"/>
        </w:pBdr>
        <w:shd w:fill="F0FFF0" w:val="clear"/>
        <w:spacing w:after="130"/>
        <w:ind w:left="300" w:right="200"/>
      </w:pPr>
      <w:r>
        <w:rPr>
          <w:rFonts w:ascii="Arial" w:cs="Arial" w:eastAsia="Arial" w:hAnsi="Arial"/>
          <w:sz w:val="20"/>
          <w:szCs w:val="20"/>
        </w:rPr>
        <w:t xml:space="preserve">Rename to 'Birth Time Sensitivity Analysis.' Make clear this assesses how much predictions shift with small time variations — not whether the time is correct. Offer a birth time rectification tool as the real value proposition: input 10 life events, let the engine estimate the correct birth time. This is both more useful and legally clean.</w:t>
      </w:r>
    </w:p>
    <w:p>
      <w:r>
        <w:br w:type="page"/>
      </w:r>
    </w:p>
    <w:p>
      <w:pPr>
        <w:pStyle w:val="Heading1"/>
      </w:pPr>
      <w:r>
        <w:rPr>
          <w:rFonts w:ascii="Arial" w:cs="Arial" w:eastAsia="Arial" w:hAnsi="Arial"/>
          <w:b/>
          <w:bCs/>
          <w:color w:val="7B0000"/>
          <w:sz w:val="36"/>
          <w:szCs w:val="36"/>
        </w:rPr>
        <w:t xml:space="preserve">Gap 3 🟠  Classical Corpus Timeline Is 3–4x Too Conservative</w:t>
      </w:r>
    </w:p>
    <w:p>
      <w:pPr>
        <w:spacing w:after="110"/>
      </w:pPr>
      <w:r>
        <w:rPr>
          <w:rFonts w:ascii="Arial" w:cs="Arial" w:eastAsia="Arial" w:hAnsi="Arial"/>
          <w:sz w:val="22"/>
          <w:szCs w:val="22"/>
        </w:rPr>
        <w:t xml:space="preserve">The Gantt has 'classical corpus encoding' as a continuous background task through 2028 with no weekly targets and no owner. 23 rules were built in under one week. BPHS has 97 chapters. Even at 3 rules per chapter, that is 300 rules — encodable in 13 weeks at the S187-S190 rate, not 4 years.</w:t>
      </w:r>
    </w:p>
    <w:p>
      <w:pPr>
        <w:spacing w:after="120"/>
      </w:pPr>
      <w:r>
        <w:t xml:space="preserve"/>
      </w:r>
    </w:p>
    <w:p>
      <w:pPr>
        <w:spacing w:after="110"/>
      </w:pPr>
      <w:r>
        <w:rPr>
          <w:rFonts w:ascii="Arial" w:cs="Arial" w:eastAsia="Arial" w:hAnsi="Arial"/>
          <w:sz w:val="22"/>
          <w:szCs w:val="22"/>
        </w:rPr>
        <w:t xml:space="preserve">Background tasks without deadlines never finish. The correct approach is a dedicated 9-month sprint with weekly chapter targets, running parallel to engineering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2600"/>
        <w:gridCol w:w="3260"/>
      </w:tblGrid>
      <w:tr>
        <w:tc>
          <w:tcPr>
            <w:tcW w:type="dxa" w:w="2500"/>
            <w:tcBorders>
              <w:top w:val="single" w:color="888888" w:sz="1"/>
              <w:left w:val="single" w:color="888888" w:sz="1"/>
              <w:bottom w:val="single" w:color="888888" w:sz="1"/>
              <w:right w:val="single" w:color="888888" w:sz="1"/>
            </w:tcBorders>
            <w:shd w:fill="1C1C1C" w:val="clear"/>
            <w:tcMar>
              <w:top w:type="dxa" w:w="80"/>
              <w:left w:type="dxa" w:w="120"/>
              <w:bottom w:type="dxa" w:w="80"/>
              <w:right w:type="dxa" w:w="120"/>
            </w:tcMar>
          </w:tcPr>
          <w:p>
            <w:r>
              <w:rPr>
                <w:rFonts w:ascii="Arial" w:cs="Arial" w:eastAsia="Arial" w:hAnsi="Arial"/>
                <w:b/>
                <w:bCs/>
                <w:color w:val="FFFFFF"/>
                <w:sz w:val="19"/>
                <w:szCs w:val="19"/>
              </w:rPr>
              <w:t xml:space="preserve">Text</w:t>
            </w:r>
          </w:p>
        </w:tc>
        <w:tc>
          <w:tcPr>
            <w:tcW w:type="dxa" w:w="1000"/>
            <w:tcBorders>
              <w:top w:val="single" w:color="888888" w:sz="1"/>
              <w:left w:val="single" w:color="888888" w:sz="1"/>
              <w:bottom w:val="single" w:color="888888" w:sz="1"/>
              <w:right w:val="single" w:color="888888" w:sz="1"/>
            </w:tcBorders>
            <w:shd w:fill="1C1C1C" w:val="clear"/>
            <w:tcMar>
              <w:top w:type="dxa" w:w="80"/>
              <w:left w:type="dxa" w:w="120"/>
              <w:bottom w:type="dxa" w:w="80"/>
              <w:right w:type="dxa" w:w="120"/>
            </w:tcMar>
          </w:tcPr>
          <w:p>
            <w:r>
              <w:rPr>
                <w:rFonts w:ascii="Arial" w:cs="Arial" w:eastAsia="Arial" w:hAnsi="Arial"/>
                <w:b/>
                <w:bCs/>
                <w:color w:val="FFFFFF"/>
                <w:sz w:val="19"/>
                <w:szCs w:val="19"/>
              </w:rPr>
              <w:t xml:space="preserve">Chapters</w:t>
            </w:r>
          </w:p>
        </w:tc>
        <w:tc>
          <w:tcPr>
            <w:tcW w:type="dxa" w:w="2600"/>
            <w:tcBorders>
              <w:top w:val="single" w:color="888888" w:sz="1"/>
              <w:left w:val="single" w:color="888888" w:sz="1"/>
              <w:bottom w:val="single" w:color="888888" w:sz="1"/>
              <w:right w:val="single" w:color="888888" w:sz="1"/>
            </w:tcBorders>
            <w:shd w:fill="1C1C1C" w:val="clear"/>
            <w:tcMar>
              <w:top w:type="dxa" w:w="80"/>
              <w:left w:type="dxa" w:w="120"/>
              <w:bottom w:type="dxa" w:w="80"/>
              <w:right w:type="dxa" w:w="120"/>
            </w:tcMar>
          </w:tcPr>
          <w:p>
            <w:r>
              <w:rPr>
                <w:rFonts w:ascii="Arial" w:cs="Arial" w:eastAsia="Arial" w:hAnsi="Arial"/>
                <w:b/>
                <w:bCs/>
                <w:color w:val="FFFFFF"/>
                <w:sz w:val="19"/>
                <w:szCs w:val="19"/>
              </w:rPr>
              <w:t xml:space="preserve">Target (with AI-assisted pipeline)</w:t>
            </w:r>
          </w:p>
        </w:tc>
        <w:tc>
          <w:tcPr>
            <w:tcW w:type="dxa" w:w="3260"/>
            <w:tcBorders>
              <w:top w:val="single" w:color="888888" w:sz="1"/>
              <w:left w:val="single" w:color="888888" w:sz="1"/>
              <w:bottom w:val="single" w:color="888888" w:sz="1"/>
              <w:right w:val="single" w:color="888888" w:sz="1"/>
            </w:tcBorders>
            <w:shd w:fill="1C1C1C" w:val="clear"/>
            <w:tcMar>
              <w:top w:type="dxa" w:w="80"/>
              <w:left w:type="dxa" w:w="120"/>
              <w:bottom w:type="dxa" w:w="80"/>
              <w:right w:type="dxa" w:w="120"/>
            </w:tcMar>
          </w:tcPr>
          <w:p>
            <w:r>
              <w:rPr>
                <w:rFonts w:ascii="Arial" w:cs="Arial" w:eastAsia="Arial" w:hAnsi="Arial"/>
                <w:b/>
                <w:bCs/>
                <w:color w:val="FFFFFF"/>
                <w:sz w:val="19"/>
                <w:szCs w:val="19"/>
              </w:rPr>
              <w:t xml:space="preserve">Blocker</w:t>
            </w:r>
          </w:p>
        </w:tc>
      </w:tr>
      <w:tr>
        <w:tc>
          <w:tcPr>
            <w:tcW w:type="dxa" w:w="2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BPHS (all 97 chapters)</w:t>
            </w:r>
          </w:p>
        </w:tc>
        <w:tc>
          <w:tcPr>
            <w:tcW w:type="dxa" w:w="1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97</w:t>
            </w:r>
          </w:p>
        </w:tc>
        <w:tc>
          <w:tcPr>
            <w:tcW w:type="dxa" w:w="2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Q2 2026 — 24 weeks at 4 chapters/week</w:t>
            </w:r>
          </w:p>
        </w:tc>
        <w:tc>
          <w:tcPr>
            <w:tcW w:type="dxa" w:w="32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None — free on archive.org</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Brihat Jataka (Varahamihira)</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28</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Q3 2026</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None — free on archive.org</w:t>
            </w:r>
          </w:p>
        </w:tc>
      </w:tr>
      <w:tr>
        <w:tc>
          <w:tcPr>
            <w:tcW w:type="dxa" w:w="2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Uttara Kalamrita</w:t>
            </w:r>
          </w:p>
        </w:tc>
        <w:tc>
          <w:tcPr>
            <w:tcW w:type="dxa" w:w="1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7</w:t>
            </w:r>
          </w:p>
        </w:tc>
        <w:tc>
          <w:tcPr>
            <w:tcW w:type="dxa" w:w="2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Q3 2026</w:t>
            </w:r>
          </w:p>
        </w:tc>
        <w:tc>
          <w:tcPr>
            <w:tcW w:type="dxa" w:w="32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None — free PDF available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Jataka Parijata Vol I+II</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~30</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Q3 2026</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None — archive.org</w:t>
            </w:r>
          </w:p>
        </w:tc>
      </w:tr>
      <w:tr>
        <w:tc>
          <w:tcPr>
            <w:tcW w:type="dxa" w:w="2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Sarvartha Chintamani</w:t>
            </w:r>
          </w:p>
        </w:tc>
        <w:tc>
          <w:tcPr>
            <w:tcW w:type="dxa" w:w="1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~40</w:t>
            </w:r>
          </w:p>
        </w:tc>
        <w:tc>
          <w:tcPr>
            <w:tcW w:type="dxa" w:w="2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Q4 2026</w:t>
            </w:r>
          </w:p>
        </w:tc>
        <w:tc>
          <w:tcPr>
            <w:tcW w:type="dxa" w:w="32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Purchase BV Raman translation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Jaimini Sutras with commentary</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~10</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Q4 2026</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Purchase PS Sastri translation</w:t>
            </w:r>
          </w:p>
        </w:tc>
      </w:tr>
      <w:tr>
        <w:tc>
          <w:tcPr>
            <w:tcW w:type="dxa" w:w="2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Chandra Kala Nadi</w:t>
            </w:r>
          </w:p>
        </w:tc>
        <w:tc>
          <w:tcPr>
            <w:tcW w:type="dxa" w:w="1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Multiple volumes</w:t>
            </w:r>
          </w:p>
        </w:tc>
        <w:tc>
          <w:tcPr>
            <w:tcW w:type="dxa" w:w="2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Q1 2027</w:t>
            </w:r>
          </w:p>
        </w:tc>
        <w:tc>
          <w:tcPr>
            <w:tcW w:type="dxa" w:w="32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Purchase CG Rajan — complex Nadi format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Lal Kitab</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Various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Q1 2027</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Purchase RK Chadha — separate schema needed</w:t>
            </w:r>
          </w:p>
        </w:tc>
      </w:tr>
    </w:tbl>
    <w:p>
      <w:r>
        <w:br w:type="page"/>
      </w:r>
    </w:p>
    <w:p>
      <w:pPr>
        <w:pStyle w:val="Heading1"/>
      </w:pPr>
      <w:r>
        <w:rPr>
          <w:rFonts w:ascii="Arial" w:cs="Arial" w:eastAsia="Arial" w:hAnsi="Arial"/>
          <w:b/>
          <w:bCs/>
          <w:color w:val="7B0000"/>
          <w:sz w:val="36"/>
          <w:szCs w:val="36"/>
        </w:rPr>
        <w:t xml:space="preserve">Gap 4 🔴  Multigenerational Pattern Map — Architecture Is 90% Missing</w:t>
      </w:r>
    </w:p>
    <w:p>
      <w:pPr>
        <w:spacing w:after="110"/>
      </w:pPr>
      <w:r>
        <w:rPr>
          <w:rFonts w:ascii="Arial" w:cs="Arial" w:eastAsia="Arial" w:hAnsi="Arial"/>
          <w:sz w:val="22"/>
          <w:szCs w:val="22"/>
        </w:rPr>
        <w:t xml:space="preserve">This is described in two paragraphs. It requires ten pages of specification. The user correctly identifies this as the most underrated feature — but it cannot be built from the current description because the data model, consent architecture, family dasha cascade logic, D12 ancestral computation, and UX sequencing are all absent.</w:t>
      </w:r>
    </w:p>
    <w:p>
      <w:pPr>
        <w:spacing w:after="120"/>
      </w:pPr>
      <w:r>
        <w:t xml:space="preserve"/>
      </w:r>
    </w:p>
    <w:p>
      <w:pPr>
        <w:pStyle w:val="Heading2"/>
      </w:pPr>
      <w:r>
        <w:rPr>
          <w:rFonts w:ascii="Arial" w:cs="Arial" w:eastAsia="Arial" w:hAnsi="Arial"/>
          <w:b/>
          <w:bCs/>
          <w:color w:val="8B1A1A"/>
          <w:sz w:val="26"/>
          <w:szCs w:val="26"/>
        </w:rPr>
        <w:t xml:space="preserve">4.1 The Extended Convergence Formula</w:t>
      </w:r>
    </w:p>
    <w:p>
      <w:pPr>
        <w:spacing w:after="60"/>
        <w:ind w:left="720"/>
      </w:pPr>
      <w:r>
        <w:rPr>
          <w:rFonts w:ascii="Courier New" w:cs="Courier New" w:eastAsia="Courier New" w:hAnsi="Courier New"/>
          <w:sz w:val="18"/>
          <w:szCs w:val="18"/>
        </w:rPr>
        <w:t xml:space="preserve">Current: confidence = f(rules_fired, school_concordance, bayesian_weight)</w:t>
      </w:r>
    </w:p>
    <w:p>
      <w:pPr>
        <w:spacing w:after="60"/>
        <w:ind w:left="720"/>
      </w:pPr>
      <w:r>
        <w:rPr>
          <w:rFonts w:ascii="Courier New" w:cs="Courier New" w:eastAsia="Courier New" w:hAnsi="Courier New"/>
          <w:sz w:val="18"/>
          <w:szCs w:val="18"/>
        </w:rPr>
        <w:t xml:space="preserve">Required: confidence = f(rules_fired, school_concordance, bayesian_weight,</w:t>
      </w:r>
    </w:p>
    <w:p>
      <w:pPr>
        <w:spacing w:after="60"/>
        <w:ind w:left="720"/>
      </w:pPr>
      <w:r>
        <w:rPr>
          <w:rFonts w:ascii="Courier New" w:cs="Courier New" w:eastAsia="Courier New" w:hAnsi="Courier New"/>
          <w:sz w:val="18"/>
          <w:szCs w:val="18"/>
        </w:rPr>
        <w:t xml:space="preserve">                        family_chart_confirmation, family_dasha_cascade)</w:t>
      </w:r>
    </w:p>
    <w:p>
      <w:pPr>
        <w:spacing w:after="120"/>
      </w:pPr>
      <w:r>
        <w:t xml:space="preserve"/>
      </w:r>
    </w:p>
    <w:p>
      <w:pPr>
        <w:pStyle w:val="Heading2"/>
      </w:pPr>
      <w:r>
        <w:rPr>
          <w:rFonts w:ascii="Arial" w:cs="Arial" w:eastAsia="Arial" w:hAnsi="Arial"/>
          <w:b/>
          <w:bCs/>
          <w:color w:val="8B1A1A"/>
          <w:sz w:val="26"/>
          <w:szCs w:val="26"/>
        </w:rPr>
        <w:t xml:space="preserve">4.2 The Family Dasha Cascade — The Most Novel Concept in the Entire Vision</w:t>
      </w:r>
    </w:p>
    <w:p>
      <w:pPr>
        <w:pBdr>
          <w:left w:val="single" w:color="1E5FA0" w:sz="18" w:space="1"/>
        </w:pBdr>
        <w:shd w:fill="F0F4FF" w:val="clear"/>
        <w:spacing w:after="130"/>
        <w:ind w:left="300" w:right="200"/>
      </w:pPr>
      <w:r>
        <w:rPr>
          <w:rFonts w:ascii="Arial" w:cs="Arial" w:eastAsia="Arial" w:hAnsi="Arial"/>
          <w:sz w:val="20"/>
          <w:szCs w:val="20"/>
        </w:rPr>
        <w:t xml:space="preserve">Classical basis: the bhavat bhavam principle. When your father enters Saturn MD, H9 (father's house) in your chart activates, producing career and fortune themes for you regardless of your own dasha. When your mother enters Rahu MD, H4 activates. This is classical Jyotish — it has simply never been implemented computationally. No competitor has built this.</w:t>
      </w:r>
    </w:p>
    <w:p>
      <w:pPr>
        <w:spacing w:after="120"/>
      </w:pPr>
      <w:r>
        <w:t xml:space="preserve"/>
      </w:r>
    </w:p>
    <w:p>
      <w:pPr>
        <w:spacing w:after="110"/>
      </w:pPr>
      <w:r>
        <w:rPr>
          <w:rFonts w:ascii="Arial" w:cs="Arial" w:eastAsia="Arial" w:hAnsi="Arial"/>
          <w:sz w:val="22"/>
          <w:szCs w:val="22"/>
        </w:rPr>
        <w:t xml:space="preserve">Specific cascade examples:</w:t>
      </w:r>
    </w:p>
    <w:p>
      <w:pPr>
        <w:pStyle w:val="ListParagraph"/>
        <w:numPr>
          <w:ilvl w:val="0"/>
          <w:numId w:val="2"/>
        </w:numPr>
        <w:spacing w:after="80"/>
      </w:pPr>
      <w:r>
        <w:rPr>
          <w:rFonts w:ascii="Arial" w:cs="Arial" w:eastAsia="Arial" w:hAnsi="Arial"/>
          <w:sz w:val="22"/>
          <w:szCs w:val="22"/>
        </w:rPr>
        <w:t xml:space="preserve">Father enters Saturn MD (19 years) → user's H9 activates → career, dharma, fortune themes emerge for user</w:t>
      </w:r>
    </w:p>
    <w:p>
      <w:pPr>
        <w:pStyle w:val="ListParagraph"/>
        <w:numPr>
          <w:ilvl w:val="0"/>
          <w:numId w:val="2"/>
        </w:numPr>
        <w:spacing w:after="80"/>
      </w:pPr>
      <w:r>
        <w:rPr>
          <w:rFonts w:ascii="Arial" w:cs="Arial" w:eastAsia="Arial" w:hAnsi="Arial"/>
          <w:sz w:val="22"/>
          <w:szCs w:val="22"/>
        </w:rPr>
        <w:t xml:space="preserve">Mother enters Rahu MD → user's H4 activates → domestic disruption, relocation, property themes</w:t>
      </w:r>
    </w:p>
    <w:p>
      <w:pPr>
        <w:pStyle w:val="ListParagraph"/>
        <w:numPr>
          <w:ilvl w:val="0"/>
          <w:numId w:val="2"/>
        </w:numPr>
        <w:spacing w:after="80"/>
      </w:pPr>
      <w:r>
        <w:rPr>
          <w:rFonts w:ascii="Arial" w:cs="Arial" w:eastAsia="Arial" w:hAnsi="Arial"/>
          <w:sz w:val="22"/>
          <w:szCs w:val="22"/>
        </w:rPr>
        <w:t xml:space="preserve">Spouse enters 8th lord dasha → user's H7 activates with 8th energy → relationship transformation</w:t>
      </w:r>
    </w:p>
    <w:p>
      <w:pPr>
        <w:pStyle w:val="ListParagraph"/>
        <w:numPr>
          <w:ilvl w:val="0"/>
          <w:numId w:val="2"/>
        </w:numPr>
        <w:spacing w:after="80"/>
      </w:pPr>
      <w:r>
        <w:rPr>
          <w:rFonts w:ascii="Arial" w:cs="Arial" w:eastAsia="Arial" w:hAnsi="Arial"/>
          <w:sz w:val="22"/>
          <w:szCs w:val="22"/>
        </w:rPr>
        <w:t xml:space="preserve">Child enters Jupiter MD → user's H5 activates positively → grandchildren, creative success, investments</w:t>
      </w:r>
    </w:p>
    <w:p>
      <w:pPr>
        <w:pStyle w:val="ListParagraph"/>
        <w:numPr>
          <w:ilvl w:val="0"/>
          <w:numId w:val="2"/>
        </w:numPr>
        <w:spacing w:after="80"/>
      </w:pPr>
      <w:r>
        <w:rPr>
          <w:rFonts w:ascii="Arial" w:cs="Arial" w:eastAsia="Arial" w:hAnsi="Arial"/>
          <w:sz w:val="22"/>
          <w:szCs w:val="22"/>
        </w:rPr>
        <w:t xml:space="preserve">Younger sibling's sudden job loss → activates user's H3 → user may be called upon for support, communication demands increase</w:t>
      </w:r>
    </w:p>
    <w:p>
      <w:pPr>
        <w:pStyle w:val="ListParagraph"/>
        <w:numPr>
          <w:ilvl w:val="0"/>
          <w:numId w:val="2"/>
        </w:numPr>
        <w:spacing w:after="80"/>
      </w:pPr>
      <w:r>
        <w:rPr>
          <w:rFonts w:ascii="Arial" w:cs="Arial" w:eastAsia="Arial" w:hAnsi="Arial"/>
          <w:sz w:val="22"/>
          <w:szCs w:val="22"/>
        </w:rPr>
        <w:t xml:space="preserve">Parent's serious health event → activates user's H4 (for mother) or H9 (for father) → user experiences emotional and practical impact irrespective of their own dasha</w:t>
      </w:r>
    </w:p>
    <w:p>
      <w:pPr>
        <w:spacing w:after="120"/>
      </w:pPr>
      <w:r>
        <w:t xml:space="preserve"/>
      </w:r>
    </w:p>
    <w:p>
      <w:pPr>
        <w:pStyle w:val="Heading2"/>
      </w:pPr>
      <w:r>
        <w:rPr>
          <w:rFonts w:ascii="Arial" w:cs="Arial" w:eastAsia="Arial" w:hAnsi="Arial"/>
          <w:b/>
          <w:bCs/>
          <w:color w:val="8B1A1A"/>
          <w:sz w:val="26"/>
          <w:szCs w:val="26"/>
        </w:rPr>
        <w:t xml:space="preserve">4.3 Cross-Family Triangulated Prediction</w:t>
      </w:r>
    </w:p>
    <w:p>
      <w:pPr>
        <w:spacing w:after="110"/>
      </w:pPr>
      <w:r>
        <w:rPr>
          <w:rFonts w:ascii="Arial" w:cs="Arial" w:eastAsia="Arial" w:hAnsi="Arial"/>
          <w:sz w:val="22"/>
          <w:szCs w:val="22"/>
        </w:rPr>
        <w:t xml:space="preserve">When the user's chart, a family member's chart, and the family dasha cascade all point to the same outcome, the prediction is orders of magnitude more reliable than any single-chart analysis. This is convergence across family — the genuinely novel contribution: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400"/>
        <w:gridCol w:w="3760"/>
      </w:tblGrid>
      <w:tr>
        <w:tc>
          <w:tcPr>
            <w:tcW w:type="dxa" w:w="2200"/>
            <w:tcBorders>
              <w:top w:val="single" w:color="888888" w:sz="1"/>
              <w:left w:val="single" w:color="888888" w:sz="1"/>
              <w:bottom w:val="single" w:color="888888" w:sz="1"/>
              <w:right w:val="single" w:color="888888" w:sz="1"/>
            </w:tcBorders>
            <w:shd w:fill="1C1C1C" w:val="clear"/>
            <w:tcMar>
              <w:top w:type="dxa" w:w="80"/>
              <w:left w:type="dxa" w:w="120"/>
              <w:bottom w:type="dxa" w:w="80"/>
              <w:right w:type="dxa" w:w="120"/>
            </w:tcMar>
          </w:tcPr>
          <w:p>
            <w:r>
              <w:rPr>
                <w:rFonts w:ascii="Arial" w:cs="Arial" w:eastAsia="Arial" w:hAnsi="Arial"/>
                <w:b/>
                <w:bCs/>
                <w:color w:val="FFFFFF"/>
                <w:sz w:val="19"/>
                <w:szCs w:val="19"/>
              </w:rPr>
              <w:t xml:space="preserve">Relationship</w:t>
            </w:r>
          </w:p>
        </w:tc>
        <w:tc>
          <w:tcPr>
            <w:tcW w:type="dxa" w:w="2000"/>
            <w:tcBorders>
              <w:top w:val="single" w:color="888888" w:sz="1"/>
              <w:left w:val="single" w:color="888888" w:sz="1"/>
              <w:bottom w:val="single" w:color="888888" w:sz="1"/>
              <w:right w:val="single" w:color="888888" w:sz="1"/>
            </w:tcBorders>
            <w:shd w:fill="1C1C1C" w:val="clear"/>
            <w:tcMar>
              <w:top w:type="dxa" w:w="80"/>
              <w:left w:type="dxa" w:w="120"/>
              <w:bottom w:type="dxa" w:w="80"/>
              <w:right w:type="dxa" w:w="120"/>
            </w:tcMar>
          </w:tcPr>
          <w:p>
            <w:r>
              <w:rPr>
                <w:rFonts w:ascii="Arial" w:cs="Arial" w:eastAsia="Arial" w:hAnsi="Arial"/>
                <w:b/>
                <w:bCs/>
                <w:color w:val="FFFFFF"/>
                <w:sz w:val="19"/>
                <w:szCs w:val="19"/>
              </w:rPr>
              <w:t xml:space="preserve">House activated in user's chart</w:t>
            </w:r>
          </w:p>
        </w:tc>
        <w:tc>
          <w:tcPr>
            <w:tcW w:type="dxa" w:w="1400"/>
            <w:tcBorders>
              <w:top w:val="single" w:color="888888" w:sz="1"/>
              <w:left w:val="single" w:color="888888" w:sz="1"/>
              <w:bottom w:val="single" w:color="888888" w:sz="1"/>
              <w:right w:val="single" w:color="888888" w:sz="1"/>
            </w:tcBorders>
            <w:shd w:fill="1C1C1C" w:val="clear"/>
            <w:tcMar>
              <w:top w:type="dxa" w:w="80"/>
              <w:left w:type="dxa" w:w="120"/>
              <w:bottom w:type="dxa" w:w="80"/>
              <w:right w:type="dxa" w:w="120"/>
            </w:tcMar>
          </w:tcPr>
          <w:p>
            <w:r>
              <w:rPr>
                <w:rFonts w:ascii="Arial" w:cs="Arial" w:eastAsia="Arial" w:hAnsi="Arial"/>
                <w:b/>
                <w:bCs/>
                <w:color w:val="FFFFFF"/>
                <w:sz w:val="19"/>
                <w:szCs w:val="19"/>
              </w:rPr>
              <w:t xml:space="preserve">Confirmation weight</w:t>
            </w:r>
          </w:p>
        </w:tc>
        <w:tc>
          <w:tcPr>
            <w:tcW w:type="dxa" w:w="3760"/>
            <w:tcBorders>
              <w:top w:val="single" w:color="888888" w:sz="1"/>
              <w:left w:val="single" w:color="888888" w:sz="1"/>
              <w:bottom w:val="single" w:color="888888" w:sz="1"/>
              <w:right w:val="single" w:color="888888" w:sz="1"/>
            </w:tcBorders>
            <w:shd w:fill="1C1C1C" w:val="clear"/>
            <w:tcMar>
              <w:top w:type="dxa" w:w="80"/>
              <w:left w:type="dxa" w:w="120"/>
              <w:bottom w:type="dxa" w:w="80"/>
              <w:right w:type="dxa" w:w="120"/>
            </w:tcMar>
          </w:tcPr>
          <w:p>
            <w:r>
              <w:rPr>
                <w:rFonts w:ascii="Arial" w:cs="Arial" w:eastAsia="Arial" w:hAnsi="Arial"/>
                <w:b/>
                <w:bCs/>
                <w:color w:val="FFFFFF"/>
                <w:sz w:val="19"/>
                <w:szCs w:val="19"/>
              </w:rPr>
              <w:t xml:space="preserve">What it validates</w:t>
            </w:r>
          </w:p>
        </w:tc>
      </w:tr>
      <w:tr>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Father</w:t>
            </w:r>
          </w:p>
        </w:tc>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H9 (dharma, fortune)</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0.25</w:t>
            </w:r>
          </w:p>
        </w:tc>
        <w:tc>
          <w:tcPr>
            <w:tcW w:type="dxa" w:w="37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Career, luck, spirituality, higher education predictions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Mother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H4 (home, emotional roots)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0.25</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Domestic, property, emotional wellbeing predictions</w:t>
            </w:r>
          </w:p>
        </w:tc>
      </w:tr>
      <w:tr>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Spouse / life partner</w:t>
            </w:r>
          </w:p>
        </w:tc>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H7 (partnership)</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0.30</w:t>
            </w:r>
          </w:p>
        </w:tc>
        <w:tc>
          <w:tcPr>
            <w:tcW w:type="dxa" w:w="37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Relationship, business partnership, travel predictions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Firstborn child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H5 (progeny, creativity)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0.25</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Creative, speculative, children, intelligence predictions</w:t>
            </w:r>
          </w:p>
        </w:tc>
      </w:tr>
      <w:tr>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Younger sibling</w:t>
            </w:r>
          </w:p>
        </w:tc>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H3 (courage, communication)</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0.15</w:t>
            </w:r>
          </w:p>
        </w:tc>
        <w:tc>
          <w:tcPr>
            <w:tcW w:type="dxa" w:w="37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Communication, courage, media, short-journey predictions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Elder sibling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H11 (gains, elder sibling)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0.15</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Financial gains, social network, aspirations predictions</w:t>
            </w:r>
          </w:p>
        </w:tc>
      </w:tr>
      <w:tr>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Paternal grandfather (or D12)</w:t>
            </w:r>
          </w:p>
        </w:tc>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H9 of H9 = H5 derived via D12</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0.12</w:t>
            </w:r>
          </w:p>
        </w:tc>
        <w:tc>
          <w:tcPr>
            <w:tcW w:type="dxa" w:w="37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Intellectual inheritance, ancestral wisdom patterns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Maternal grandmother (or D12)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H4 of H4 = H7 derived via D12</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0.12</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Emotional inheritance, relationship karma patterns</w:t>
            </w:r>
          </w:p>
        </w:tc>
      </w:tr>
    </w:tbl>
    <w:p>
      <w:pPr>
        <w:spacing w:after="120"/>
      </w:pPr>
      <w:r>
        <w:t xml:space="preserve"/>
      </w:r>
    </w:p>
    <w:p>
      <w:pPr>
        <w:pStyle w:val="Heading2"/>
      </w:pPr>
      <w:r>
        <w:rPr>
          <w:rFonts w:ascii="Arial" w:cs="Arial" w:eastAsia="Arial" w:hAnsi="Arial"/>
          <w:b/>
          <w:bCs/>
          <w:color w:val="8B1A1A"/>
          <w:sz w:val="26"/>
          <w:szCs w:val="26"/>
        </w:rPr>
        <w:t xml:space="preserve">4.4 D12 Without Family Birth Data — Minimum Viable Feature</w:t>
      </w:r>
    </w:p>
    <w:p>
      <w:pPr>
        <w:pBdr>
          <w:left w:val="single" w:color="1E5FA0" w:sz="18" w:space="1"/>
        </w:pBdr>
        <w:shd w:fill="F0F4FF" w:val="clear"/>
        <w:spacing w:after="130"/>
        <w:ind w:left="300" w:right="200"/>
      </w:pPr>
      <w:r>
        <w:rPr>
          <w:rFonts w:ascii="Arial" w:cs="Arial" w:eastAsia="Arial" w:hAnsi="Arial"/>
          <w:sz w:val="20"/>
          <w:szCs w:val="20"/>
        </w:rPr>
        <w:t xml:space="preserve">D12 (Dwadasamsha) can be computed from the user's own birth data alone. It does not require any family member chart. D12 maps ancestral influences onto the user's chart and is buildable immediately — PyJHora implements it. This is the zero-friction entry point for the multigenerational feature: every user gets ancestral pattern analysis without collecting any additional data.</w:t>
      </w:r>
    </w:p>
    <w:p>
      <w:pPr>
        <w:spacing w:after="120"/>
      </w:pPr>
      <w:r>
        <w:t xml:space="preserve"/>
      </w:r>
    </w:p>
    <w:p>
      <w:pPr>
        <w:pStyle w:val="Heading2"/>
      </w:pPr>
      <w:r>
        <w:rPr>
          <w:rFonts w:ascii="Arial" w:cs="Arial" w:eastAsia="Arial" w:hAnsi="Arial"/>
          <w:b/>
          <w:bCs/>
          <w:color w:val="8B1A1A"/>
          <w:sz w:val="26"/>
          <w:szCs w:val="26"/>
        </w:rPr>
        <w:t xml:space="preserve">4.5 Family Data Model (Abbreviated — Full Schema in Prior Appendix)</w:t>
      </w:r>
    </w:p>
    <w:p>
      <w:pPr>
        <w:spacing w:after="110"/>
      </w:pPr>
      <w:r>
        <w:rPr>
          <w:rFonts w:ascii="Arial" w:cs="Arial" w:eastAsia="Arial" w:hAnsi="Arial"/>
          <w:sz w:val="22"/>
          <w:szCs w:val="22"/>
        </w:rPr>
        <w:t xml:space="preserve">Key tables required: family_members (with consent_status, is_minor, living_status), family_charts, family_dasha_timeline (including user_house_activated and activation_score), and family_pattern_discoveries. Full schema specified in Appendix Section 4.3.1.</w:t>
      </w:r>
    </w:p>
    <w:p>
      <w:pPr>
        <w:spacing w:after="120"/>
      </w:pPr>
      <w:r>
        <w:t xml:space="preserve"/>
      </w:r>
    </w:p>
    <w:p>
      <w:pPr>
        <w:pStyle w:val="Heading2"/>
      </w:pPr>
      <w:r>
        <w:rPr>
          <w:rFonts w:ascii="Arial" w:cs="Arial" w:eastAsia="Arial" w:hAnsi="Arial"/>
          <w:b/>
          <w:bCs/>
          <w:color w:val="8B1A1A"/>
          <w:sz w:val="26"/>
          <w:szCs w:val="26"/>
        </w:rPr>
        <w:t xml:space="preserve">4.6 Privacy Architecture for Family Members</w:t>
      </w:r>
    </w:p>
    <w:p>
      <w:pPr>
        <w:pStyle w:val="ListParagraph"/>
        <w:numPr>
          <w:ilvl w:val="0"/>
          <w:numId w:val="2"/>
        </w:numPr>
        <w:spacing w:after="80"/>
      </w:pPr>
      <w:r>
        <w:rPr>
          <w:rFonts w:ascii="Arial" w:cs="Arial" w:eastAsia="Arial" w:hAnsi="Arial"/>
          <w:sz w:val="22"/>
          <w:szCs w:val="22"/>
        </w:rPr>
        <w:t xml:space="preserve">Each family member is a separate data subject — requires independent consent invitation (email or SMS token they must accept)</w:t>
      </w:r>
    </w:p>
    <w:p>
      <w:pPr>
        <w:pStyle w:val="ListParagraph"/>
        <w:numPr>
          <w:ilvl w:val="0"/>
          <w:numId w:val="2"/>
        </w:numPr>
        <w:spacing w:after="80"/>
      </w:pPr>
      <w:r>
        <w:rPr>
          <w:rFonts w:ascii="Arial" w:cs="Arial" w:eastAsia="Arial" w:hAnsi="Arial"/>
          <w:sz w:val="22"/>
          <w:szCs w:val="22"/>
        </w:rPr>
        <w:t xml:space="preserve">Family members can revoke consent independently at any time — their chart immediately removed from all analyses</w:t>
      </w:r>
    </w:p>
    <w:p>
      <w:pPr>
        <w:pStyle w:val="ListParagraph"/>
        <w:numPr>
          <w:ilvl w:val="0"/>
          <w:numId w:val="2"/>
        </w:numPr>
        <w:spacing w:after="80"/>
      </w:pPr>
      <w:r>
        <w:rPr>
          <w:rFonts w:ascii="Arial" w:cs="Arial" w:eastAsia="Arial" w:hAnsi="Arial"/>
          <w:sz w:val="22"/>
          <w:szCs w:val="22"/>
        </w:rPr>
        <w:t xml:space="preserve">Minors (under 18): parental consent required; data stored separately; auto-deleted at age 18 unless opted back in; never used for any commercial purpose</w:t>
      </w:r>
    </w:p>
    <w:p>
      <w:pPr>
        <w:pStyle w:val="ListParagraph"/>
        <w:numPr>
          <w:ilvl w:val="0"/>
          <w:numId w:val="2"/>
        </w:numPr>
        <w:spacing w:after="80"/>
      </w:pPr>
      <w:r>
        <w:rPr>
          <w:rFonts w:ascii="Arial" w:cs="Arial" w:eastAsia="Arial" w:hAnsi="Arial"/>
          <w:sz w:val="22"/>
          <w:szCs w:val="22"/>
        </w:rPr>
        <w:t xml:space="preserve">Deceased family members: no consent required under DPDP/GDPR; limit use to ancestral pattern analysis only</w:t>
      </w:r>
    </w:p>
    <w:p>
      <w:pPr>
        <w:pStyle w:val="ListParagraph"/>
        <w:numPr>
          <w:ilvl w:val="0"/>
          <w:numId w:val="2"/>
        </w:numPr>
        <w:spacing w:after="80"/>
      </w:pPr>
      <w:r>
        <w:rPr>
          <w:rFonts w:ascii="Arial" w:cs="Arial" w:eastAsia="Arial" w:hAnsi="Arial"/>
          <w:sz w:val="22"/>
          <w:szCs w:val="22"/>
        </w:rPr>
        <w:t xml:space="preserve">Data minimisation: only birth data and relationship type stored — no surnames, no identification information</w:t>
      </w:r>
    </w:p>
    <w:p>
      <w:pPr>
        <w:spacing w:after="120"/>
      </w:pPr>
      <w:r>
        <w:t xml:space="preserve"/>
      </w:r>
    </w:p>
    <w:p>
      <w:pPr>
        <w:pStyle w:val="Heading2"/>
      </w:pPr>
      <w:r>
        <w:rPr>
          <w:rFonts w:ascii="Arial" w:cs="Arial" w:eastAsia="Arial" w:hAnsi="Arial"/>
          <w:b/>
          <w:bCs/>
          <w:color w:val="8B1A1A"/>
          <w:sz w:val="26"/>
          <w:szCs w:val="26"/>
        </w:rPr>
        <w:t xml:space="preserve">4.7 UX Sequencing — Progressive Revelation</w:t>
      </w:r>
    </w:p>
    <w:p>
      <w:pPr>
        <w:spacing w:after="110"/>
      </w:pPr>
      <w:r>
        <w:rPr>
          <w:rFonts w:ascii="Arial" w:cs="Arial" w:eastAsia="Arial" w:hAnsi="Arial"/>
          <w:sz w:val="22"/>
          <w:szCs w:val="22"/>
        </w:rPr>
        <w:t xml:space="preserve">D12 ancestral analysis on Day 0 (no family data needed). Family invitation after 20Q completion creates curiosity. Family dasha cascade alert when a family member's dasha changes is the retention hook that no competitor can replicate.</w:t>
      </w:r>
    </w:p>
    <w:p>
      <w:pPr>
        <w:spacing w:after="120"/>
      </w:pPr>
      <w:r>
        <w:t xml:space="preserve"/>
      </w:r>
    </w:p>
    <w:p>
      <w:pPr>
        <w:pStyle w:val="Heading2"/>
      </w:pPr>
      <w:r>
        <w:rPr>
          <w:rFonts w:ascii="Arial" w:cs="Arial" w:eastAsia="Arial" w:hAnsi="Arial"/>
          <w:b/>
          <w:bCs/>
          <w:color w:val="8B1A1A"/>
          <w:sz w:val="26"/>
          <w:szCs w:val="26"/>
        </w:rPr>
        <w:t xml:space="preserve">4.8 Session Allocation for Multigenerational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200"/>
        <w:gridCol w:w="2460"/>
      </w:tblGrid>
      <w:tr>
        <w:tc>
          <w:tcPr>
            <w:tcW w:type="dxa" w:w="1700"/>
            <w:tcBorders>
              <w:top w:val="single" w:color="888888" w:sz="1"/>
              <w:left w:val="single" w:color="888888" w:sz="1"/>
              <w:bottom w:val="single" w:color="888888" w:sz="1"/>
              <w:right w:val="single" w:color="888888" w:sz="1"/>
            </w:tcBorders>
            <w:shd w:fill="1C1C1C" w:val="clear"/>
            <w:tcMar>
              <w:top w:type="dxa" w:w="80"/>
              <w:left w:type="dxa" w:w="120"/>
              <w:bottom w:type="dxa" w:w="80"/>
              <w:right w:type="dxa" w:w="120"/>
            </w:tcMar>
          </w:tcPr>
          <w:p>
            <w:r>
              <w:rPr>
                <w:rFonts w:ascii="Arial" w:cs="Arial" w:eastAsia="Arial" w:hAnsi="Arial"/>
                <w:b/>
                <w:bCs/>
                <w:color w:val="FFFFFF"/>
                <w:sz w:val="19"/>
                <w:szCs w:val="19"/>
              </w:rPr>
              <w:t xml:space="preserve">Session</w:t>
            </w:r>
          </w:p>
        </w:tc>
        <w:tc>
          <w:tcPr>
            <w:tcW w:type="dxa" w:w="3000"/>
            <w:tcBorders>
              <w:top w:val="single" w:color="888888" w:sz="1"/>
              <w:left w:val="single" w:color="888888" w:sz="1"/>
              <w:bottom w:val="single" w:color="888888" w:sz="1"/>
              <w:right w:val="single" w:color="888888" w:sz="1"/>
            </w:tcBorders>
            <w:shd w:fill="1C1C1C"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c>
          <w:tcPr>
            <w:tcW w:type="dxa" w:w="2200"/>
            <w:tcBorders>
              <w:top w:val="single" w:color="888888" w:sz="1"/>
              <w:left w:val="single" w:color="888888" w:sz="1"/>
              <w:bottom w:val="single" w:color="888888" w:sz="1"/>
              <w:right w:val="single" w:color="888888" w:sz="1"/>
            </w:tcBorders>
            <w:shd w:fill="1C1C1C" w:val="clear"/>
            <w:tcMar>
              <w:top w:type="dxa" w:w="80"/>
              <w:left w:type="dxa" w:w="120"/>
              <w:bottom w:type="dxa" w:w="80"/>
              <w:right w:type="dxa" w:w="120"/>
            </w:tcMar>
          </w:tcPr>
          <w:p>
            <w:r>
              <w:rPr>
                <w:rFonts w:ascii="Arial" w:cs="Arial" w:eastAsia="Arial" w:hAnsi="Arial"/>
                <w:b/>
                <w:bCs/>
                <w:color w:val="FFFFFF"/>
                <w:sz w:val="19"/>
                <w:szCs w:val="19"/>
              </w:rPr>
              <w:t xml:space="preserve">Dependencies</w:t>
            </w:r>
          </w:p>
        </w:tc>
        <w:tc>
          <w:tcPr>
            <w:tcW w:type="dxa" w:w="2460"/>
            <w:tcBorders>
              <w:top w:val="single" w:color="888888" w:sz="1"/>
              <w:left w:val="single" w:color="888888" w:sz="1"/>
              <w:bottom w:val="single" w:color="888888" w:sz="1"/>
              <w:right w:val="single" w:color="888888" w:sz="1"/>
            </w:tcBorders>
            <w:shd w:fill="1C1C1C" w:val="clear"/>
            <w:tcMar>
              <w:top w:type="dxa" w:w="80"/>
              <w:left w:type="dxa" w:w="120"/>
              <w:bottom w:type="dxa" w:w="80"/>
              <w:right w:type="dxa" w:w="120"/>
            </w:tcMar>
          </w:tcPr>
          <w:p>
            <w:r>
              <w:rPr>
                <w:rFonts w:ascii="Arial" w:cs="Arial" w:eastAsia="Arial" w:hAnsi="Arial"/>
                <w:b/>
                <w:bCs/>
                <w:color w:val="FFFFFF"/>
                <w:sz w:val="19"/>
                <w:szCs w:val="19"/>
              </w:rPr>
              <w:t xml:space="preserve">Effort</w:t>
            </w:r>
          </w:p>
        </w:tc>
      </w:tr>
      <w:tr>
        <w:tc>
          <w:tcPr>
            <w:tcW w:type="dxa" w:w="17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S196 extended</w:t>
            </w:r>
          </w:p>
        </w:tc>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family_members + family_charts + family_dasha_timeline tables. D12 computation via PyJHora reference.</w:t>
            </w:r>
          </w:p>
        </w:tc>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S191 interfaces</w:t>
            </w:r>
          </w:p>
        </w:tc>
        <w:tc>
          <w:tcPr>
            <w:tcW w:type="dxa" w:w="24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Add to S196 — 0.5 additional sessions</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S197 extended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Family dasha cascade computation. relationship_to_house_map. family_boost contribution to prediction score.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S196, S192 HouseScore</w:t>
            </w:r>
          </w:p>
        </w:tc>
        <w:tc>
          <w:tcPr>
            <w:tcW w:type="dxa" w:w="2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1 additional session within temporal engine build</w:t>
            </w:r>
          </w:p>
        </w:tc>
      </w:tr>
      <w:tr>
        <w:tc>
          <w:tcPr>
            <w:tcW w:type="dxa" w:w="17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S201a (new)</w:t>
            </w:r>
          </w:p>
        </w:tc>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D12 ancestral analysis UX — available to all users from Day 0 with zero extra data collection.</w:t>
            </w:r>
          </w:p>
        </w:tc>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S196 D12 data</w:t>
            </w:r>
          </w:p>
        </w:tc>
        <w:tc>
          <w:tcPr>
            <w:tcW w:type="dxa" w:w="24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1 dedicated session</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S202a (new)</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Family invitation flow. Consent token generation. Minor detection and parental consent pathway.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S196 tables, legal review</w:t>
            </w:r>
          </w:p>
        </w:tc>
        <w:tc>
          <w:tcPr>
            <w:tcW w:type="dxa" w:w="2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1-2 sessions — consent architecture is complex</w:t>
            </w:r>
          </w:p>
        </w:tc>
      </w:tr>
      <w:tr>
        <w:tc>
          <w:tcPr>
            <w:tcW w:type="dxa" w:w="17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S203a (new)</w:t>
            </w:r>
          </w:p>
        </w:tc>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Family-confirmed prediction enrichment UI. 'Confirmed by 3 family charts — unusually strong signal.' Visual family relationship map.</w:t>
            </w:r>
          </w:p>
        </w:tc>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S202a, S197 family boost</w:t>
            </w:r>
          </w:p>
        </w:tc>
        <w:tc>
          <w:tcPr>
            <w:tcW w:type="dxa" w:w="24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1 session</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S204a (new)</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Family dasha cascade alerts. 'Your mother has entered Rahu MD. This activates your H4.' Push notification system.</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S202a, S197 cascade</w:t>
            </w:r>
          </w:p>
        </w:tc>
        <w:tc>
          <w:tcPr>
            <w:tcW w:type="dxa" w:w="2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1 session</w:t>
            </w:r>
          </w:p>
        </w:tc>
      </w:tr>
    </w:tbl>
    <w:p>
      <w:r>
        <w:br w:type="page"/>
      </w:r>
    </w:p>
    <w:p>
      <w:pPr>
        <w:pStyle w:val="Heading1"/>
      </w:pPr>
      <w:r>
        <w:rPr>
          <w:rFonts w:ascii="Arial" w:cs="Arial" w:eastAsia="Arial" w:hAnsi="Arial"/>
          <w:b/>
          <w:bCs/>
          <w:color w:val="7B0000"/>
          <w:sz w:val="36"/>
          <w:szCs w:val="36"/>
        </w:rPr>
        <w:t xml:space="preserve">Gap 5 🔴  user_prior_prob Must Be Captured Before the Prediction Is Shown — Not After</w:t>
      </w:r>
    </w:p>
    <w:p>
      <w:pPr>
        <w:spacing w:after="110"/>
      </w:pPr>
      <w:r>
        <w:rPr>
          <w:rFonts w:ascii="Arial" w:cs="Arial" w:eastAsia="Arial" w:hAnsi="Arial"/>
          <w:sz w:val="22"/>
          <w:szCs w:val="22"/>
        </w:rPr>
        <w:t xml:space="preserve">This is a fatal scientific error in the current feedback schema. The documents specify that user_prior_prob is collected when users submit feedback — i.e., after the prediction window closes. This makes the field scientifically useless due to a well-documented psychological phenomenon: hindsight bias.</w:t>
      </w:r>
    </w:p>
    <w:p>
      <w:pPr>
        <w:spacing w:after="120"/>
      </w:pPr>
      <w:r>
        <w:t xml:space="preserve"/>
      </w:r>
    </w:p>
    <w:p>
      <w:pPr>
        <w:pStyle w:val="Heading2"/>
      </w:pPr>
      <w:r>
        <w:rPr>
          <w:rFonts w:ascii="Arial" w:cs="Arial" w:eastAsia="Arial" w:hAnsi="Arial"/>
          <w:b/>
          <w:bCs/>
          <w:color w:val="8B1A1A"/>
          <w:sz w:val="26"/>
          <w:szCs w:val="26"/>
        </w:rPr>
        <w:t xml:space="preserve">5.1 The Hindsight Bias Contamination</w:t>
      </w:r>
    </w:p>
    <w:p>
      <w:pPr>
        <w:spacing w:after="110"/>
      </w:pPr>
      <w:r>
        <w:rPr>
          <w:rFonts w:ascii="Arial" w:cs="Arial" w:eastAsia="Arial" w:hAnsi="Arial"/>
          <w:sz w:val="22"/>
          <w:szCs w:val="22"/>
        </w:rPr>
        <w:t xml:space="preserve">When a career change occurs and then you ask 'how likely did you think this was anyway?' — users systematically overestimate their prior expectation. They think they 'always knew' once it has happened. If no event occurs, users underestimate their prior — 'the prediction was obviously wrong.' Either direction corrupts the signal isolation calculation. You will spend years measuring hindsight bias and calling it planetary signal.</w:t>
      </w:r>
    </w:p>
    <w:p>
      <w:pPr>
        <w:pBdr>
          <w:left w:val="single" w:color="CC0000" w:sz="18" w:space="1"/>
        </w:pBdr>
        <w:shd w:fill="FFF0F0" w:val="clear"/>
        <w:spacing w:after="130"/>
        <w:ind w:left="300" w:right="200"/>
      </w:pPr>
      <w:r>
        <w:rPr>
          <w:rFonts w:ascii="Arial" w:cs="Arial" w:eastAsia="Arial" w:hAnsi="Arial"/>
          <w:sz w:val="20"/>
          <w:szCs w:val="20"/>
        </w:rPr>
        <w:t xml:space="preserve">user_prior_prob must be captured at prediction delivery — before the prediction is revealed to the user. The sequence must be: (1) ask the prior question, (2) record the answer, (3) then show the prediction. Not after the window closes. This is a one-line schema change but it changes everything.</w:t>
      </w:r>
    </w:p>
    <w:p>
      <w:pPr>
        <w:spacing w:after="120"/>
      </w:pPr>
      <w:r>
        <w:t xml:space="preserve"/>
      </w:r>
    </w:p>
    <w:p>
      <w:pPr>
        <w:pStyle w:val="Heading2"/>
      </w:pPr>
      <w:r>
        <w:rPr>
          <w:rFonts w:ascii="Arial" w:cs="Arial" w:eastAsia="Arial" w:hAnsi="Arial"/>
          <w:b/>
          <w:bCs/>
          <w:color w:val="8B1A1A"/>
          <w:sz w:val="26"/>
          <w:szCs w:val="26"/>
        </w:rPr>
        <w:t xml:space="preserve">5.2 The Schema Fix</w:t>
      </w:r>
    </w:p>
    <w:p>
      <w:pPr>
        <w:spacing w:after="60"/>
        <w:ind w:left="720"/>
      </w:pPr>
      <w:r>
        <w:rPr>
          <w:rFonts w:ascii="Courier New" w:cs="Courier New" w:eastAsia="Courier New" w:hAnsi="Courier New"/>
          <w:sz w:val="18"/>
          <w:szCs w:val="18"/>
        </w:rPr>
        <w:t xml:space="preserve">-- user_prior_prob_pre: captured BEFORE prediction is shown</w:t>
      </w:r>
    </w:p>
    <w:p>
      <w:pPr>
        <w:spacing w:after="60"/>
        <w:ind w:left="720"/>
      </w:pPr>
      <w:r>
        <w:rPr>
          <w:rFonts w:ascii="Courier New" w:cs="Courier New" w:eastAsia="Courier New" w:hAnsi="Courier New"/>
          <w:sz w:val="18"/>
          <w:szCs w:val="18"/>
        </w:rPr>
        <w:t xml:space="preserve">ALTER TABLE predictions ADD COLUMN user_prior_prob_pre FLOAT;</w:t>
      </w:r>
    </w:p>
    <w:p>
      <w:pPr>
        <w:spacing w:after="60"/>
        <w:ind w:left="720"/>
      </w:pPr>
      <w:r>
        <w:rPr>
          <w:rFonts w:ascii="Courier New" w:cs="Courier New" w:eastAsia="Courier New" w:hAnsi="Courier New"/>
          <w:sz w:val="18"/>
          <w:szCs w:val="18"/>
        </w:rPr>
        <w:t xml:space="preserve">ALTER TABLE predictions ADD COLUMN prior_captured_at TIMESTAMPTZ;</w:t>
      </w:r>
    </w:p>
    <w:p>
      <w:pPr>
        <w:spacing w:after="60"/>
        <w:ind w:left="720"/>
      </w:pPr>
      <w:r>
        <w:rPr>
          <w:rFonts w:ascii="Courier New" w:cs="Courier New" w:eastAsia="Courier New" w:hAnsi="Courier New"/>
          <w:sz w:val="18"/>
          <w:szCs w:val="18"/>
        </w:rPr>
        <w:t xml:space="preserve">-- The question shown: 'Before seeing our assessment, how likely do you</w:t>
      </w:r>
    </w:p>
    <w:p>
      <w:pPr>
        <w:spacing w:after="60"/>
        <w:ind w:left="720"/>
      </w:pPr>
      <w:r>
        <w:rPr>
          <w:rFonts w:ascii="Courier New" w:cs="Courier New" w:eastAsia="Courier New" w:hAnsi="Courier New"/>
          <w:sz w:val="18"/>
          <w:szCs w:val="18"/>
        </w:rPr>
        <w:t xml:space="preserve">-- think a significant [domain] event is in the next [window]?' (0-10 scale)</w:t>
      </w:r>
    </w:p>
    <w:p>
      <w:pPr>
        <w:spacing w:after="60"/>
        <w:ind w:left="720"/>
      </w:pPr>
      <w:r>
        <w:rPr>
          <w:rFonts w:ascii="Courier New" w:cs="Courier New" w:eastAsia="Courier New" w:hAnsi="Courier New"/>
          <w:sz w:val="18"/>
          <w:szCs w:val="18"/>
        </w:rPr>
        <w:t xml:space="preserve">-- Signal = confidence_mean - user_prior_prob_pre</w:t>
      </w:r>
    </w:p>
    <w:p>
      <w:pPr>
        <w:spacing w:after="60"/>
        <w:ind w:left="720"/>
      </w:pPr>
      <w:r>
        <w:rPr>
          <w:rFonts w:ascii="Courier New" w:cs="Courier New" w:eastAsia="Courier New" w:hAnsi="Courier New"/>
          <w:sz w:val="18"/>
          <w:szCs w:val="18"/>
        </w:rPr>
        <w:t xml:space="preserve">-- Hindsight delta = feedback.user_prior_prob - predictions.user_prior_prob_pre</w:t>
      </w:r>
    </w:p>
    <w:p>
      <w:pPr>
        <w:spacing w:after="110"/>
      </w:pPr>
      <w:r>
        <w:rPr>
          <w:rFonts w:ascii="Arial" w:cs="Arial" w:eastAsia="Arial" w:hAnsi="Arial"/>
          <w:sz w:val="22"/>
          <w:szCs w:val="22"/>
        </w:rPr>
        <w:t xml:space="preserve">The hindsight delta is itself scientifically valuable — it measures how surprising the event was, which is stronger evidence of planetary signal than events the user expected anyway.</w:t>
      </w:r>
    </w:p>
    <w:p>
      <w:r>
        <w:br w:type="page"/>
      </w:r>
    </w:p>
    <w:p>
      <w:pPr>
        <w:pStyle w:val="Heading1"/>
      </w:pPr>
      <w:r>
        <w:rPr>
          <w:rFonts w:ascii="Arial" w:cs="Arial" w:eastAsia="Arial" w:hAnsi="Arial"/>
          <w:b/>
          <w:bCs/>
          <w:color w:val="7B0000"/>
          <w:sz w:val="36"/>
          <w:szCs w:val="36"/>
        </w:rPr>
        <w:t xml:space="preserve">Gap 6 🟠  Onboarding Friction Will Kill the Product Before Scale</w:t>
      </w:r>
    </w:p>
    <w:p>
      <w:pPr>
        <w:spacing w:after="110"/>
      </w:pPr>
      <w:r>
        <w:rPr>
          <w:rFonts w:ascii="Arial" w:cs="Arial" w:eastAsia="Arial" w:hAnsi="Arial"/>
          <w:sz w:val="22"/>
          <w:szCs w:val="22"/>
        </w:rPr>
        <w:t xml:space="preserve">The current onboarding requires: birth data → 20-question personality protocol → 3-8 autobiography events → before any meaningful prediction. This is commercially fatal. AstroTalk's model is: birth data → chart in 30 seconds. Every additional step loses users.</w:t>
      </w:r>
    </w:p>
    <w:p>
      <w:pPr>
        <w:pBdr>
          <w:left w:val="single" w:color="1A6A1A" w:sz="18" w:space="1"/>
        </w:pBdr>
        <w:shd w:fill="F0FFF0" w:val="clear"/>
        <w:spacing w:after="130"/>
        <w:ind w:left="300" w:right="200"/>
      </w:pPr>
      <w:r>
        <w:rPr>
          <w:rFonts w:ascii="Arial" w:cs="Arial" w:eastAsia="Arial" w:hAnsi="Arial"/>
          <w:sz w:val="20"/>
          <w:szCs w:val="20"/>
        </w:rPr>
        <w:t xml:space="preserve">Progressive value architecture: Day 0 delivers full D1 chart and top 3 themes immediately. 20Q questions spread across 7 days, 3 per day, each unlocking richer prediction detail. Autobiography spread across days 14-21. The user experiences the engine improving as they contribute data. Full specification in the first version of this document.</w:t>
      </w:r>
    </w:p>
    <w:p>
      <w:r>
        <w:br w:type="page"/>
      </w:r>
    </w:p>
    <w:p>
      <w:pPr>
        <w:pStyle w:val="Heading1"/>
      </w:pPr>
      <w:r>
        <w:rPr>
          <w:rFonts w:ascii="Arial" w:cs="Arial" w:eastAsia="Arial" w:hAnsi="Arial"/>
          <w:b/>
          <w:bCs/>
          <w:color w:val="7B0000"/>
          <w:sz w:val="36"/>
          <w:szCs w:val="36"/>
        </w:rPr>
        <w:t xml:space="preserve">Gap 7 🟠  Revenue Model Is Underspecified — But Also Missequenced</w:t>
      </w:r>
    </w:p>
    <w:p>
      <w:pPr>
        <w:spacing w:after="110"/>
      </w:pPr>
      <w:r>
        <w:rPr>
          <w:rFonts w:ascii="Arial" w:cs="Arial" w:eastAsia="Arial" w:hAnsi="Arial"/>
          <w:sz w:val="22"/>
          <w:szCs w:val="22"/>
        </w:rPr>
        <w:t xml:space="preserve">The documents project $25M ARR by 2030. The tier architecture, conversion mechanism, and pricing strategy are entirely absent. This is not a detail — it determines every product decision. Full tier architecture proposed in the first version. However, there is a sequencing error not identified previously: the Life Audit product (retrospective autobiography) should be monetised before the Muhurat optimizer, because it generates the richest training data and can be sold to users on Day 30 when they have completed the autobiography protocol. The Muhurat optimizer requires the full ML pipeline (Year 2). The Life Audit requires only the temporal model (Q3 2026).</w:t>
      </w:r>
    </w:p>
    <w:p>
      <w:pPr>
        <w:spacing w:after="120"/>
      </w:pPr>
      <w:r>
        <w:t xml:space="preserve"/>
      </w:r>
    </w:p>
    <w:p>
      <w:pPr>
        <w:pBdr>
          <w:left w:val="single" w:color="1E5FA0" w:sz="18" w:space="1"/>
        </w:pBdr>
        <w:shd w:fill="F0F4FF" w:val="clear"/>
        <w:spacing w:after="130"/>
        <w:ind w:left="300" w:right="200"/>
      </w:pPr>
      <w:r>
        <w:rPr>
          <w:rFonts w:ascii="Arial" w:cs="Arial" w:eastAsia="Arial" w:hAnsi="Arial"/>
          <w:sz w:val="20"/>
          <w:szCs w:val="20"/>
        </w:rPr>
        <w:t xml:space="preserve">The correct commercial sequence: (1) Free → Core subscription (Q4 2026), (2) Life Audit premium product (Q4 2026 alongside subscriptions), (3) Muhurat optimizer (Q1-Q2 2027), (4) Family Pattern Report (Q2 2027), (5) Precision and Family tiers (Q3 2027). Do not wait for the full ML pipeline before generating revenue.</w:t>
      </w:r>
    </w:p>
    <w:p>
      <w:r>
        <w:br w:type="page"/>
      </w:r>
    </w:p>
    <w:p>
      <w:pPr>
        <w:pStyle w:val="Heading1"/>
      </w:pPr>
      <w:r>
        <w:rPr>
          <w:rFonts w:ascii="Arial" w:cs="Arial" w:eastAsia="Arial" w:hAnsi="Arial"/>
          <w:b/>
          <w:bCs/>
          <w:color w:val="7B0000"/>
          <w:sz w:val="36"/>
          <w:szCs w:val="36"/>
        </w:rPr>
        <w:t xml:space="preserve">Gap 8 🟡  The Moat Window Is Vulnerable — Especially Because the Code Is Open Source</w:t>
      </w:r>
    </w:p>
    <w:p>
      <w:pPr>
        <w:spacing w:after="110"/>
      </w:pPr>
      <w:r>
        <w:rPr>
          <w:rFonts w:ascii="Arial" w:cs="Arial" w:eastAsia="Arial" w:hAnsi="Arial"/>
          <w:sz w:val="22"/>
          <w:szCs w:val="22"/>
        </w:rPr>
        <w:t xml:space="preserve">The documents acknowledge the moat window vulnerability but do not address the specific threat of open-source exposure. LagnaMaster is on GitHub. The complete architecture — feedback schema, Bayesian update pipeline, user_prior_prob mechanism, 20Q protocol — is visible to any funded competitor in real time. AstroSage ($40M raised in adjacent space), AstroTalk ($34M VC), and new entrants can read the architecture the day it is committed.</w:t>
      </w:r>
    </w:p>
    <w:p>
      <w:pPr>
        <w:spacing w:after="120"/>
      </w:pPr>
      <w:r>
        <w:t xml:space="preserve"/>
      </w:r>
    </w:p>
    <w:p>
      <w:pPr>
        <w:pStyle w:val="Heading2"/>
      </w:pPr>
      <w:r>
        <w:rPr>
          <w:rFonts w:ascii="Arial" w:cs="Arial" w:eastAsia="Arial" w:hAnsi="Arial"/>
          <w:b/>
          <w:bCs/>
          <w:color w:val="8B1A1A"/>
          <w:sz w:val="26"/>
          <w:szCs w:val="26"/>
        </w:rPr>
        <w:t xml:space="preserve">8.1 What Cannot Be Copied in 12 Months</w:t>
      </w:r>
    </w:p>
    <w:p>
      <w:pPr>
        <w:spacing w:after="110"/>
      </w:pPr>
      <w:r>
        <w:rPr>
          <w:rFonts w:ascii="Arial" w:cs="Arial" w:eastAsia="Arial" w:hAnsi="Arial"/>
          <w:sz w:val="22"/>
          <w:szCs w:val="22"/>
        </w:rPr>
        <w:t xml:space="preserve">Three things that a funded competitor cannot immediately replicate even with full visibility into the architecture:</w:t>
      </w:r>
    </w:p>
    <w:p>
      <w:pPr>
        <w:pStyle w:val="ListParagraph"/>
        <w:numPr>
          <w:ilvl w:val="0"/>
          <w:numId w:val="2"/>
        </w:numPr>
        <w:spacing w:after="80"/>
      </w:pPr>
      <w:r>
        <w:rPr>
          <w:rFonts w:ascii="Arial" w:cs="Arial" w:eastAsia="Arial" w:hAnsi="Arial"/>
          <w:sz w:val="22"/>
          <w:szCs w:val="22"/>
        </w:rPr>
        <w:t xml:space="preserve">Scientific credibility infrastructure: OSF pre-registrations, published calibration reports, the prediction ledger — these take 18 months to build genuinely and cannot be faked. AstroSage cannot pre-register a study that did not exist before.</w:t>
      </w:r>
    </w:p>
    <w:p>
      <w:pPr>
        <w:pStyle w:val="ListParagraph"/>
        <w:numPr>
          <w:ilvl w:val="0"/>
          <w:numId w:val="2"/>
        </w:numPr>
        <w:spacing w:after="80"/>
      </w:pPr>
      <w:r>
        <w:rPr>
          <w:rFonts w:ascii="Arial" w:cs="Arial" w:eastAsia="Arial" w:hAnsi="Arial"/>
          <w:sz w:val="22"/>
          <w:szCs w:val="22"/>
        </w:rPr>
        <w:t xml:space="preserve">Classical corpus depth with source citations: 1,500 structured rules each with chapter/verse citations, school attribution, and test coverage. This is not copyable at speed.</w:t>
      </w:r>
    </w:p>
    <w:p>
      <w:pPr>
        <w:pStyle w:val="ListParagraph"/>
        <w:numPr>
          <w:ilvl w:val="0"/>
          <w:numId w:val="2"/>
        </w:numPr>
        <w:spacing w:after="80"/>
      </w:pPr>
      <w:r>
        <w:rPr>
          <w:rFonts w:ascii="Arial" w:cs="Arial" w:eastAsia="Arial" w:hAnsi="Arial"/>
          <w:sz w:val="22"/>
          <w:szCs w:val="22"/>
        </w:rPr>
        <w:t xml:space="preserve">Community of scientifically curious users: this segment has been actively ignored by AstroTalk and AstroSage. The brand positioning required to attract them cannot be claimed authentically by a consultation marketplace overnight.</w:t>
      </w:r>
    </w:p>
    <w:p>
      <w:pPr>
        <w:spacing w:after="120"/>
      </w:pPr>
      <w:r>
        <w:t xml:space="preserve"/>
      </w:r>
    </w:p>
    <w:p>
      <w:pPr>
        <w:pBdr>
          <w:left w:val="single" w:color="1A6A1A" w:sz="18" w:space="1"/>
        </w:pBdr>
        <w:shd w:fill="F0FFF0" w:val="clear"/>
        <w:spacing w:after="130"/>
        <w:ind w:left="300" w:right="200"/>
      </w:pPr>
      <w:r>
        <w:rPr>
          <w:rFonts w:ascii="Arial" w:cs="Arial" w:eastAsia="Arial" w:hAnsi="Arial"/>
          <w:sz w:val="20"/>
          <w:szCs w:val="20"/>
        </w:rPr>
        <w:t xml:space="preserve">Publish the first OSF pre-registration Q1 2026 before any analysis runs. Publish calibration_ob3.json findings as a preprint Q2 2026. Build a visible 'Science' section in the product showing published methodology. This creates credibility that cannot be copied because it requires time — not just engineering.</w:t>
      </w:r>
    </w:p>
    <w:p>
      <w:r>
        <w:br w:type="page"/>
      </w:r>
    </w:p>
    <w:p>
      <w:pPr>
        <w:pStyle w:val="Heading1"/>
      </w:pPr>
      <w:r>
        <w:rPr>
          <w:rFonts w:ascii="Arial" w:cs="Arial" w:eastAsia="Arial" w:hAnsi="Arial"/>
          <w:b/>
          <w:bCs/>
          <w:color w:val="7B0000"/>
          <w:sz w:val="36"/>
          <w:szCs w:val="36"/>
        </w:rPr>
        <w:t xml:space="preserve">Gap 9 🟡  Anti-Prediction Zone UX Needs Reframing</w:t>
      </w:r>
    </w:p>
    <w:p>
      <w:pPr>
        <w:spacing w:after="110"/>
      </w:pPr>
      <w:r>
        <w:rPr>
          <w:rFonts w:ascii="Arial" w:cs="Arial" w:eastAsia="Arial" w:hAnsi="Arial"/>
          <w:sz w:val="22"/>
          <w:szCs w:val="22"/>
        </w:rPr>
        <w:t xml:space="preserve">The anti-prediction zone is scientifically correct — suppress when concordance &lt; 0.35. But a paid user who receives 'Your H7 is too ambiguous to forecast' will churn. The observation is valuable; the language is wrong. Full reframe proposed in the first version of this document. One addition here: the suppression rate (15-25% of predictions) should never be communicated as a percentage to users. Frame it as a feature: 'We only show you predictions we are confident enough to stand behind.'</w:t>
      </w:r>
    </w:p>
    <w:p>
      <w:r>
        <w:br w:type="page"/>
      </w:r>
    </w:p>
    <w:p>
      <w:pPr>
        <w:pStyle w:val="Heading1"/>
      </w:pPr>
      <w:r>
        <w:rPr>
          <w:rFonts w:ascii="Arial" w:cs="Arial" w:eastAsia="Arial" w:hAnsi="Arial"/>
          <w:b/>
          <w:bCs/>
          <w:color w:val="7B0000"/>
          <w:sz w:val="36"/>
          <w:szCs w:val="36"/>
        </w:rPr>
        <w:t xml:space="preserve">Gap 10 🔴  The Ayanamsha Controversy Is Completely Absent — This Is a Major Technical Gap</w:t>
      </w:r>
    </w:p>
    <w:p>
      <w:pPr>
        <w:spacing w:after="110"/>
      </w:pPr>
      <w:r>
        <w:rPr>
          <w:rFonts w:ascii="Arial" w:cs="Arial" w:eastAsia="Arial" w:hAnsi="Arial"/>
          <w:sz w:val="22"/>
          <w:szCs w:val="22"/>
        </w:rPr>
        <w:t xml:space="preserve">The LagnaMaster engine uses Lahiri ayanamsha. This is never stated explicitly in the user-facing product, and the implications are never addressed in the technical documents. This is a significant omission.</w:t>
      </w:r>
    </w:p>
    <w:p>
      <w:pPr>
        <w:spacing w:after="120"/>
      </w:pPr>
      <w:r>
        <w:t xml:space="preserve"/>
      </w:r>
    </w:p>
    <w:p>
      <w:pPr>
        <w:pStyle w:val="Heading2"/>
      </w:pPr>
      <w:r>
        <w:rPr>
          <w:rFonts w:ascii="Arial" w:cs="Arial" w:eastAsia="Arial" w:hAnsi="Arial"/>
          <w:b/>
          <w:bCs/>
          <w:color w:val="8B1A1A"/>
          <w:sz w:val="26"/>
          <w:szCs w:val="26"/>
        </w:rPr>
        <w:t xml:space="preserve">10.1 What Ayanamsha Is and Why It Matters</w:t>
      </w:r>
    </w:p>
    <w:p>
      <w:pPr>
        <w:spacing w:after="110"/>
      </w:pPr>
      <w:r>
        <w:rPr>
          <w:rFonts w:ascii="Arial" w:cs="Arial" w:eastAsia="Arial" w:hAnsi="Arial"/>
          <w:sz w:val="22"/>
          <w:szCs w:val="22"/>
        </w:rPr>
        <w:t xml:space="preserve">Ayanamsha is the offset between the tropical zodiac (Western, fixed to equinoxes) and the sidereal zodiac (Vedic, fixed to stars). The current difference is approximately 23.9°. Different Vedic traditions use different ayanamsha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000"/>
        <w:gridCol w:w="2660"/>
      </w:tblGrid>
      <w:tr>
        <w:tc>
          <w:tcPr>
            <w:tcW w:type="dxa" w:w="2500"/>
            <w:tcBorders>
              <w:top w:val="single" w:color="888888" w:sz="1"/>
              <w:left w:val="single" w:color="888888" w:sz="1"/>
              <w:bottom w:val="single" w:color="888888" w:sz="1"/>
              <w:right w:val="single" w:color="888888" w:sz="1"/>
            </w:tcBorders>
            <w:shd w:fill="1C1C1C" w:val="clear"/>
            <w:tcMar>
              <w:top w:type="dxa" w:w="80"/>
              <w:left w:type="dxa" w:w="120"/>
              <w:bottom w:type="dxa" w:w="80"/>
              <w:right w:type="dxa" w:w="120"/>
            </w:tcMar>
          </w:tcPr>
          <w:p>
            <w:r>
              <w:rPr>
                <w:rFonts w:ascii="Arial" w:cs="Arial" w:eastAsia="Arial" w:hAnsi="Arial"/>
                <w:b/>
                <w:bCs/>
                <w:color w:val="FFFFFF"/>
                <w:sz w:val="19"/>
                <w:szCs w:val="19"/>
              </w:rPr>
              <w:t xml:space="preserve">Ayanamsha</w:t>
            </w:r>
          </w:p>
        </w:tc>
        <w:tc>
          <w:tcPr>
            <w:tcW w:type="dxa" w:w="2200"/>
            <w:tcBorders>
              <w:top w:val="single" w:color="888888" w:sz="1"/>
              <w:left w:val="single" w:color="888888" w:sz="1"/>
              <w:bottom w:val="single" w:color="888888" w:sz="1"/>
              <w:right w:val="single" w:color="888888" w:sz="1"/>
            </w:tcBorders>
            <w:shd w:fill="1C1C1C" w:val="clear"/>
            <w:tcMar>
              <w:top w:type="dxa" w:w="80"/>
              <w:left w:type="dxa" w:w="120"/>
              <w:bottom w:type="dxa" w:w="80"/>
              <w:right w:type="dxa" w:w="120"/>
            </w:tcMar>
          </w:tcPr>
          <w:p>
            <w:r>
              <w:rPr>
                <w:rFonts w:ascii="Arial" w:cs="Arial" w:eastAsia="Arial" w:hAnsi="Arial"/>
                <w:b/>
                <w:bCs/>
                <w:color w:val="FFFFFF"/>
                <w:sz w:val="19"/>
                <w:szCs w:val="19"/>
              </w:rPr>
              <w:t xml:space="preserve">Degree difference from Lahiri</w:t>
            </w:r>
          </w:p>
        </w:tc>
        <w:tc>
          <w:tcPr>
            <w:tcW w:type="dxa" w:w="2000"/>
            <w:tcBorders>
              <w:top w:val="single" w:color="888888" w:sz="1"/>
              <w:left w:val="single" w:color="888888" w:sz="1"/>
              <w:bottom w:val="single" w:color="888888" w:sz="1"/>
              <w:right w:val="single" w:color="888888" w:sz="1"/>
            </w:tcBorders>
            <w:shd w:fill="1C1C1C" w:val="clear"/>
            <w:tcMar>
              <w:top w:type="dxa" w:w="80"/>
              <w:left w:type="dxa" w:w="120"/>
              <w:bottom w:type="dxa" w:w="80"/>
              <w:right w:type="dxa" w:w="120"/>
            </w:tcMar>
          </w:tcPr>
          <w:p>
            <w:r>
              <w:rPr>
                <w:rFonts w:ascii="Arial" w:cs="Arial" w:eastAsia="Arial" w:hAnsi="Arial"/>
                <w:b/>
                <w:bCs/>
                <w:color w:val="FFFFFF"/>
                <w:sz w:val="19"/>
                <w:szCs w:val="19"/>
              </w:rPr>
              <w:t xml:space="preserve">Used by</w:t>
            </w:r>
          </w:p>
        </w:tc>
        <w:tc>
          <w:tcPr>
            <w:tcW w:type="dxa" w:w="2660"/>
            <w:tcBorders>
              <w:top w:val="single" w:color="888888" w:sz="1"/>
              <w:left w:val="single" w:color="888888" w:sz="1"/>
              <w:bottom w:val="single" w:color="888888" w:sz="1"/>
              <w:right w:val="single" w:color="888888" w:sz="1"/>
            </w:tcBorders>
            <w:shd w:fill="1C1C1C" w:val="clear"/>
            <w:tcMar>
              <w:top w:type="dxa" w:w="80"/>
              <w:left w:type="dxa" w:w="120"/>
              <w:bottom w:type="dxa" w:w="80"/>
              <w:right w:type="dxa" w:w="120"/>
            </w:tcMar>
          </w:tcPr>
          <w:p>
            <w:r>
              <w:rPr>
                <w:rFonts w:ascii="Arial" w:cs="Arial" w:eastAsia="Arial" w:hAnsi="Arial"/>
                <w:b/>
                <w:bCs/>
                <w:color w:val="FFFFFF"/>
                <w:sz w:val="19"/>
                <w:szCs w:val="19"/>
              </w:rPr>
              <w:t xml:space="preserve">Effect on charts</w:t>
            </w:r>
          </w:p>
        </w:tc>
      </w:tr>
      <w:tr>
        <w:tc>
          <w:tcPr>
            <w:tcW w:type="dxa" w:w="2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Lahiri (Chitrapaksha)</w:t>
            </w:r>
          </w:p>
        </w:tc>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0° (baseline)</w:t>
            </w:r>
          </w:p>
        </w:tc>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LagnaMaster, JHora, most Indian software, government of India</w:t>
            </w:r>
          </w:p>
        </w:tc>
        <w:tc>
          <w:tcPr>
            <w:tcW w:type="dxa" w:w="26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Baseline reference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Krishnamurti (KP)</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+0.27° approx</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All KP practitioners — this is a defining difference in KP</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Can change sublord assignments, affecting all KP predictions</w:t>
            </w:r>
          </w:p>
        </w:tc>
      </w:tr>
      <w:tr>
        <w:tc>
          <w:tcPr>
            <w:tcW w:type="dxa" w:w="2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True Chitrapaksha</w:t>
            </w:r>
          </w:p>
        </w:tc>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~−0.14° from Lahiri</w:t>
            </w:r>
          </w:p>
        </w:tc>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Many Western Vedic practitioners, some Indian</w:t>
            </w:r>
          </w:p>
        </w:tc>
        <w:tc>
          <w:tcPr>
            <w:tcW w:type="dxa" w:w="26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Minor shift, affects precise navamsha boundaries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Yukteshwar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+1.54° from Lahiri</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Some Vedic astrologers following Sri Yukteshwar</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Can change sign placements for planets near sign boundaries</w:t>
            </w:r>
          </w:p>
        </w:tc>
      </w:tr>
      <w:tr>
        <w:tc>
          <w:tcPr>
            <w:tcW w:type="dxa" w:w="2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Fagan-Bradley (Western sidereal)</w:t>
            </w:r>
          </w:p>
        </w:tc>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+0.25° approx</w:t>
            </w:r>
          </w:p>
        </w:tc>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Western sidereal astrologers</w:t>
            </w:r>
          </w:p>
        </w:tc>
        <w:tc>
          <w:tcPr>
            <w:tcW w:type="dxa" w:w="26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Different tradition entirely</w:t>
            </w:r>
          </w:p>
        </w:tc>
      </w:tr>
    </w:tbl>
    <w:p>
      <w:pPr>
        <w:spacing w:after="120"/>
      </w:pPr>
      <w:r>
        <w:t xml:space="preserve"/>
      </w:r>
    </w:p>
    <w:p>
      <w:pPr>
        <w:pStyle w:val="Heading2"/>
      </w:pPr>
      <w:r>
        <w:rPr>
          <w:rFonts w:ascii="Arial" w:cs="Arial" w:eastAsia="Arial" w:hAnsi="Arial"/>
          <w:b/>
          <w:bCs/>
          <w:color w:val="8B1A1A"/>
          <w:sz w:val="26"/>
          <w:szCs w:val="26"/>
        </w:rPr>
        <w:t xml:space="preserve">10.2 The Problem</w:t>
      </w:r>
    </w:p>
    <w:p>
      <w:pPr>
        <w:spacing w:after="110"/>
      </w:pPr>
      <w:r>
        <w:rPr>
          <w:rFonts w:ascii="Arial" w:cs="Arial" w:eastAsia="Arial" w:hAnsi="Arial"/>
          <w:sz w:val="22"/>
          <w:szCs w:val="22"/>
        </w:rPr>
        <w:t xml:space="preserve">The documents describe multi-school reconciliation across Parashari, KP, and Jaimini. But KP system requires Krishnamurti ayanamsha to produce KP-valid results. Running KP rules with Lahiri ayanamsha produces systematically wrong KP predictions. The engine currently uses Lahiri for all three schools — meaning the KP school output is technically incorrect.</w:t>
      </w:r>
    </w:p>
    <w:p>
      <w:pPr>
        <w:pBdr>
          <w:left w:val="single" w:color="CC0000" w:sz="18" w:space="1"/>
        </w:pBdr>
        <w:shd w:fill="FFF0F0" w:val="clear"/>
        <w:spacing w:after="130"/>
        <w:ind w:left="300" w:right="200"/>
      </w:pPr>
      <w:r>
        <w:rPr>
          <w:rFonts w:ascii="Arial" w:cs="Arial" w:eastAsia="Arial" w:hAnsi="Arial"/>
          <w:sz w:val="20"/>
          <w:szCs w:val="20"/>
        </w:rPr>
        <w:t xml:space="preserve">The multi-school reconciliation feature is built on a mathematically inconsistent foundation. KP predictions computed with Lahiri ayanamsha are not valid KP predictions. Either: (a) use Krishnamurti ayanamsha when computing KP school results, or (b) clearly label the KP school output as 'Parashari methodology with KP weighting' rather than authentic KP. This distinction matters to practitioners.</w:t>
      </w:r>
    </w:p>
    <w:p>
      <w:pPr>
        <w:spacing w:after="120"/>
      </w:pPr>
      <w:r>
        <w:t xml:space="preserve"/>
      </w:r>
    </w:p>
    <w:p>
      <w:pPr>
        <w:pStyle w:val="Heading2"/>
      </w:pPr>
      <w:r>
        <w:rPr>
          <w:rFonts w:ascii="Arial" w:cs="Arial" w:eastAsia="Arial" w:hAnsi="Arial"/>
          <w:b/>
          <w:bCs/>
          <w:color w:val="8B1A1A"/>
          <w:sz w:val="26"/>
          <w:szCs w:val="26"/>
        </w:rPr>
        <w:t xml:space="preserve">10.3 The User Experience Problem</w:t>
      </w:r>
    </w:p>
    <w:p>
      <w:pPr>
        <w:spacing w:after="110"/>
      </w:pPr>
      <w:r>
        <w:rPr>
          <w:rFonts w:ascii="Arial" w:cs="Arial" w:eastAsia="Arial" w:hAnsi="Arial"/>
          <w:sz w:val="22"/>
          <w:szCs w:val="22"/>
        </w:rPr>
        <w:t xml:space="preserve">A user who knows their KP chart from an established KP practitioner will find their house cusps slightly different in LagnaMaster. They will conclude the software has calculation errors. This is a trust destroyer, especially for the practitioner user segment.</w:t>
      </w:r>
    </w:p>
    <w:p>
      <w:pPr>
        <w:pBdr>
          <w:left w:val="single" w:color="1A6A1A" w:sz="18" w:space="1"/>
        </w:pBdr>
        <w:shd w:fill="F0FFF0" w:val="clear"/>
        <w:spacing w:after="130"/>
        <w:ind w:left="300" w:right="200"/>
      </w:pPr>
      <w:r>
        <w:rPr>
          <w:rFonts w:ascii="Arial" w:cs="Arial" w:eastAsia="Arial" w:hAnsi="Arial"/>
          <w:sz w:val="20"/>
          <w:szCs w:val="20"/>
        </w:rPr>
        <w:t xml:space="preserve">Implement ayanamsha selection as a user setting: Lahiri (default), Krishnamurti, True Chitrapaksha. When KP school is selected, auto-suggest Krishnamurti ayanamsha. Store the ayanamsha used for each chart in the database — this is critical because if a user changes ayanamsha, historical predictions become incomparable with new ones.</w:t>
      </w:r>
    </w:p>
    <w:p>
      <w:r>
        <w:br w:type="page"/>
      </w:r>
    </w:p>
    <w:p>
      <w:pPr>
        <w:pStyle w:val="Heading1"/>
      </w:pPr>
      <w:r>
        <w:rPr>
          <w:rFonts w:ascii="Arial" w:cs="Arial" w:eastAsia="Arial" w:hAnsi="Arial"/>
          <w:b/>
          <w:bCs/>
          <w:color w:val="7B0000"/>
          <w:sz w:val="36"/>
          <w:szCs w:val="36"/>
        </w:rPr>
        <w:t xml:space="preserve">Gap 11 🔴  The 20Q Protocol Has a Circular Validation Problem</w:t>
      </w:r>
    </w:p>
    <w:p>
      <w:pPr>
        <w:spacing w:after="110"/>
      </w:pPr>
      <w:r>
        <w:rPr>
          <w:rFonts w:ascii="Arial" w:cs="Arial" w:eastAsia="Arial" w:hAnsi="Arial"/>
          <w:sz w:val="22"/>
          <w:szCs w:val="22"/>
        </w:rPr>
        <w:t xml:space="preserve">This is a subtle but serious scientific error that undermines the entire validation architecture. The 20-questions protocol uses the engine's own predictions to generate questions, then uses user confirmation rates to validate those predictions, then uses the validation to update the engine's weights. This is circular reasoning.</w:t>
      </w:r>
    </w:p>
    <w:p>
      <w:pPr>
        <w:spacing w:after="120"/>
      </w:pPr>
      <w:r>
        <w:t xml:space="preserve"/>
      </w:r>
    </w:p>
    <w:p>
      <w:pPr>
        <w:pStyle w:val="Heading2"/>
      </w:pPr>
      <w:r>
        <w:rPr>
          <w:rFonts w:ascii="Arial" w:cs="Arial" w:eastAsia="Arial" w:hAnsi="Arial"/>
          <w:b/>
          <w:bCs/>
          <w:color w:val="8B1A1A"/>
          <w:sz w:val="26"/>
          <w:szCs w:val="26"/>
        </w:rPr>
        <w:t xml:space="preserve">11.1 The Circularity</w:t>
      </w:r>
    </w:p>
    <w:p>
      <w:pPr>
        <w:spacing w:after="110"/>
      </w:pPr>
      <w:r>
        <w:rPr>
          <w:rFonts w:ascii="Arial" w:cs="Arial" w:eastAsia="Arial" w:hAnsi="Arial"/>
          <w:sz w:val="22"/>
          <w:szCs w:val="22"/>
        </w:rPr>
        <w:t xml:space="preserve">If the engine believes Mars in H10 predicts assertiveness in career, it generates the question 'Are you assertive in career situations?' Users who have Mars in H10 will tend to confirm this because Mars in H10 types often are assertive — but that confirmation is not independent evidence. It was generated by the prediction it is supposed to validate. The engine is training itself on its own beliefs.</w:t>
      </w:r>
    </w:p>
    <w:p>
      <w:pPr>
        <w:spacing w:after="120"/>
      </w:pPr>
      <w:r>
        <w:t xml:space="preserve"/>
      </w:r>
    </w:p>
    <w:p>
      <w:pPr>
        <w:pStyle w:val="Heading2"/>
      </w:pPr>
      <w:r>
        <w:rPr>
          <w:rFonts w:ascii="Arial" w:cs="Arial" w:eastAsia="Arial" w:hAnsi="Arial"/>
          <w:b/>
          <w:bCs/>
          <w:color w:val="8B1A1A"/>
          <w:sz w:val="26"/>
          <w:szCs w:val="26"/>
        </w:rPr>
        <w:t xml:space="preserve">11.2 The Failure Mode</w:t>
      </w:r>
    </w:p>
    <w:p>
      <w:pPr>
        <w:spacing w:after="110"/>
      </w:pPr>
      <w:r>
        <w:rPr>
          <w:rFonts w:ascii="Arial" w:cs="Arial" w:eastAsia="Arial" w:hAnsi="Arial"/>
          <w:sz w:val="22"/>
          <w:szCs w:val="22"/>
        </w:rPr>
        <w:t xml:space="preserve">A rule that is wrong but sounds plausible will generate confirmations from suggestible users who read the question and think 'I suppose I am like that.' The 20Q protocol will increase the engine's confidence in wrong rules if users are susceptible to the framing of the question. This is particularly dangerous for personality questions where social desirability bias is strong — most users will confirm positive personality traits regardless of their chart.</w:t>
      </w:r>
    </w:p>
    <w:p>
      <w:pPr>
        <w:spacing w:after="120"/>
      </w:pPr>
      <w:r>
        <w:t xml:space="preserve"/>
      </w:r>
    </w:p>
    <w:p>
      <w:pPr>
        <w:pBdr>
          <w:left w:val="single" w:color="CC0000" w:sz="18" w:space="1"/>
        </w:pBdr>
        <w:shd w:fill="FFF0F0" w:val="clear"/>
        <w:spacing w:after="130"/>
        <w:ind w:left="300" w:right="200"/>
      </w:pPr>
      <w:r>
        <w:rPr>
          <w:rFonts w:ascii="Arial" w:cs="Arial" w:eastAsia="Arial" w:hAnsi="Arial"/>
          <w:sz w:val="20"/>
          <w:szCs w:val="20"/>
        </w:rPr>
        <w:t xml:space="preserve">The 20Q questions must be designed by an independent person who does not know what the engine predicted. Questions must be behaviourally specific ('In the past 12 months, have you initiated any major projects without being asked to?' not 'Are you assertive?') and must not signal what the 'desired' answer is. The engine's expected answer must be locked before the question is shown and never adjusted based on user answer rates alone.</w:t>
      </w:r>
    </w:p>
    <w:p>
      <w:pPr>
        <w:spacing w:after="120"/>
      </w:pPr>
      <w:r>
        <w:t xml:space="preserve"/>
      </w:r>
    </w:p>
    <w:p>
      <w:pPr>
        <w:pBdr>
          <w:left w:val="single" w:color="1A6A1A" w:sz="18" w:space="1"/>
        </w:pBdr>
        <w:shd w:fill="F0FFF0" w:val="clear"/>
        <w:spacing w:after="130"/>
        <w:ind w:left="300" w:right="200"/>
      </w:pPr>
      <w:r>
        <w:rPr>
          <w:rFonts w:ascii="Arial" w:cs="Arial" w:eastAsia="Arial" w:hAnsi="Arial"/>
          <w:sz w:val="20"/>
          <w:szCs w:val="20"/>
        </w:rPr>
        <w:t xml:space="preserve">Add an adversarial validation set: for each natal 20Q question, also show 10% of users a control question from a different house's prediction set. If users confirm both (the house-specific question and the control), the confirmation rate is measuring social desirability bias, not planetary signal. The true signal is: confirmation_rate_house_specific minus confirmation_rate_control.</w:t>
      </w:r>
    </w:p>
    <w:p>
      <w:r>
        <w:br w:type="page"/>
      </w:r>
    </w:p>
    <w:p>
      <w:pPr>
        <w:pStyle w:val="Heading1"/>
      </w:pPr>
      <w:r>
        <w:rPr>
          <w:rFonts w:ascii="Arial" w:cs="Arial" w:eastAsia="Arial" w:hAnsi="Arial"/>
          <w:b/>
          <w:bCs/>
          <w:color w:val="7B0000"/>
          <w:sz w:val="36"/>
          <w:szCs w:val="36"/>
        </w:rPr>
        <w:t xml:space="preserve">Gap 12 🔴  Autobiographical Memory Bias Will Corrupt Training Data</w:t>
      </w:r>
    </w:p>
    <w:p>
      <w:pPr>
        <w:spacing w:after="110"/>
      </w:pPr>
      <w:r>
        <w:rPr>
          <w:rFonts w:ascii="Arial" w:cs="Arial" w:eastAsia="Arial" w:hAnsi="Arial"/>
          <w:sz w:val="22"/>
          <w:szCs w:val="22"/>
        </w:rPr>
        <w:t xml:space="preserve">The dasha autobiography protocol asks users to input 5-8 past life events with approximate dates. The documents do not acknowledge that autobiographical memory is systematically wrong about dates, often by months or years. This is not a minor calibration issue — it is the primary input to the training pipeline.</w:t>
      </w:r>
    </w:p>
    <w:p>
      <w:pPr>
        <w:spacing w:after="120"/>
      </w:pPr>
      <w:r>
        <w:t xml:space="preserve"/>
      </w:r>
    </w:p>
    <w:p>
      <w:pPr>
        <w:pStyle w:val="Heading2"/>
      </w:pPr>
      <w:r>
        <w:rPr>
          <w:rFonts w:ascii="Arial" w:cs="Arial" w:eastAsia="Arial" w:hAnsi="Arial"/>
          <w:b/>
          <w:bCs/>
          <w:color w:val="8B1A1A"/>
          <w:sz w:val="26"/>
          <w:szCs w:val="26"/>
        </w:rPr>
        <w:t xml:space="preserve">12.1 What the Research Shows</w:t>
      </w:r>
    </w:p>
    <w:p>
      <w:pPr>
        <w:spacing w:after="110"/>
      </w:pPr>
      <w:r>
        <w:rPr>
          <w:rFonts w:ascii="Arial" w:cs="Arial" w:eastAsia="Arial" w:hAnsi="Arial"/>
          <w:sz w:val="22"/>
          <w:szCs w:val="22"/>
        </w:rPr>
        <w:t xml:space="preserve">Studies of autobiographical memory consistently find: (1) people misdate events by an average of 3-6 months even for significant life events within 5 years; (2) negative events are dated as more recent than they were ('telescoping' effect); (3) events from the same life period are often confused with each other; (4) users actively reconstruct memories rather than recall them, meaning the dasha period they think an event happened in may not be the dasha that was actually active.</w:t>
      </w:r>
    </w:p>
    <w:p>
      <w:pPr>
        <w:spacing w:after="120"/>
      </w:pPr>
      <w:r>
        <w:t xml:space="preserve"/>
      </w:r>
    </w:p>
    <w:p>
      <w:pPr>
        <w:pStyle w:val="Heading2"/>
      </w:pPr>
      <w:r>
        <w:rPr>
          <w:rFonts w:ascii="Arial" w:cs="Arial" w:eastAsia="Arial" w:hAnsi="Arial"/>
          <w:b/>
          <w:bCs/>
          <w:color w:val="8B1A1A"/>
          <w:sz w:val="26"/>
          <w:szCs w:val="26"/>
        </w:rPr>
        <w:t xml:space="preserve">12.2 The Training Data Consequence</w:t>
      </w:r>
    </w:p>
    <w:p>
      <w:pPr>
        <w:spacing w:after="110"/>
      </w:pPr>
      <w:r>
        <w:rPr>
          <w:rFonts w:ascii="Arial" w:cs="Arial" w:eastAsia="Arial" w:hAnsi="Arial"/>
          <w:sz w:val="22"/>
          <w:szCs w:val="22"/>
        </w:rPr>
        <w:t xml:space="preserve">If a user had a job change in January 2019 but remembers it as 'early 2019' and enters March 2019, they are attributing the event to the wrong AD sub-period (Jupiter AD ended February 2019, Saturn AD began March 2019). The engine records a Saturn AD confirmation for what was actually a Jupiter AD event. Scaled across thousands of autobiography events, this systematically misdirects the Bayesian weight update.</w:t>
      </w:r>
    </w:p>
    <w:p>
      <w:pPr>
        <w:spacing w:after="120"/>
      </w:pPr>
      <w:r>
        <w:t xml:space="preserve"/>
      </w:r>
    </w:p>
    <w:p>
      <w:pPr>
        <w:pBdr>
          <w:left w:val="single" w:color="1A6A1A" w:sz="18" w:space="1"/>
        </w:pBdr>
        <w:shd w:fill="F0FFF0" w:val="clear"/>
        <w:spacing w:after="130"/>
        <w:ind w:left="300" w:right="200"/>
      </w:pPr>
      <w:r>
        <w:rPr>
          <w:rFonts w:ascii="Arial" w:cs="Arial" w:eastAsia="Arial" w:hAnsi="Arial"/>
          <w:sz w:val="20"/>
          <w:szCs w:val="20"/>
        </w:rPr>
        <w:t xml:space="preserve">Design the autobiography interface to anchor dates: 'Was this before or after [a personally significant fixed anchor, like the start of a new school year, a known election, or a widely remembered event]?' Provide a month/year slider rather than a freetext date. Show the user which dasha lord was active for each month they select — this creates a memory cue ('yes, that was during my Saturn period, I remember because...') that dramatically improves date accuracy. Additionally: weight autobiography events by date confidence. Events with exact dates (job offer letter, marriage certificate) get full weight. Events with estimated months get 70% weight. Events with year-only estimates get 30% weight.</w:t>
      </w:r>
    </w:p>
    <w:p>
      <w:r>
        <w:br w:type="page"/>
      </w:r>
    </w:p>
    <w:p>
      <w:pPr>
        <w:pStyle w:val="Heading1"/>
      </w:pPr>
      <w:r>
        <w:rPr>
          <w:rFonts w:ascii="Arial" w:cs="Arial" w:eastAsia="Arial" w:hAnsi="Arial"/>
          <w:b/>
          <w:bCs/>
          <w:color w:val="7B0000"/>
          <w:sz w:val="36"/>
          <w:szCs w:val="36"/>
        </w:rPr>
        <w:t xml:space="preserve">Gap 13 🟠  Adversarial Feedback and Confirmation Gaming Are Not Addressed</w:t>
      </w:r>
    </w:p>
    <w:p>
      <w:pPr>
        <w:spacing w:after="110"/>
      </w:pPr>
      <w:r>
        <w:rPr>
          <w:rFonts w:ascii="Arial" w:cs="Arial" w:eastAsia="Arial" w:hAnsi="Arial"/>
          <w:sz w:val="22"/>
          <w:szCs w:val="22"/>
        </w:rPr>
        <w:t xml:space="preserve">The feedback system assumes users provide honest, accurate reports of life events. There are at least three classes of adversarial users who will systematically corrupt training data, and the documents have no detection or mitigation strategy.</w:t>
      </w:r>
    </w:p>
    <w:p>
      <w:pPr>
        <w:spacing w:after="120"/>
      </w:pPr>
      <w:r>
        <w:t xml:space="preserve"/>
      </w:r>
    </w:p>
    <w:p>
      <w:pPr>
        <w:pStyle w:val="Heading2"/>
      </w:pPr>
      <w:r>
        <w:rPr>
          <w:rFonts w:ascii="Arial" w:cs="Arial" w:eastAsia="Arial" w:hAnsi="Arial"/>
          <w:b/>
          <w:bCs/>
          <w:color w:val="8B1A1A"/>
          <w:sz w:val="26"/>
          <w:szCs w:val="26"/>
        </w:rPr>
        <w:t xml:space="preserve">13.1 The Three Adversarial Classes</w:t>
      </w:r>
    </w:p>
    <w:p>
      <w:pPr>
        <w:pStyle w:val="ListParagraph"/>
        <w:numPr>
          <w:ilvl w:val="0"/>
          <w:numId w:val="2"/>
        </w:numPr>
        <w:spacing w:after="80"/>
      </w:pPr>
      <w:r>
        <w:rPr>
          <w:rFonts w:ascii="Arial" w:cs="Arial" w:eastAsia="Arial" w:hAnsi="Arial"/>
          <w:sz w:val="22"/>
          <w:szCs w:val="22"/>
        </w:rPr>
        <w:t xml:space="preserve">Enthusiastic believers: users who want the engine to be right will confirm predictions that technically occurred but were not caused by the predicted mechanism ('I had a minor career conversation, so I'll confirm the major career change prediction'). Confirmation rate from this class is inflated and misleading.</w:t>
      </w:r>
    </w:p>
    <w:p>
      <w:pPr>
        <w:pStyle w:val="ListParagraph"/>
        <w:numPr>
          <w:ilvl w:val="0"/>
          <w:numId w:val="2"/>
        </w:numPr>
        <w:spacing w:after="80"/>
      </w:pPr>
      <w:r>
        <w:rPr>
          <w:rFonts w:ascii="Arial" w:cs="Arial" w:eastAsia="Arial" w:hAnsi="Arial"/>
          <w:sz w:val="22"/>
          <w:szCs w:val="22"/>
        </w:rPr>
        <w:t xml:space="preserve">Frustrated sceptics: users who think the engine is wrong will deny predictions that partially occurred. Disconfirmation rate from this class is inflated.</w:t>
      </w:r>
    </w:p>
    <w:p>
      <w:pPr>
        <w:pStyle w:val="ListParagraph"/>
        <w:numPr>
          <w:ilvl w:val="0"/>
          <w:numId w:val="2"/>
        </w:numPr>
        <w:spacing w:after="80"/>
      </w:pPr>
      <w:r>
        <w:rPr>
          <w:rFonts w:ascii="Arial" w:cs="Arial" w:eastAsia="Arial" w:hAnsi="Arial"/>
          <w:sz w:val="22"/>
          <w:szCs w:val="22"/>
        </w:rPr>
        <w:t xml:space="preserve">Rational gamers: users who discover that confirming predictions unlocks better predictions (or other product features) will confirm regardless of actual events. If the product ever rewards confirmation with feature unlocks, this becomes a systemic problem.</w:t>
      </w:r>
    </w:p>
    <w:p>
      <w:pPr>
        <w:spacing w:after="120"/>
      </w:pPr>
      <w:r>
        <w:t xml:space="preserve"/>
      </w:r>
    </w:p>
    <w:p>
      <w:pPr>
        <w:pStyle w:val="Heading2"/>
      </w:pPr>
      <w:r>
        <w:rPr>
          <w:rFonts w:ascii="Arial" w:cs="Arial" w:eastAsia="Arial" w:hAnsi="Arial"/>
          <w:b/>
          <w:bCs/>
          <w:color w:val="8B1A1A"/>
          <w:sz w:val="26"/>
          <w:szCs w:val="26"/>
        </w:rPr>
        <w:t xml:space="preserve">13.2 Detection Signals</w:t>
      </w:r>
    </w:p>
    <w:p>
      <w:pPr>
        <w:spacing w:after="110"/>
      </w:pPr>
      <w:r>
        <w:rPr>
          <w:rFonts w:ascii="Arial" w:cs="Arial" w:eastAsia="Arial" w:hAnsi="Arial"/>
          <w:sz w:val="22"/>
          <w:szCs w:val="22"/>
        </w:rPr>
        <w:t xml:space="preserve">The schema as designed contains everything needed to detect suspicious patterns if you look for them:</w:t>
      </w:r>
    </w:p>
    <w:p>
      <w:pPr>
        <w:pStyle w:val="ListParagraph"/>
        <w:numPr>
          <w:ilvl w:val="0"/>
          <w:numId w:val="2"/>
        </w:numPr>
        <w:spacing w:after="80"/>
      </w:pPr>
      <w:r>
        <w:rPr>
          <w:rFonts w:ascii="Arial" w:cs="Arial" w:eastAsia="Arial" w:hAnsi="Arial"/>
          <w:sz w:val="22"/>
          <w:szCs w:val="22"/>
        </w:rPr>
        <w:t xml:space="preserve">A user who confirms every prediction regardless of domain or timing is an enthusiastic believer — their confirmations should be down-weighted</w:t>
      </w:r>
    </w:p>
    <w:p>
      <w:pPr>
        <w:pStyle w:val="ListParagraph"/>
        <w:numPr>
          <w:ilvl w:val="0"/>
          <w:numId w:val="2"/>
        </w:numPr>
        <w:spacing w:after="80"/>
      </w:pPr>
      <w:r>
        <w:rPr>
          <w:rFonts w:ascii="Arial" w:cs="Arial" w:eastAsia="Arial" w:hAnsi="Arial"/>
          <w:sz w:val="22"/>
          <w:szCs w:val="22"/>
        </w:rPr>
        <w:t xml:space="preserve">A user whose timing_accuracy is always 'in_window' with no variation is suspicious — real events cluster around prediction windows but also fall outside them</w:t>
      </w:r>
    </w:p>
    <w:p>
      <w:pPr>
        <w:pStyle w:val="ListParagraph"/>
        <w:numPr>
          <w:ilvl w:val="0"/>
          <w:numId w:val="2"/>
        </w:numPr>
        <w:spacing w:after="80"/>
      </w:pPr>
      <w:r>
        <w:rPr>
          <w:rFonts w:ascii="Arial" w:cs="Arial" w:eastAsia="Arial" w:hAnsi="Arial"/>
          <w:sz w:val="22"/>
          <w:szCs w:val="22"/>
        </w:rPr>
        <w:t xml:space="preserve">occurrence_certainty always 0.9+ across all predictions is implausible — real users are uncertain about some events</w:t>
      </w:r>
    </w:p>
    <w:p>
      <w:pPr>
        <w:spacing w:after="60"/>
        <w:ind w:left="720"/>
      </w:pPr>
      <w:r>
        <w:rPr>
          <w:rFonts w:ascii="Courier New" w:cs="Courier New" w:eastAsia="Courier New" w:hAnsi="Courier New"/>
          <w:sz w:val="18"/>
          <w:szCs w:val="18"/>
        </w:rPr>
        <w:t xml:space="preserve">-- Credibility score per user (computed, not stored permanently)</w:t>
      </w:r>
    </w:p>
    <w:p>
      <w:pPr>
        <w:spacing w:after="60"/>
        <w:ind w:left="720"/>
      </w:pPr>
      <w:r>
        <w:rPr>
          <w:rFonts w:ascii="Courier New" w:cs="Courier New" w:eastAsia="Courier New" w:hAnsi="Courier New"/>
          <w:sz w:val="18"/>
          <w:szCs w:val="18"/>
        </w:rPr>
        <w:t xml:space="preserve">credibility = f(variation_in_occurrence_certainty,</w:t>
      </w:r>
    </w:p>
    <w:p>
      <w:pPr>
        <w:spacing w:after="60"/>
        <w:ind w:left="720"/>
      </w:pPr>
      <w:r>
        <w:rPr>
          <w:rFonts w:ascii="Courier New" w:cs="Courier New" w:eastAsia="Courier New" w:hAnsi="Courier New"/>
          <w:sz w:val="18"/>
          <w:szCs w:val="18"/>
        </w:rPr>
        <w:t xml:space="preserve">               variation_in_domain_match,</w:t>
      </w:r>
    </w:p>
    <w:p>
      <w:pPr>
        <w:spacing w:after="60"/>
        <w:ind w:left="720"/>
      </w:pPr>
      <w:r>
        <w:rPr>
          <w:rFonts w:ascii="Courier New" w:cs="Courier New" w:eastAsia="Courier New" w:hAnsi="Courier New"/>
          <w:sz w:val="18"/>
          <w:szCs w:val="18"/>
        </w:rPr>
        <w:t xml:space="preserve">               actual_vs_predicted_timing_distribution,</w:t>
      </w:r>
    </w:p>
    <w:p>
      <w:pPr>
        <w:spacing w:after="60"/>
        <w:ind w:left="720"/>
      </w:pPr>
      <w:r>
        <w:rPr>
          <w:rFonts w:ascii="Courier New" w:cs="Courier New" w:eastAsia="Courier New" w:hAnsi="Courier New"/>
          <w:sz w:val="18"/>
          <w:szCs w:val="18"/>
        </w:rPr>
        <w:t xml:space="preserve">               prior_vs_posterior_hindsight_delta)</w:t>
      </w:r>
    </w:p>
    <w:p>
      <w:pPr>
        <w:spacing w:after="60"/>
        <w:ind w:left="720"/>
      </w:pPr>
      <w:r>
        <w:rPr>
          <w:rFonts w:ascii="Courier New" w:cs="Courier New" w:eastAsia="Courier New" w:hAnsi="Courier New"/>
          <w:sz w:val="18"/>
          <w:szCs w:val="18"/>
        </w:rPr>
        <w:t xml:space="preserve">-- Feedback events from credibility &lt; 0.5 users down-weighted in training</w:t>
      </w:r>
    </w:p>
    <w:p>
      <w:r>
        <w:br w:type="page"/>
      </w:r>
    </w:p>
    <w:p>
      <w:pPr>
        <w:pStyle w:val="Heading1"/>
      </w:pPr>
      <w:r>
        <w:rPr>
          <w:rFonts w:ascii="Arial" w:cs="Arial" w:eastAsia="Arial" w:hAnsi="Arial"/>
          <w:b/>
          <w:bCs/>
          <w:color w:val="7B0000"/>
          <w:sz w:val="36"/>
          <w:szCs w:val="36"/>
        </w:rPr>
        <w:t xml:space="preserve">Gap 14 🟠  The 15% Feedback Submission Rate Target Has No Empirical Basis</w:t>
      </w:r>
    </w:p>
    <w:p>
      <w:pPr>
        <w:spacing w:after="110"/>
      </w:pPr>
      <w:r>
        <w:rPr>
          <w:rFonts w:ascii="Arial" w:cs="Arial" w:eastAsia="Arial" w:hAnsi="Arial"/>
          <w:sz w:val="22"/>
          <w:szCs w:val="22"/>
        </w:rPr>
        <w:t xml:space="preserve">The entire ML pipeline — Bayesian weight updates, SHAP validation, HDBSCAN clustering — depends on users closing the prediction loop. The 2026 target is 15% feedback submission rate. This number appears in the scorecard without any empirical justification. It may be wrong by a factor of 5.</w:t>
      </w:r>
    </w:p>
    <w:p>
      <w:pPr>
        <w:spacing w:after="120"/>
      </w:pPr>
      <w:r>
        <w:t xml:space="preserve"/>
      </w:r>
    </w:p>
    <w:p>
      <w:pPr>
        <w:pStyle w:val="Heading2"/>
      </w:pPr>
      <w:r>
        <w:rPr>
          <w:rFonts w:ascii="Arial" w:cs="Arial" w:eastAsia="Arial" w:hAnsi="Arial"/>
          <w:b/>
          <w:bCs/>
          <w:color w:val="8B1A1A"/>
          <w:sz w:val="26"/>
          <w:szCs w:val="26"/>
        </w:rPr>
        <w:t xml:space="preserve">14.1 Industry Benchmarks</w:t>
      </w:r>
    </w:p>
    <w:p>
      <w:pPr>
        <w:spacing w:after="110"/>
      </w:pPr>
      <w:r>
        <w:rPr>
          <w:rFonts w:ascii="Arial" w:cs="Arial" w:eastAsia="Arial" w:hAnsi="Arial"/>
          <w:sz w:val="22"/>
          <w:szCs w:val="22"/>
        </w:rPr>
        <w:t xml:space="preserve">Consumer app feedback rates across industries: app store reviews ~0.5-1% of MAU; NPS survey completion ~5-10%; product feedback requests ~2-8%; email survey responses ~20-30% for highly engaged users. For a prediction platform where feedback requires waiting until a multi-month window closes, 15% is optimistic. 3-5% is a more realistic cold-start baseline.</w:t>
      </w:r>
    </w:p>
    <w:p>
      <w:pPr>
        <w:spacing w:after="120"/>
      </w:pPr>
      <w:r>
        <w:t xml:space="preserve"/>
      </w:r>
    </w:p>
    <w:p>
      <w:pPr>
        <w:pStyle w:val="Heading2"/>
      </w:pPr>
      <w:r>
        <w:rPr>
          <w:rFonts w:ascii="Arial" w:cs="Arial" w:eastAsia="Arial" w:hAnsi="Arial"/>
          <w:b/>
          <w:bCs/>
          <w:color w:val="8B1A1A"/>
          <w:sz w:val="26"/>
          <w:szCs w:val="26"/>
        </w:rPr>
        <w:t xml:space="preserve">14.2 Why This Matters More Than Any Other KPI</w:t>
      </w:r>
    </w:p>
    <w:p>
      <w:pPr>
        <w:spacing w:after="110"/>
      </w:pPr>
      <w:r>
        <w:rPr>
          <w:rFonts w:ascii="Arial" w:cs="Arial" w:eastAsia="Arial" w:hAnsi="Arial"/>
          <w:sz w:val="22"/>
          <w:szCs w:val="22"/>
        </w:rPr>
        <w:t xml:space="preserve">If feedback rate is 3% rather than 15%, the confirmed event database reaches 1,000 events in 2028 rather than 2026. The entire scientific validation timeline shifts by 18-24 months. Every downstream milestone (SHAP analysis, Bayesian convergence, cluster social proof, peer review submission) slips correspondingly. The Brier score stays near 0.25 (random) for longer. The commercial differentiation from competitors does not materialise in the window where it matters.</w:t>
      </w:r>
    </w:p>
    <w:p>
      <w:pPr>
        <w:pBdr>
          <w:left w:val="single" w:color="CC0000" w:sz="18" w:space="1"/>
        </w:pBdr>
        <w:shd w:fill="FFF0F0" w:val="clear"/>
        <w:spacing w:after="130"/>
        <w:ind w:left="300" w:right="200"/>
      </w:pPr>
      <w:r>
        <w:rPr>
          <w:rFonts w:ascii="Arial" w:cs="Arial" w:eastAsia="Arial" w:hAnsi="Arial"/>
          <w:sz w:val="20"/>
          <w:szCs w:val="20"/>
        </w:rPr>
        <w:t xml:space="preserve">The feedback submission rate is the most important operational metric in the entire product. It is also the most likely to disappoint. Design the entire product around maximising it: push notifications at window close, framing feedback as 'help improve predictions for 847 users with charts like yours,' gamification without corrupting the training signal, and — most importantly — shorter prediction windows initially (4-6 weeks rather than 6-12 months) to generate faster closure cycles.</w:t>
      </w:r>
    </w:p>
    <w:p>
      <w:r>
        <w:br w:type="page"/>
      </w:r>
    </w:p>
    <w:p>
      <w:pPr>
        <w:pStyle w:val="Heading1"/>
      </w:pPr>
      <w:r>
        <w:rPr>
          <w:rFonts w:ascii="Arial" w:cs="Arial" w:eastAsia="Arial" w:hAnsi="Arial"/>
          <w:b/>
          <w:bCs/>
          <w:color w:val="7B0000"/>
          <w:sz w:val="36"/>
          <w:szCs w:val="36"/>
        </w:rPr>
        <w:t xml:space="preserve">Gap 15 🟠  There Is No UX for Failed 20Q Validation — 42% of Users Will See It</w:t>
      </w:r>
    </w:p>
    <w:p>
      <w:pPr>
        <w:spacing w:after="110"/>
      </w:pPr>
      <w:r>
        <w:rPr>
          <w:rFonts w:ascii="Arial" w:cs="Arial" w:eastAsia="Arial" w:hAnsi="Arial"/>
          <w:sz w:val="22"/>
          <w:szCs w:val="22"/>
        </w:rPr>
        <w:t xml:space="preserve">The documents state that if natal 20Q confirmation rate is below 55%, predictions are suspended and the user is asked to verify birth time. Given the 2026 target is 58%, approximately 42% of 2026 users will be at or near the threshold. There is no UX specification for what these users experience.</w:t>
      </w:r>
    </w:p>
    <w:p>
      <w:pPr>
        <w:spacing w:after="120"/>
      </w:pPr>
      <w:r>
        <w:t xml:space="preserve"/>
      </w:r>
    </w:p>
    <w:p>
      <w:pPr>
        <w:pStyle w:val="Heading2"/>
      </w:pPr>
      <w:r>
        <w:rPr>
          <w:rFonts w:ascii="Arial" w:cs="Arial" w:eastAsia="Arial" w:hAnsi="Arial"/>
          <w:b/>
          <w:bCs/>
          <w:color w:val="8B1A1A"/>
          <w:sz w:val="26"/>
          <w:szCs w:val="26"/>
        </w:rPr>
        <w:t xml:space="preserve">15.1 The Experience Gap</w:t>
      </w:r>
    </w:p>
    <w:p>
      <w:pPr>
        <w:spacing w:after="110"/>
      </w:pPr>
      <w:r>
        <w:rPr>
          <w:rFonts w:ascii="Arial" w:cs="Arial" w:eastAsia="Arial" w:hAnsi="Arial"/>
          <w:sz w:val="22"/>
          <w:szCs w:val="22"/>
        </w:rPr>
        <w:t xml:space="preserve">A user onboards, inputs birth data, answers 20 questions, and then receives: 'Our confidence in your chart is below threshold. Please verify your birth time.' They paid $8/month. They completed the onboarding protocol. They receive a suspension message with no alternative value and no clear path forward. They churn.</w:t>
      </w:r>
    </w:p>
    <w:p>
      <w:pPr>
        <w:spacing w:after="120"/>
      </w:pPr>
      <w:r>
        <w:t xml:space="preserve"/>
      </w:r>
    </w:p>
    <w:p>
      <w:pPr>
        <w:pBdr>
          <w:left w:val="single" w:color="1A6A1A" w:sz="18" w:space="1"/>
        </w:pBdr>
        <w:shd w:fill="F0FFF0" w:val="clear"/>
        <w:spacing w:after="130"/>
        <w:ind w:left="300" w:right="200"/>
      </w:pPr>
      <w:r>
        <w:rPr>
          <w:rFonts w:ascii="Arial" w:cs="Arial" w:eastAsia="Arial" w:hAnsi="Arial"/>
          <w:sz w:val="20"/>
          <w:szCs w:val="20"/>
        </w:rPr>
        <w:t xml:space="preserve">Design the failed 20Q experience explicitly: (1) show the user which personality dimensions the engine predicted correctly and which missed ('We were right about your approach to relationships and creative expression. We missed on your response to authority.'); (2) offer the birth time rectification tool immediately; (3) tell them which predictions ARE available despite lower confidence (D1-level career and relationship themes are robust even with birth time uncertainty — only divisional chart predictions require high confidence); (4) set a return date ('We'll re-run your calibration on [specific date] once you've had a chance to verify your birth time.'). The failed 20Q is not a rejection — it is a calibration invitation.</w:t>
      </w:r>
    </w:p>
    <w:p>
      <w:r>
        <w:br w:type="page"/>
      </w:r>
    </w:p>
    <w:p>
      <w:pPr>
        <w:pStyle w:val="Heading1"/>
      </w:pPr>
      <w:r>
        <w:rPr>
          <w:rFonts w:ascii="Arial" w:cs="Arial" w:eastAsia="Arial" w:hAnsi="Arial"/>
          <w:b/>
          <w:bCs/>
          <w:color w:val="7B0000"/>
          <w:sz w:val="36"/>
          <w:szCs w:val="36"/>
        </w:rPr>
        <w:t xml:space="preserve">Gap 16 🟡  Negativity Bias Will Systematically Skew Training Data Toward Malefic Rules</w:t>
      </w:r>
    </w:p>
    <w:p>
      <w:pPr>
        <w:spacing w:after="110"/>
      </w:pPr>
      <w:r>
        <w:rPr>
          <w:rFonts w:ascii="Arial" w:cs="Arial" w:eastAsia="Arial" w:hAnsi="Arial"/>
          <w:sz w:val="22"/>
          <w:szCs w:val="22"/>
        </w:rPr>
        <w:t xml:space="preserve">Humans remember negative events more vividly, more accurately, and date them more precisely than positive events. This is one of the most replicated findings in cognitive psychology. The autobiography protocol and ongoing feedback will therefore systematically over-confirm malefic predictions (Saturn MD difficulties, Mars afflictions) and under-confirm benefic ones (Jupiter MD growth, Venus period harmony).</w:t>
      </w:r>
    </w:p>
    <w:p>
      <w:pPr>
        <w:spacing w:after="120"/>
      </w:pPr>
      <w:r>
        <w:t xml:space="preserve"/>
      </w:r>
    </w:p>
    <w:p>
      <w:pPr>
        <w:pStyle w:val="Heading2"/>
      </w:pPr>
      <w:r>
        <w:rPr>
          <w:rFonts w:ascii="Arial" w:cs="Arial" w:eastAsia="Arial" w:hAnsi="Arial"/>
          <w:b/>
          <w:bCs/>
          <w:color w:val="8B1A1A"/>
          <w:sz w:val="26"/>
          <w:szCs w:val="26"/>
        </w:rPr>
        <w:t xml:space="preserve">16.1 The Training Data Consequence</w:t>
      </w:r>
    </w:p>
    <w:p>
      <w:pPr>
        <w:spacing w:after="110"/>
      </w:pPr>
      <w:r>
        <w:rPr>
          <w:rFonts w:ascii="Arial" w:cs="Arial" w:eastAsia="Arial" w:hAnsi="Arial"/>
          <w:sz w:val="22"/>
          <w:szCs w:val="22"/>
        </w:rPr>
        <w:t xml:space="preserve">After 100,000 confirmed events, malefic rules will have received more confirmations than benefic rules — not because they are more accurate, but because negative events are more memorable and more precisely dated. The Bayesian weight update will therefore raise weights on malefic rules and lower weights on benefic rules, producing a systematically pessimistic engine.</w:t>
      </w:r>
    </w:p>
    <w:p>
      <w:pPr>
        <w:spacing w:after="120"/>
      </w:pPr>
      <w:r>
        <w:t xml:space="preserve"/>
      </w:r>
    </w:p>
    <w:p>
      <w:pPr>
        <w:pStyle w:val="Heading2"/>
      </w:pPr>
      <w:r>
        <w:rPr>
          <w:rFonts w:ascii="Arial" w:cs="Arial" w:eastAsia="Arial" w:hAnsi="Arial"/>
          <w:b/>
          <w:bCs/>
          <w:color w:val="8B1A1A"/>
          <w:sz w:val="26"/>
          <w:szCs w:val="26"/>
        </w:rPr>
        <w:t xml:space="preserve">16.2 The Fix</w:t>
      </w:r>
    </w:p>
    <w:p>
      <w:pPr>
        <w:spacing w:after="110"/>
      </w:pPr>
      <w:r>
        <w:rPr>
          <w:rFonts w:ascii="Arial" w:cs="Arial" w:eastAsia="Arial" w:hAnsi="Arial"/>
          <w:sz w:val="22"/>
          <w:szCs w:val="22"/>
        </w:rPr>
        <w:t xml:space="preserve">In the feedback interface, prompt users differently for positive and negative events: for predicted positive events, explicitly note 'Positive events are often absorbed quietly — please take a moment to reflect on any growth or recognition in this period.' For predicted negative events, ask the user to rate intensity — very intense negative events are more likely to be accurately recalled. Use the intensity rating to weight-adjust the confirmation signal: high-intensity events are likely accurately recalled; medium and low-intensity events may be subject to negativity bias and should receive reduced weight in the Bayesian update.</w:t>
      </w:r>
    </w:p>
    <w:p>
      <w:r>
        <w:br w:type="page"/>
      </w:r>
    </w:p>
    <w:p>
      <w:pPr>
        <w:pStyle w:val="Heading1"/>
      </w:pPr>
      <w:r>
        <w:rPr>
          <w:rFonts w:ascii="Arial" w:cs="Arial" w:eastAsia="Arial" w:hAnsi="Arial"/>
          <w:b/>
          <w:bCs/>
          <w:color w:val="7B0000"/>
          <w:sz w:val="36"/>
          <w:szCs w:val="36"/>
        </w:rPr>
        <w:t xml:space="preserve">Gap 17 🟡  Cluster Privacy: Small Clusters Identify Individuals</w:t>
      </w:r>
    </w:p>
    <w:p>
      <w:pPr>
        <w:spacing w:after="110"/>
      </w:pPr>
      <w:r>
        <w:rPr>
          <w:rFonts w:ascii="Arial" w:cs="Arial" w:eastAsia="Arial" w:hAnsi="Arial"/>
          <w:sz w:val="22"/>
          <w:szCs w:val="22"/>
        </w:rPr>
        <w:t xml:space="preserve">The HDBSCAN cluster social proof feature proposes showing users: '67 users with structurally similar charts confirmed a career change during Jupiter MD.' The privacy implication is not addressed: in a cluster of 12 users, revealing even aggregate statistics (domain, event type, timing) may be sufficient to identify individuals in small communities.</w:t>
      </w:r>
    </w:p>
    <w:p>
      <w:pPr>
        <w:spacing w:after="120"/>
      </w:pPr>
      <w:r>
        <w:t xml:space="preserve"/>
      </w:r>
    </w:p>
    <w:p>
      <w:pPr>
        <w:pBdr>
          <w:left w:val="single" w:color="1A6A1A" w:sz="18" w:space="1"/>
        </w:pBdr>
        <w:shd w:fill="F0FFF0" w:val="clear"/>
        <w:spacing w:after="130"/>
        <w:ind w:left="300" w:right="200"/>
      </w:pPr>
      <w:r>
        <w:rPr>
          <w:rFonts w:ascii="Arial" w:cs="Arial" w:eastAsia="Arial" w:hAnsi="Arial"/>
          <w:sz w:val="20"/>
          <w:szCs w:val="20"/>
        </w:rPr>
        <w:t xml:space="preserve">Minimum cluster size for any social proof display: 30 users. Below 30, the engine shows: 'Insufficient data from similar charts — your prediction is based on classical rules only.' This protects privacy and also honestly communicates prediction confidence. Add the minimum cluster size as a hard-coded constant that can only be raised, never lowered, in any future version.</w:t>
      </w:r>
    </w:p>
    <w:p>
      <w:r>
        <w:br w:type="page"/>
      </w:r>
    </w:p>
    <w:p>
      <w:pPr>
        <w:pStyle w:val="Heading1"/>
      </w:pPr>
      <w:r>
        <w:rPr>
          <w:rFonts w:ascii="Arial" w:cs="Arial" w:eastAsia="Arial" w:hAnsi="Arial"/>
          <w:b/>
          <w:bCs/>
          <w:color w:val="7B0000"/>
          <w:sz w:val="36"/>
          <w:szCs w:val="36"/>
        </w:rPr>
        <w:t xml:space="preserve">Gap 18 🟡  Twins in the Dataset Are a Data Quality Problem, Not a Twin Study</w:t>
      </w:r>
    </w:p>
    <w:p>
      <w:pPr>
        <w:spacing w:after="110"/>
      </w:pPr>
      <w:r>
        <w:rPr>
          <w:rFonts w:ascii="Arial" w:cs="Arial" w:eastAsia="Arial" w:hAnsi="Arial"/>
          <w:sz w:val="22"/>
          <w:szCs w:val="22"/>
        </w:rPr>
        <w:t xml:space="preserve">The twin registry study is proposed as a research initiative (Year 3). But twins will also organically onboard as regular users — and they represent a data quality problem that will surface much earlier.</w:t>
      </w:r>
    </w:p>
    <w:p>
      <w:pPr>
        <w:spacing w:after="120"/>
      </w:pPr>
      <w:r>
        <w:t xml:space="preserve"/>
      </w:r>
    </w:p>
    <w:p>
      <w:pPr>
        <w:pStyle w:val="Heading2"/>
      </w:pPr>
      <w:r>
        <w:rPr>
          <w:rFonts w:ascii="Arial" w:cs="Arial" w:eastAsia="Arial" w:hAnsi="Arial"/>
          <w:b/>
          <w:bCs/>
          <w:color w:val="8B1A1A"/>
          <w:sz w:val="26"/>
          <w:szCs w:val="26"/>
        </w:rPr>
        <w:t xml:space="preserve">18.1 The Problem</w:t>
      </w:r>
    </w:p>
    <w:p>
      <w:pPr>
        <w:spacing w:after="110"/>
      </w:pPr>
      <w:r>
        <w:rPr>
          <w:rFonts w:ascii="Arial" w:cs="Arial" w:eastAsia="Arial" w:hAnsi="Arial"/>
          <w:sz w:val="22"/>
          <w:szCs w:val="22"/>
        </w:rPr>
        <w:t xml:space="preserve">Identical twins born 8 minutes apart may have nearly identical D1 charts. The HDBSCAN clustering will place them in the same cluster. If they have significantly different life outcomes (one became a lawyer, the other an artist), their feedback will appear as contradictory confirmations and disconfirmations of the same chart configuration. The Bayesian update will treat this as noise and reduce weight on the rules that distinguish their charts — when in fact those minutes of difference (lagna degree, nakshatra pada) may be the most signal-rich data in the entire training set.</w:t>
      </w:r>
    </w:p>
    <w:p>
      <w:pPr>
        <w:spacing w:after="120"/>
      </w:pPr>
      <w:r>
        <w:t xml:space="preserve"/>
      </w:r>
    </w:p>
    <w:p>
      <w:pPr>
        <w:pBdr>
          <w:left w:val="single" w:color="1A6A1A" w:sz="18" w:space="1"/>
        </w:pBdr>
        <w:shd w:fill="F0FFF0" w:val="clear"/>
        <w:spacing w:after="130"/>
        <w:ind w:left="300" w:right="200"/>
      </w:pPr>
      <w:r>
        <w:rPr>
          <w:rFonts w:ascii="Arial" w:cs="Arial" w:eastAsia="Arial" w:hAnsi="Arial"/>
          <w:sz w:val="20"/>
          <w:szCs w:val="20"/>
        </w:rPr>
        <w:t xml:space="preserve">Add a flag in the onboarding: 'Do you have a twin?' If yes, route these users into a dedicated twin validation track where their data is analysed separately and weighted differently. Twins who knowingly participate in a validation study are the most valuable research data the product can collect, and they should be treated as such — not averaged into the general training pool.</w:t>
      </w:r>
    </w:p>
    <w:p>
      <w:r>
        <w:br w:type="page"/>
      </w:r>
    </w:p>
    <w:p>
      <w:pPr>
        <w:pStyle w:val="Heading1"/>
      </w:pPr>
      <w:r>
        <w:rPr>
          <w:rFonts w:ascii="Arial" w:cs="Arial" w:eastAsia="Arial" w:hAnsi="Arial"/>
          <w:b/>
          <w:bCs/>
          <w:color w:val="7B0000"/>
          <w:sz w:val="36"/>
          <w:szCs w:val="36"/>
        </w:rPr>
        <w:t xml:space="preserve">Gap 19 🟡  Localisation Is Absent — and This Is an India-First Product</w:t>
      </w:r>
    </w:p>
    <w:p>
      <w:pPr>
        <w:spacing w:after="110"/>
      </w:pPr>
      <w:r>
        <w:rPr>
          <w:rFonts w:ascii="Arial" w:cs="Arial" w:eastAsia="Arial" w:hAnsi="Arial"/>
          <w:sz w:val="22"/>
          <w:szCs w:val="22"/>
        </w:rPr>
        <w:t xml:space="preserve">The documents assume English throughout. There is no localisation strategy. The primary target market (based on competitor analysis) is India, where the astrological practice is conducted in Hindi, Tamil, Telugu, Kannada, Malayalam, Bengali, and Marathi. The classical texts are in Sanskrit. The primary user segment has astrological vocabulary in their native language, not English.</w:t>
      </w:r>
    </w:p>
    <w:p>
      <w:pPr>
        <w:spacing w:after="120"/>
      </w:pPr>
      <w:r>
        <w:t xml:space="preserve"/>
      </w:r>
    </w:p>
    <w:p>
      <w:pPr>
        <w:pStyle w:val="Heading2"/>
      </w:pPr>
      <w:r>
        <w:rPr>
          <w:rFonts w:ascii="Arial" w:cs="Arial" w:eastAsia="Arial" w:hAnsi="Arial"/>
          <w:b/>
          <w:bCs/>
          <w:color w:val="8B1A1A"/>
          <w:sz w:val="26"/>
          <w:szCs w:val="26"/>
        </w:rPr>
        <w:t xml:space="preserve">19.1 The Commercial Impact</w:t>
      </w:r>
    </w:p>
    <w:p>
      <w:pPr>
        <w:spacing w:after="110"/>
      </w:pPr>
      <w:r>
        <w:rPr>
          <w:rFonts w:ascii="Arial" w:cs="Arial" w:eastAsia="Arial" w:hAnsi="Arial"/>
          <w:sz w:val="22"/>
          <w:szCs w:val="22"/>
        </w:rPr>
        <w:t xml:space="preserve">AstroSage serves 70M+ users because it is localised across Indian languages. AstroTalk serves 30M+ users across 30+ languages. A product that is English-only competes only with Astro.com and Lagna360 for the English-speaking Vedic astrology segment — approximately 5-10% of the total addressable market.</w:t>
      </w:r>
    </w:p>
    <w:p>
      <w:pPr>
        <w:spacing w:after="120"/>
      </w:pPr>
      <w:r>
        <w:t xml:space="preserve"/>
      </w:r>
    </w:p>
    <w:p>
      <w:pPr>
        <w:pStyle w:val="Heading2"/>
      </w:pPr>
      <w:r>
        <w:rPr>
          <w:rFonts w:ascii="Arial" w:cs="Arial" w:eastAsia="Arial" w:hAnsi="Arial"/>
          <w:b/>
          <w:bCs/>
          <w:color w:val="8B1A1A"/>
          <w:sz w:val="26"/>
          <w:szCs w:val="26"/>
        </w:rPr>
        <w:t xml:space="preserve">19.2 The Localisation Complexity Is Higher Than Usual</w:t>
      </w:r>
    </w:p>
    <w:p>
      <w:pPr>
        <w:spacing w:after="110"/>
      </w:pPr>
      <w:r>
        <w:rPr>
          <w:rFonts w:ascii="Arial" w:cs="Arial" w:eastAsia="Arial" w:hAnsi="Arial"/>
          <w:sz w:val="22"/>
          <w:szCs w:val="22"/>
        </w:rPr>
        <w:t xml:space="preserve">Standard software localisation (translate strings, right-to-left where needed) is insufficient here. Astrological terminology has specific meaning in each language. 'Bhavesh' is not just 'house lord' in English — it carries connotations in Hindi and Sanskrit that the English phrase does not. The 20Q questions must be locally culturally calibrated: questions about 'assertiveness in career' mean different things in a joint-family Indian context versus a Western individualist context. The user_prior_prob question must be calibrated to local base rates — career change likelihood differs dramatically between a software engineer in Bengaluru and a teacher in rural Bihar.</w:t>
      </w:r>
    </w:p>
    <w:p>
      <w:pPr>
        <w:pBdr>
          <w:left w:val="single" w:color="1A6A1A" w:sz="18" w:space="1"/>
        </w:pBdr>
        <w:shd w:fill="F0FFF0" w:val="clear"/>
        <w:spacing w:after="130"/>
        <w:ind w:left="300" w:right="200"/>
      </w:pPr>
      <w:r>
        <w:rPr>
          <w:rFonts w:ascii="Arial" w:cs="Arial" w:eastAsia="Arial" w:hAnsi="Arial"/>
          <w:sz w:val="20"/>
          <w:szCs w:val="20"/>
        </w:rPr>
        <w:t xml:space="preserve">Phase localisation as a product tier: launch in English for the global Vedic astrology community first. Build the localisation infrastructure (translation layer, cultural calibration flags, regional base rate adjustment) in Year 2. Launch Hindi and Tamil by Q3 2027. This unlocks the mass Indian market while maintaining quality on a manageable first cohort.</w:t>
      </w:r>
    </w:p>
    <w:p>
      <w:r>
        <w:br w:type="page"/>
      </w:r>
    </w:p>
    <w:p>
      <w:pPr>
        <w:pStyle w:val="Heading1"/>
      </w:pPr>
      <w:r>
        <w:rPr>
          <w:rFonts w:ascii="Arial" w:cs="Arial" w:eastAsia="Arial" w:hAnsi="Arial"/>
          <w:b/>
          <w:bCs/>
          <w:color w:val="7B0000"/>
          <w:sz w:val="36"/>
          <w:szCs w:val="36"/>
        </w:rPr>
        <w:t xml:space="preserve">Gap 20 🟡  There Is No Retention Strategy Beyond Prediction Quality</w:t>
      </w:r>
    </w:p>
    <w:p>
      <w:pPr>
        <w:spacing w:after="110"/>
      </w:pPr>
      <w:r>
        <w:rPr>
          <w:rFonts w:ascii="Arial" w:cs="Arial" w:eastAsia="Arial" w:hAnsi="Arial"/>
          <w:sz w:val="22"/>
          <w:szCs w:val="22"/>
        </w:rPr>
        <w:t xml:space="preserve">The documents assume users return because predictions improve. This is insufficient. A user who receives a correct career prediction and acts on it successfully may not return — the prediction was useful, they consumed it, they have no immediate need. The product needs daily and weekly engagement hooks that are independent of the prediction quality flywheel.</w:t>
      </w:r>
    </w:p>
    <w:p>
      <w:pPr>
        <w:spacing w:after="120"/>
      </w:pPr>
      <w:r>
        <w:t xml:space="preserve"/>
      </w:r>
    </w:p>
    <w:p>
      <w:pPr>
        <w:pStyle w:val="Heading2"/>
      </w:pPr>
      <w:r>
        <w:rPr>
          <w:rFonts w:ascii="Arial" w:cs="Arial" w:eastAsia="Arial" w:hAnsi="Arial"/>
          <w:b/>
          <w:bCs/>
          <w:color w:val="8B1A1A"/>
          <w:sz w:val="26"/>
          <w:szCs w:val="26"/>
        </w:rPr>
        <w:t xml:space="preserve">20.1 The Engagement Architecture That Is Missing</w:t>
      </w:r>
    </w:p>
    <w:p>
      <w:pPr>
        <w:pStyle w:val="ListParagraph"/>
        <w:numPr>
          <w:ilvl w:val="0"/>
          <w:numId w:val="2"/>
        </w:numPr>
        <w:spacing w:after="80"/>
      </w:pPr>
      <w:r>
        <w:rPr>
          <w:rFonts w:ascii="Arial" w:cs="Arial" w:eastAsia="Arial" w:hAnsi="Arial"/>
          <w:sz w:val="22"/>
          <w:szCs w:val="22"/>
        </w:rPr>
        <w:t xml:space="preserve">Daily emotional tone: the Moon changes sign every 2.5 days and aspects shift daily. A daily 'astrological weather' notification (Moon + active dasha lord + major transits) gives users a reason to return every day, independent of any long-horizon prediction.</w:t>
      </w:r>
    </w:p>
    <w:p>
      <w:pPr>
        <w:pStyle w:val="ListParagraph"/>
        <w:numPr>
          <w:ilvl w:val="0"/>
          <w:numId w:val="2"/>
        </w:numPr>
        <w:spacing w:after="80"/>
      </w:pPr>
      <w:r>
        <w:rPr>
          <w:rFonts w:ascii="Arial" w:cs="Arial" w:eastAsia="Arial" w:hAnsi="Arial"/>
          <w:sz w:val="22"/>
          <w:szCs w:val="22"/>
        </w:rPr>
        <w:t xml:space="preserve">Family dasha alerts: when any family member's dasha changes, send a notification to the user explaining the cascade activation in their own chart. These are genuine news items that require attention.</w:t>
      </w:r>
    </w:p>
    <w:p>
      <w:pPr>
        <w:pStyle w:val="ListParagraph"/>
        <w:numPr>
          <w:ilvl w:val="0"/>
          <w:numId w:val="2"/>
        </w:numPr>
        <w:spacing w:after="80"/>
      </w:pPr>
      <w:r>
        <w:rPr>
          <w:rFonts w:ascii="Arial" w:cs="Arial" w:eastAsia="Arial" w:hAnsi="Arial"/>
          <w:sz w:val="22"/>
          <w:szCs w:val="22"/>
        </w:rPr>
        <w:t xml:space="preserve">Prediction window countdowns: 'Your career prediction window closes in 7 days — have you noticed anything?' This creates urgency around feedback collection, which serves both engagement and training data goals simultaneously.</w:t>
      </w:r>
    </w:p>
    <w:p>
      <w:pPr>
        <w:pStyle w:val="ListParagraph"/>
        <w:numPr>
          <w:ilvl w:val="0"/>
          <w:numId w:val="2"/>
        </w:numPr>
        <w:spacing w:after="80"/>
      </w:pPr>
      <w:r>
        <w:rPr>
          <w:rFonts w:ascii="Arial" w:cs="Arial" w:eastAsia="Arial" w:hAnsi="Arial"/>
          <w:sz w:val="22"/>
          <w:szCs w:val="22"/>
        </w:rPr>
        <w:t xml:space="preserve">Anniversary notifications: on the anniversary of a confirmed past event, show the user: 'One year ago you confirmed a career change during Saturn AD. Here is what Saturn is activating in your chart this year.' This is high-value personalisation that requires no additional data.</w:t>
      </w:r>
    </w:p>
    <w:p>
      <w:pPr>
        <w:pStyle w:val="ListParagraph"/>
        <w:numPr>
          <w:ilvl w:val="0"/>
          <w:numId w:val="2"/>
        </w:numPr>
        <w:spacing w:after="80"/>
      </w:pPr>
      <w:r>
        <w:rPr>
          <w:rFonts w:ascii="Arial" w:cs="Arial" w:eastAsia="Arial" w:hAnsi="Arial"/>
          <w:sz w:val="22"/>
          <w:szCs w:val="22"/>
        </w:rPr>
        <w:t xml:space="preserve">Transit personalisation: when a major transit (Saturn station, Jupiter ingress, solar eclipse) occurs, send personalised impact assessment: 'This eclipse lands in your H10 — here is what this means for your career over the next 6 months.' Every major astrological event becomes a product moment.</w:t>
      </w:r>
    </w:p>
    <w:p>
      <w:pPr>
        <w:spacing w:after="120"/>
      </w:pPr>
      <w:r>
        <w:t xml:space="preserve"/>
      </w:r>
    </w:p>
    <w:p>
      <w:pPr>
        <w:pBdr>
          <w:left w:val="single" w:color="1E5FA0" w:sz="18" w:space="1"/>
        </w:pBdr>
        <w:shd w:fill="F0F4FF" w:val="clear"/>
        <w:spacing w:after="130"/>
        <w:ind w:left="300" w:right="200"/>
      </w:pPr>
      <w:r>
        <w:rPr>
          <w:rFonts w:ascii="Arial" w:cs="Arial" w:eastAsia="Arial" w:hAnsi="Arial"/>
          <w:sz w:val="20"/>
          <w:szCs w:val="20"/>
        </w:rPr>
        <w:t xml:space="preserve">The most dangerous user trajectory is: onboard → complete 20Q → receive predictions → wait 6-12 months for windows to close → disengage before feedback is ever submitted. Daily touchpoints during the prediction window keep users engaged enough to provide feedback when the window closes. Daily engagement and feedback collection are the same product goal.</w:t>
      </w:r>
    </w:p>
    <w:p>
      <w:r>
        <w:br w:type="page"/>
      </w:r>
    </w:p>
    <w:p>
      <w:pPr>
        <w:pStyle w:val="Heading1"/>
      </w:pPr>
      <w:r>
        <w:rPr>
          <w:rFonts w:ascii="Arial" w:cs="Arial" w:eastAsia="Arial" w:hAnsi="Arial"/>
          <w:b/>
          <w:bCs/>
          <w:color w:val="7B0000"/>
          <w:sz w:val="36"/>
          <w:szCs w:val="36"/>
        </w:rPr>
        <w:t xml:space="preserve">Gap 21 🟡  The Pre-Decision Oracle Has an Unaddressed Dark Pattern Risk</w:t>
      </w:r>
    </w:p>
    <w:p>
      <w:pPr>
        <w:spacing w:after="110"/>
      </w:pPr>
      <w:r>
        <w:rPr>
          <w:rFonts w:ascii="Arial" w:cs="Arial" w:eastAsia="Arial" w:hAnsi="Arial"/>
          <w:sz w:val="22"/>
          <w:szCs w:val="22"/>
        </w:rPr>
        <w:t xml:space="preserve">Idea #03 in the appendix proposes a 'pre-decision oracle' where users input a proposed decision ('I am considering leaving my job in April 2026') and the engine assesses the astrological timing. This is potentially the most commercially valuable feature in the entire product — and the most legally dangerous.</w:t>
      </w:r>
    </w:p>
    <w:p>
      <w:pPr>
        <w:spacing w:after="120"/>
      </w:pPr>
      <w:r>
        <w:t xml:space="preserve"/>
      </w:r>
    </w:p>
    <w:p>
      <w:pPr>
        <w:pStyle w:val="Heading2"/>
      </w:pPr>
      <w:r>
        <w:rPr>
          <w:rFonts w:ascii="Arial" w:cs="Arial" w:eastAsia="Arial" w:hAnsi="Arial"/>
          <w:b/>
          <w:bCs/>
          <w:color w:val="8B1A1A"/>
          <w:sz w:val="26"/>
          <w:szCs w:val="26"/>
        </w:rPr>
        <w:t xml:space="preserve">21.1 The Liability Exposure</w:t>
      </w:r>
    </w:p>
    <w:p>
      <w:pPr>
        <w:spacing w:after="110"/>
      </w:pPr>
      <w:r>
        <w:rPr>
          <w:rFonts w:ascii="Arial" w:cs="Arial" w:eastAsia="Arial" w:hAnsi="Arial"/>
          <w:sz w:val="22"/>
          <w:szCs w:val="22"/>
        </w:rPr>
        <w:t xml:space="preserve">If a user leaves their job in April 2026 because the engine shows a 78% career change confidence for that window, and the change goes badly, LagnaMaster has provided the specific input that drove the decision. With a named timing and a named percentage, the causal link is clear in the user's mind and potentially in a court's mind. This is distinct from a general 'Jupiter MD brings career opportunities' statement — it is a specific, actionable timing recommendation.</w:t>
      </w:r>
    </w:p>
    <w:p>
      <w:pPr>
        <w:spacing w:after="120"/>
      </w:pPr>
      <w:r>
        <w:t xml:space="preserve"/>
      </w:r>
    </w:p>
    <w:p>
      <w:pPr>
        <w:pStyle w:val="Heading2"/>
      </w:pPr>
      <w:r>
        <w:rPr>
          <w:rFonts w:ascii="Arial" w:cs="Arial" w:eastAsia="Arial" w:hAnsi="Arial"/>
          <w:b/>
          <w:bCs/>
          <w:color w:val="8B1A1A"/>
          <w:sz w:val="26"/>
          <w:szCs w:val="26"/>
        </w:rPr>
        <w:t xml:space="preserve">21.2 The Dark Pattern</w:t>
      </w:r>
    </w:p>
    <w:p>
      <w:pPr>
        <w:spacing w:after="110"/>
      </w:pPr>
      <w:r>
        <w:rPr>
          <w:rFonts w:ascii="Arial" w:cs="Arial" w:eastAsia="Arial" w:hAnsi="Arial"/>
          <w:sz w:val="22"/>
          <w:szCs w:val="22"/>
        </w:rPr>
        <w:t xml:space="preserve">If the engine shows 'April 2026: 78% confidence — favorable window,' users who were already leaning toward the decision will anchor to this and execute. Users who were already leaning against it will reconsider. In both cases, the engine is influencing significant life decisions with a percentage that is — at this stage of the product — essentially an educated prior with minimal empirical calibration. Presenting 78% as though it is a well-calibrated probability from thousands of confirmed similar events, when in 2026 the training data barely exists, is a form of epistemic deception even if unintentional.</w:t>
      </w:r>
    </w:p>
    <w:p>
      <w:pPr>
        <w:pBdr>
          <w:left w:val="single" w:color="CC0000" w:sz="18" w:space="1"/>
        </w:pBdr>
        <w:shd w:fill="FFF0F0" w:val="clear"/>
        <w:spacing w:after="130"/>
        <w:ind w:left="300" w:right="200"/>
      </w:pPr>
      <w:r>
        <w:rPr>
          <w:rFonts w:ascii="Arial" w:cs="Arial" w:eastAsia="Arial" w:hAnsi="Arial"/>
          <w:sz w:val="20"/>
          <w:szCs w:val="20"/>
        </w:rPr>
        <w:t xml:space="preserve">The pre-decision oracle must include explicit confidence context: 'This confidence estimate is based on our current training data of [N] confirmed events from users with similar charts. At [N] events, our Brier score is [X] — meaning our [Y]% predictions have historically been correct [Z]% of the time.' Until Brier score is below 0.15, the pre-decision oracle should display a prominent notice: 'Our prediction accuracy is still improving. Please use this as one input among many, not as a decision driver.'</w:t>
      </w:r>
    </w:p>
    <w:p>
      <w:r>
        <w:br w:type="page"/>
      </w:r>
    </w:p>
    <w:p>
      <w:pPr>
        <w:pStyle w:val="Heading1"/>
      </w:pPr>
      <w:r>
        <w:rPr>
          <w:rFonts w:ascii="Arial" w:cs="Arial" w:eastAsia="Arial" w:hAnsi="Arial"/>
          <w:b/>
          <w:bCs/>
          <w:color w:val="7B0000"/>
          <w:sz w:val="36"/>
          <w:szCs w:val="36"/>
        </w:rPr>
        <w:t xml:space="preserve">Gap 22 🟢  The Product Has No Theory of Agency — Classical Jyotish Does</w:t>
      </w:r>
    </w:p>
    <w:p>
      <w:pPr>
        <w:spacing w:after="110"/>
      </w:pPr>
      <w:r>
        <w:rPr>
          <w:rFonts w:ascii="Arial" w:cs="Arial" w:eastAsia="Arial" w:hAnsi="Arial"/>
          <w:sz w:val="22"/>
          <w:szCs w:val="22"/>
        </w:rPr>
        <w:t xml:space="preserve">The entire prediction architecture is probabilistic and deterministic in its framing. Classical Jyotish is not. Every classical text acknowledges that dashas show tendencies, not outcomes — and that a person's free will, effort, and awareness can modify the expression of any planetary period. This is not a philosophical footnote; it is the ethical and commercial framing that separates a responsible astrological product from a fatalistic one.</w:t>
      </w:r>
    </w:p>
    <w:p>
      <w:pPr>
        <w:spacing w:after="120"/>
      </w:pPr>
      <w:r>
        <w:t xml:space="preserve"/>
      </w:r>
    </w:p>
    <w:p>
      <w:pPr>
        <w:pStyle w:val="Heading2"/>
      </w:pPr>
      <w:r>
        <w:rPr>
          <w:rFonts w:ascii="Arial" w:cs="Arial" w:eastAsia="Arial" w:hAnsi="Arial"/>
          <w:b/>
          <w:bCs/>
          <w:color w:val="8B1A1A"/>
          <w:sz w:val="26"/>
          <w:szCs w:val="26"/>
        </w:rPr>
        <w:t xml:space="preserve">22.1 The Classical Position</w:t>
      </w:r>
    </w:p>
    <w:p>
      <w:pPr>
        <w:spacing w:after="110"/>
      </w:pPr>
      <w:r>
        <w:rPr>
          <w:rFonts w:ascii="Arial" w:cs="Arial" w:eastAsia="Arial" w:hAnsi="Arial"/>
          <w:sz w:val="22"/>
          <w:szCs w:val="22"/>
        </w:rPr>
        <w:t xml:space="preserve">BPHS explicitly acknowledges multiple levels of karma — sanchita (accumulated), prarabdha (unfolding), and agami (being created now). Prarabdha is what the dasha system primarily reflects. Agami karma — what you create through present action — can modify prarabdha expression. This is why classical texts include remedies: the remedy is the tool for agami karma modification. A product that presents predictions without this framing is misrepresenting classical Jyotish.</w:t>
      </w:r>
    </w:p>
    <w:p>
      <w:pPr>
        <w:spacing w:after="120"/>
      </w:pPr>
      <w:r>
        <w:t xml:space="preserve"/>
      </w:r>
    </w:p>
    <w:p>
      <w:pPr>
        <w:pStyle w:val="Heading2"/>
      </w:pPr>
      <w:r>
        <w:rPr>
          <w:rFonts w:ascii="Arial" w:cs="Arial" w:eastAsia="Arial" w:hAnsi="Arial"/>
          <w:b/>
          <w:bCs/>
          <w:color w:val="8B1A1A"/>
          <w:sz w:val="26"/>
          <w:szCs w:val="26"/>
        </w:rPr>
        <w:t xml:space="preserve">22.2 The Commercial and Ethical Implication</w:t>
      </w:r>
    </w:p>
    <w:p>
      <w:pPr>
        <w:spacing w:after="110"/>
      </w:pPr>
      <w:r>
        <w:rPr>
          <w:rFonts w:ascii="Arial" w:cs="Arial" w:eastAsia="Arial" w:hAnsi="Arial"/>
          <w:sz w:val="22"/>
          <w:szCs w:val="22"/>
        </w:rPr>
        <w:t xml:space="preserve">A fatalistic product creates users who wait for predicted events rather than acting. It also creates users who feel helpless when predictions come true negatively. A product that frames predictions as 'tendency + agency' creates users who engage with the timing information to maximise good periods and prepare for challenging ones. These users are more engaged, less likely to feel harmed by wrong predictions, and more likely to report outcomes thoughtfully.</w:t>
      </w:r>
    </w:p>
    <w:p>
      <w:pPr>
        <w:pBdr>
          <w:left w:val="single" w:color="1A6A1A" w:sz="18" w:space="1"/>
        </w:pBdr>
        <w:shd w:fill="F0FFF0" w:val="clear"/>
        <w:spacing w:after="130"/>
        <w:ind w:left="300" w:right="200"/>
      </w:pPr>
      <w:r>
        <w:rPr>
          <w:rFonts w:ascii="Arial" w:cs="Arial" w:eastAsia="Arial" w:hAnsi="Arial"/>
          <w:sz w:val="20"/>
          <w:szCs w:val="20"/>
        </w:rPr>
        <w:t xml:space="preserve">Every prediction output must include an agency framing: 'During this period, these themes tend to activate strongly. Here is what heightened awareness and intentional action during this window might look like.' The remedy feature (already in scope) is the right vehicle for this — but it must be positioned as agami karma action, not magical mitigation. 'What you can do during this period' is more commercially resonant and more classically accurate than 'wear this gemstone.'</w:t>
      </w:r>
    </w:p>
    <w:p>
      <w:r>
        <w:br w:type="page"/>
      </w:r>
    </w:p>
    <w:p>
      <w:pPr>
        <w:pStyle w:val="Heading1"/>
      </w:pPr>
      <w:r>
        <w:rPr>
          <w:rFonts w:ascii="Arial" w:cs="Arial" w:eastAsia="Arial" w:hAnsi="Arial"/>
          <w:b/>
          <w:bCs/>
          <w:color w:val="7B0000"/>
          <w:sz w:val="36"/>
          <w:szCs w:val="36"/>
        </w:rPr>
        <w:t xml:space="preserve">Complete Gap Register — All 22</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4260"/>
        <w:gridCol w:w="460"/>
        <w:gridCol w:w="2300"/>
        <w:gridCol w:w="1400"/>
      </w:tblGrid>
      <w:tr>
        <w:tc>
          <w:tcPr>
            <w:tcW w:type="dxa" w:w="340"/>
            <w:tcBorders>
              <w:top w:val="single" w:color="888888" w:sz="1"/>
              <w:left w:val="single" w:color="888888" w:sz="1"/>
              <w:bottom w:val="single" w:color="888888" w:sz="1"/>
              <w:right w:val="single" w:color="888888" w:sz="1"/>
            </w:tcBorders>
            <w:shd w:fill="1C1C1C"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4260"/>
            <w:tcBorders>
              <w:top w:val="single" w:color="888888" w:sz="1"/>
              <w:left w:val="single" w:color="888888" w:sz="1"/>
              <w:bottom w:val="single" w:color="888888" w:sz="1"/>
              <w:right w:val="single" w:color="888888" w:sz="1"/>
            </w:tcBorders>
            <w:shd w:fill="1C1C1C" w:val="clear"/>
            <w:tcMar>
              <w:top w:type="dxa" w:w="80"/>
              <w:left w:type="dxa" w:w="120"/>
              <w:bottom w:type="dxa" w:w="80"/>
              <w:right w:type="dxa" w:w="120"/>
            </w:tcMar>
          </w:tcPr>
          <w:p>
            <w:r>
              <w:rPr>
                <w:rFonts w:ascii="Arial" w:cs="Arial" w:eastAsia="Arial" w:hAnsi="Arial"/>
                <w:b/>
                <w:bCs/>
                <w:color w:val="FFFFFF"/>
                <w:sz w:val="19"/>
                <w:szCs w:val="19"/>
              </w:rPr>
              <w:t xml:space="preserve">Gap</w:t>
            </w:r>
          </w:p>
        </w:tc>
        <w:tc>
          <w:tcPr>
            <w:tcW w:type="dxa" w:w="460"/>
            <w:tcBorders>
              <w:top w:val="single" w:color="888888" w:sz="1"/>
              <w:left w:val="single" w:color="888888" w:sz="1"/>
              <w:bottom w:val="single" w:color="888888" w:sz="1"/>
              <w:right w:val="single" w:color="888888" w:sz="1"/>
            </w:tcBorders>
            <w:shd w:fill="1C1C1C" w:val="clear"/>
            <w:tcMar>
              <w:top w:type="dxa" w:w="80"/>
              <w:left w:type="dxa" w:w="120"/>
              <w:bottom w:type="dxa" w:w="80"/>
              <w:right w:type="dxa" w:w="120"/>
            </w:tcMar>
          </w:tcPr>
          <w:p>
            <w:r>
              <w:rPr>
                <w:rFonts w:ascii="Arial" w:cs="Arial" w:eastAsia="Arial" w:hAnsi="Arial"/>
                <w:b/>
                <w:bCs/>
                <w:color w:val="FFFFFF"/>
                <w:sz w:val="19"/>
                <w:szCs w:val="19"/>
              </w:rPr>
              <w:t xml:space="preserve">Pri</w:t>
            </w:r>
          </w:p>
        </w:tc>
        <w:tc>
          <w:tcPr>
            <w:tcW w:type="dxa" w:w="2300"/>
            <w:tcBorders>
              <w:top w:val="single" w:color="888888" w:sz="1"/>
              <w:left w:val="single" w:color="888888" w:sz="1"/>
              <w:bottom w:val="single" w:color="888888" w:sz="1"/>
              <w:right w:val="single" w:color="888888" w:sz="1"/>
            </w:tcBorders>
            <w:shd w:fill="1C1C1C" w:val="clear"/>
            <w:tcMar>
              <w:top w:type="dxa" w:w="80"/>
              <w:left w:type="dxa" w:w="120"/>
              <w:bottom w:type="dxa" w:w="80"/>
              <w:right w:type="dxa" w:w="120"/>
            </w:tcMar>
          </w:tcPr>
          <w:p>
            <w:r>
              <w:rPr>
                <w:rFonts w:ascii="Arial" w:cs="Arial" w:eastAsia="Arial" w:hAnsi="Arial"/>
                <w:b/>
                <w:bCs/>
                <w:color w:val="FFFFFF"/>
                <w:sz w:val="19"/>
                <w:szCs w:val="19"/>
              </w:rPr>
              <w:t xml:space="preserve">If Unaddressed</w:t>
            </w:r>
          </w:p>
        </w:tc>
        <w:tc>
          <w:tcPr>
            <w:tcW w:type="dxa" w:w="1400"/>
            <w:tcBorders>
              <w:top w:val="single" w:color="888888" w:sz="1"/>
              <w:left w:val="single" w:color="888888" w:sz="1"/>
              <w:bottom w:val="single" w:color="888888" w:sz="1"/>
              <w:right w:val="single" w:color="888888" w:sz="1"/>
            </w:tcBorders>
            <w:shd w:fill="1C1C1C" w:val="clear"/>
            <w:tcMar>
              <w:top w:type="dxa" w:w="80"/>
              <w:left w:type="dxa" w:w="120"/>
              <w:bottom w:type="dxa" w:w="80"/>
              <w:right w:type="dxa" w:w="120"/>
            </w:tcMar>
          </w:tcPr>
          <w:p>
            <w:r>
              <w:rPr>
                <w:rFonts w:ascii="Arial" w:cs="Arial" w:eastAsia="Arial" w:hAnsi="Arial"/>
                <w:b/>
                <w:bCs/>
                <w:color w:val="FFFFFF"/>
                <w:sz w:val="19"/>
                <w:szCs w:val="19"/>
              </w:rPr>
              <w:t xml:space="preserve">Fix By</w:t>
            </w:r>
          </w:p>
        </w:tc>
      </w:tr>
      <w:tr>
        <w:tc>
          <w:tcPr>
            <w:tcW w:type="dxa" w:w="3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1</w:t>
            </w:r>
          </w:p>
        </w:tc>
        <w:tc>
          <w:tcPr>
            <w:tcW w:type="dxa" w:w="42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Legal/regulatory architecture absent — health, finance, longevity all regulated; DPDP/GDPR not implemented; prediction ledger creates tort liability</w:t>
            </w:r>
          </w:p>
        </w:tc>
        <w:tc>
          <w:tcPr>
            <w:tcW w:type="dxa" w:w="4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w:t>
            </w:r>
          </w:p>
        </w:tc>
        <w:tc>
          <w:tcPr>
            <w:tcW w:type="dxa" w:w="23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Product shutdown or enforcement action before reaching 10,000 users</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Before any user onboards — Q1 2026</w:t>
            </w:r>
          </w:p>
        </w:tc>
      </w:tr>
      <w:tr>
        <w:tc>
          <w:tcPr>
            <w:tcW w:type="dxa" w:w="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2</w:t>
            </w:r>
          </w:p>
        </w:tc>
        <w:tc>
          <w:tcPr>
            <w:tcW w:type="dxa" w:w="4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'Birth time certificate' is a guarantee you cannot make; classical birth moment undefined; hospital document collection is a GDPR trap</w:t>
            </w:r>
          </w:p>
        </w:tc>
        <w:tc>
          <w:tcPr>
            <w:tcW w:type="dxa" w:w="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User fraud claims when predictions fail for 'HIGH certificate' charts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Before feature is named — Q1 2026</w:t>
            </w:r>
          </w:p>
        </w:tc>
      </w:tr>
      <w:tr>
        <w:tc>
          <w:tcPr>
            <w:tcW w:type="dxa" w:w="3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3</w:t>
            </w:r>
          </w:p>
        </w:tc>
        <w:tc>
          <w:tcPr>
            <w:tcW w:type="dxa" w:w="42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Corpus timeline 3-4x too conservative — treated as background task with no owner and no deadline</w:t>
            </w:r>
          </w:p>
        </w:tc>
        <w:tc>
          <w:tcPr>
            <w:tcW w:type="dxa" w:w="4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w:t>
            </w:r>
          </w:p>
        </w:tc>
        <w:tc>
          <w:tcPr>
            <w:tcW w:type="dxa" w:w="23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Prediction quality plateau; 20Q confirmation rate stays low; downstream features delayed by 2+ years</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Restructure as 9-month sprint — Q1 2026</w:t>
            </w:r>
          </w:p>
        </w:tc>
      </w:tr>
      <w:tr>
        <w:tc>
          <w:tcPr>
            <w:tcW w:type="dxa" w:w="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4</w:t>
            </w:r>
          </w:p>
        </w:tc>
        <w:tc>
          <w:tcPr>
            <w:tcW w:type="dxa" w:w="4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Multigenerational map 90% underspecified — family dasha cascade, data model, consent architecture, D12 without family data all missing</w:t>
            </w:r>
          </w:p>
        </w:tc>
        <w:tc>
          <w:tcPr>
            <w:tcW w:type="dxa" w:w="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Most powerful feature under-built; family privacy violations; family dasha cascade never implemented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Full specification before S196 — Q2 2026</w:t>
            </w:r>
          </w:p>
        </w:tc>
      </w:tr>
      <w:tr>
        <w:tc>
          <w:tcPr>
            <w:tcW w:type="dxa" w:w="3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5</w:t>
            </w:r>
          </w:p>
        </w:tc>
        <w:tc>
          <w:tcPr>
            <w:tcW w:type="dxa" w:w="42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user_prior_prob captured AFTER window closes — hindsight bias corrupts all training data</w:t>
            </w:r>
          </w:p>
        </w:tc>
        <w:tc>
          <w:tcPr>
            <w:tcW w:type="dxa" w:w="4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w:t>
            </w:r>
          </w:p>
        </w:tc>
        <w:tc>
          <w:tcPr>
            <w:tcW w:type="dxa" w:w="23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Signal isolation calculation is scientifically invalid from Day 1; all training data is contaminated</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Fix schema before S195 ships — Q1 2026</w:t>
            </w:r>
          </w:p>
        </w:tc>
      </w:tr>
      <w:tr>
        <w:tc>
          <w:tcPr>
            <w:tcW w:type="dxa" w:w="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6</w:t>
            </w:r>
          </w:p>
        </w:tc>
        <w:tc>
          <w:tcPr>
            <w:tcW w:type="dxa" w:w="4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Onboarding requires 30+ actions before first value moment — commercial abandonment guaranteed</w:t>
            </w:r>
          </w:p>
        </w:tc>
        <w:tc>
          <w:tcPr>
            <w:tcW w:type="dxa" w:w="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D-7 retention collapses; feedback flywheel never spins; product dies at launch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Progressive value architecture before first user — Q2 2026</w:t>
            </w:r>
          </w:p>
        </w:tc>
      </w:tr>
      <w:tr>
        <w:tc>
          <w:tcPr>
            <w:tcW w:type="dxa" w:w="3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7</w:t>
            </w:r>
          </w:p>
        </w:tc>
        <w:tc>
          <w:tcPr>
            <w:tcW w:type="dxa" w:w="42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Revenue model underspecified; Life Audit should precede Muhurat optimizer in commercial sequence</w:t>
            </w:r>
          </w:p>
        </w:tc>
        <w:tc>
          <w:tcPr>
            <w:tcW w:type="dxa" w:w="4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w:t>
            </w:r>
          </w:p>
        </w:tc>
        <w:tc>
          <w:tcPr>
            <w:tcW w:type="dxa" w:w="23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Cannot drive conversion; $25M ARR projection is undefended</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Tier architecture before soft launch — Q3 2026</w:t>
            </w:r>
          </w:p>
        </w:tc>
      </w:tr>
      <w:tr>
        <w:tc>
          <w:tcPr>
            <w:tcW w:type="dxa" w:w="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8</w:t>
            </w:r>
          </w:p>
        </w:tc>
        <w:tc>
          <w:tcPr>
            <w:tcW w:type="dxa" w:w="4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Moat window unprotected; code is open source; mechanism is copyable in days</w:t>
            </w:r>
          </w:p>
        </w:tc>
        <w:tc>
          <w:tcPr>
            <w:tcW w:type="dxa" w:w="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Funded competitor (AstroSage/AstroTalk) copies architecture and reaches critical data mass first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OSF pre-registration + first publication Q2 2026</w:t>
            </w:r>
          </w:p>
        </w:tc>
      </w:tr>
      <w:tr>
        <w:tc>
          <w:tcPr>
            <w:tcW w:type="dxa" w:w="3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9</w:t>
            </w:r>
          </w:p>
        </w:tc>
        <w:tc>
          <w:tcPr>
            <w:tcW w:type="dxa" w:w="42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Anti-prediction zone UX is honest but will drive churn without reframing</w:t>
            </w:r>
          </w:p>
        </w:tc>
        <w:tc>
          <w:tcPr>
            <w:tcW w:type="dxa" w:w="4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w:t>
            </w:r>
          </w:p>
        </w:tc>
        <w:tc>
          <w:tcPr>
            <w:tcW w:type="dxa" w:w="23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Paid users who receive suppressed predictions disengage; user trust erodes</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UX language defined before S200 — Q3 2026</w:t>
            </w:r>
          </w:p>
        </w:tc>
      </w:tr>
      <w:tr>
        <w:tc>
          <w:tcPr>
            <w:tcW w:type="dxa" w:w="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10</w:t>
            </w:r>
          </w:p>
        </w:tc>
        <w:tc>
          <w:tcPr>
            <w:tcW w:type="dxa" w:w="4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Ayanamsha controversy absent — KP school with Lahiri ayanamsha produces technically incorrect KP predictions</w:t>
            </w:r>
          </w:p>
        </w:tc>
        <w:tc>
          <w:tcPr>
            <w:tcW w:type="dxa" w:w="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Practitioner users will find calculation errors; product loses credibility with expert segment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Implement ayanamsha selection before any KP predictions issued — Q2 2026</w:t>
            </w:r>
          </w:p>
        </w:tc>
      </w:tr>
      <w:tr>
        <w:tc>
          <w:tcPr>
            <w:tcW w:type="dxa" w:w="3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11</w:t>
            </w:r>
          </w:p>
        </w:tc>
        <w:tc>
          <w:tcPr>
            <w:tcW w:type="dxa" w:w="42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20Q protocol has circular validation problem — engine trains on its own predictions; social desirability bias inflates confirmation</w:t>
            </w:r>
          </w:p>
        </w:tc>
        <w:tc>
          <w:tcPr>
            <w:tcW w:type="dxa" w:w="4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w:t>
            </w:r>
          </w:p>
        </w:tc>
        <w:tc>
          <w:tcPr>
            <w:tcW w:type="dxa" w:w="23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Wrong rules get higher confidence from suggestible users; engine learns its own biases rather than planetary signal</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Adversarial validation set required before 20Q ships — Q3 2026</w:t>
            </w:r>
          </w:p>
        </w:tc>
      </w:tr>
      <w:tr>
        <w:tc>
          <w:tcPr>
            <w:tcW w:type="dxa" w:w="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12</w:t>
            </w:r>
          </w:p>
        </w:tc>
        <w:tc>
          <w:tcPr>
            <w:tcW w:type="dxa" w:w="4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Autobiographical memory bias will corrupt training data — events misdated by 3-6 months on average</w:t>
            </w:r>
          </w:p>
        </w:tc>
        <w:tc>
          <w:tcPr>
            <w:tcW w:type="dxa" w:w="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AD-level training data systematically attributed to wrong dasha periods; Bayesian weights learn misdated signal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Date anchoring interface before autobiography protocol ships — Q3 2026</w:t>
            </w:r>
          </w:p>
        </w:tc>
      </w:tr>
      <w:tr>
        <w:tc>
          <w:tcPr>
            <w:tcW w:type="dxa" w:w="3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13</w:t>
            </w:r>
          </w:p>
        </w:tc>
        <w:tc>
          <w:tcPr>
            <w:tcW w:type="dxa" w:w="42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Adversarial feedback and gaming not addressed — enthusiastic believers, sceptics, rational gamers all corrupt training</w:t>
            </w:r>
          </w:p>
        </w:tc>
        <w:tc>
          <w:tcPr>
            <w:tcW w:type="dxa" w:w="4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w:t>
            </w:r>
          </w:p>
        </w:tc>
        <w:tc>
          <w:tcPr>
            <w:tcW w:type="dxa" w:w="23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Training data quality degrades at scale; high-confirming users inflate malefic rule weights</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Credibility score computation before Bayesian pipeline starts — Q4 2026</w:t>
            </w:r>
          </w:p>
        </w:tc>
      </w:tr>
      <w:tr>
        <w:tc>
          <w:tcPr>
            <w:tcW w:type="dxa" w:w="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14</w:t>
            </w:r>
          </w:p>
        </w:tc>
        <w:tc>
          <w:tcPr>
            <w:tcW w:type="dxa" w:w="4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15% feedback rate has no empirical basis; 3-5% is realistic; entire timeline rests on this assumption</w:t>
            </w:r>
          </w:p>
        </w:tc>
        <w:tc>
          <w:tcPr>
            <w:tcW w:type="dxa" w:w="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Scientific validation timeline slips 18-24 months; commercial differentiation does not materialise in the window that matters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Shorter initial prediction windows (4-6 weeks); push notification strategy — Q4 2026</w:t>
            </w:r>
          </w:p>
        </w:tc>
      </w:tr>
      <w:tr>
        <w:tc>
          <w:tcPr>
            <w:tcW w:type="dxa" w:w="3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15</w:t>
            </w:r>
          </w:p>
        </w:tc>
        <w:tc>
          <w:tcPr>
            <w:tcW w:type="dxa" w:w="42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No UX for failed 20Q validation — 42% of 2026 users will hit this; they will churn without an alternative path</w:t>
            </w:r>
          </w:p>
        </w:tc>
        <w:tc>
          <w:tcPr>
            <w:tcW w:type="dxa" w:w="4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w:t>
            </w:r>
          </w:p>
        </w:tc>
        <w:tc>
          <w:tcPr>
            <w:tcW w:type="dxa" w:w="23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Onboarding completion metric collapses; D-30 retention falls; paid tier conversion fails</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Explicit failed 20Q experience designed before S200 ships — Q3 2026</w:t>
            </w:r>
          </w:p>
        </w:tc>
      </w:tr>
      <w:tr>
        <w:tc>
          <w:tcPr>
            <w:tcW w:type="dxa" w:w="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16</w:t>
            </w:r>
          </w:p>
        </w:tc>
        <w:tc>
          <w:tcPr>
            <w:tcW w:type="dxa" w:w="4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Negativity bias will skew training toward malefic rules — negative events are recalled more accurately and dated more precisely</w:t>
            </w:r>
          </w:p>
        </w:tc>
        <w:tc>
          <w:tcPr>
            <w:tcW w:type="dxa" w:w="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Engine becomes systematically pessimistic; benefic rules are systematically under-validated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Differential prompting for positive/negative events; intensity weighting in feedback schema — Q4 2026</w:t>
            </w:r>
          </w:p>
        </w:tc>
      </w:tr>
      <w:tr>
        <w:tc>
          <w:tcPr>
            <w:tcW w:type="dxa" w:w="3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17</w:t>
            </w:r>
          </w:p>
        </w:tc>
        <w:tc>
          <w:tcPr>
            <w:tcW w:type="dxa" w:w="42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Cluster privacy: clusters under 30 users can identify individuals</w:t>
            </w:r>
          </w:p>
        </w:tc>
        <w:tc>
          <w:tcPr>
            <w:tcW w:type="dxa" w:w="4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w:t>
            </w:r>
          </w:p>
        </w:tc>
        <w:tc>
          <w:tcPr>
            <w:tcW w:type="dxa" w:w="23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GDPR/DPDP violation; user trust breach; potential regulatory action</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Hard-code minimum cluster size of 30 before social proof feature ships — Year 2</w:t>
            </w:r>
          </w:p>
        </w:tc>
      </w:tr>
      <w:tr>
        <w:tc>
          <w:tcPr>
            <w:tcW w:type="dxa" w:w="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18</w:t>
            </w:r>
          </w:p>
        </w:tc>
        <w:tc>
          <w:tcPr>
            <w:tcW w:type="dxa" w:w="4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Twins in the dataset contaminate training data — identical charts with different outcomes appear as noise rather than signal</w:t>
            </w:r>
          </w:p>
        </w:tc>
        <w:tc>
          <w:tcPr>
            <w:tcW w:type="dxa" w:w="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Most valuable natural experiment in the dataset is discarded or corrupts weights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Twin detection flag in onboarding before significant user scale — Year 2</w:t>
            </w:r>
          </w:p>
        </w:tc>
      </w:tr>
      <w:tr>
        <w:tc>
          <w:tcPr>
            <w:tcW w:type="dxa" w:w="3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19</w:t>
            </w:r>
          </w:p>
        </w:tc>
        <w:tc>
          <w:tcPr>
            <w:tcW w:type="dxa" w:w="42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No localisation strategy — India-first product that is English-only captures &lt;10% of TAM</w:t>
            </w:r>
          </w:p>
        </w:tc>
        <w:tc>
          <w:tcPr>
            <w:tcW w:type="dxa" w:w="4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w:t>
            </w:r>
          </w:p>
        </w:tc>
        <w:tc>
          <w:tcPr>
            <w:tcW w:type="dxa" w:w="23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Competes only with Astro.com and Lagna360 for English Vedic market; AstroSage retains mass market indefinitely</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Hindi and Tamil in roadmap by Q3 2027</w:t>
            </w:r>
          </w:p>
        </w:tc>
      </w:tr>
      <w:tr>
        <w:tc>
          <w:tcPr>
            <w:tcW w:type="dxa" w:w="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20</w:t>
            </w:r>
          </w:p>
        </w:tc>
        <w:tc>
          <w:tcPr>
            <w:tcW w:type="dxa" w:w="4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No retention strategy beyond prediction quality — users churn between prediction windows</w:t>
            </w:r>
          </w:p>
        </w:tc>
        <w:tc>
          <w:tcPr>
            <w:tcW w:type="dxa" w:w="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D-30 retention stays below 20%; feedback submission rate stays below 8%; flywheel never reaches critical velocity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Daily engagement architecture (emotional tone, family alerts, transit personalisation) — Q4 2026</w:t>
            </w:r>
          </w:p>
        </w:tc>
      </w:tr>
      <w:tr>
        <w:tc>
          <w:tcPr>
            <w:tcW w:type="dxa" w:w="3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21</w:t>
            </w:r>
          </w:p>
        </w:tc>
        <w:tc>
          <w:tcPr>
            <w:tcW w:type="dxa" w:w="42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Pre-decision oracle dark pattern — specific timing + percentage drives real decisions with poorly calibrated early-stage model</w:t>
            </w:r>
          </w:p>
        </w:tc>
        <w:tc>
          <w:tcPr>
            <w:tcW w:type="dxa" w:w="4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w:t>
            </w:r>
          </w:p>
        </w:tc>
        <w:tc>
          <w:tcPr>
            <w:tcW w:type="dxa" w:w="23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Liability exposure when decisions backfire; regulatory attention; user harm</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9"/>
                <w:szCs w:val="19"/>
              </w:rPr>
              <w:t xml:space="preserve">Mandatory Brier score context on all pre-decision outputs — before feature launches</w:t>
            </w:r>
          </w:p>
        </w:tc>
      </w:tr>
      <w:tr>
        <w:tc>
          <w:tcPr>
            <w:tcW w:type="dxa" w:w="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22</w:t>
            </w:r>
          </w:p>
        </w:tc>
        <w:tc>
          <w:tcPr>
            <w:tcW w:type="dxa" w:w="4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No theory of agency — product presents as deterministic when classical Jyotish is explicitly non-deterministic</w:t>
            </w:r>
          </w:p>
        </w:tc>
        <w:tc>
          <w:tcPr>
            <w:tcW w:type="dxa" w:w="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Fatalistic users; harm from negative predictions; misrepresentation of classical tradition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Agency framing in all prediction outputs — can be built into language layer at any time</w:t>
            </w:r>
          </w:p>
        </w:tc>
      </w:tr>
    </w:tbl>
    <w:p>
      <w:pPr>
        <w:spacing w:after="120"/>
      </w:pPr>
      <w:r>
        <w:t xml:space="preserve"/>
      </w:r>
    </w:p>
    <w:p>
      <w:pPr>
        <w:spacing w:after="120"/>
      </w:pPr>
      <w:r>
        <w:t xml:space="preserve"/>
      </w:r>
    </w:p>
    <w:p>
      <w:pPr>
        <w:pBdr>
          <w:top w:val="single" w:color="CCCCCC" w:sz="2"/>
        </w:pBdr>
        <w:spacing w:before="300"/>
        <w:jc w:val="center"/>
      </w:pPr>
      <w:r>
        <w:rPr>
          <w:rFonts w:ascii="Arial" w:cs="Arial" w:eastAsia="Arial" w:hAnsi="Arial"/>
          <w:i/>
          <w:iCs/>
          <w:color w:val="888888"/>
          <w:sz w:val="20"/>
          <w:szCs w:val="20"/>
        </w:rPr>
        <w:t xml:space="preserve">— End of Chief of Staff Review — Unabridged Version</w:t>
      </w:r>
    </w:p>
    <w:p>
      <w:pPr>
        <w:spacing w:after="120"/>
      </w:pPr>
      <w:r>
        <w:t xml:space="preserve"/>
      </w:r>
    </w:p>
    <w:p>
      <w:pPr>
        <w:jc w:val="center"/>
      </w:pPr>
      <w:r>
        <w:rPr>
          <w:rFonts w:ascii="Arial" w:cs="Arial" w:eastAsia="Arial" w:hAnsi="Arial"/>
          <w:b/>
          <w:bCs/>
          <w:color w:val="7B0000"/>
          <w:sz w:val="20"/>
          <w:szCs w:val="20"/>
        </w:rPr>
        <w:t xml:space="preserve">The 10-gap version stopped where the brief told it to. This version stopped when the gaps ran out.</w:t>
      </w:r>
    </w:p>
    <w:p>
      <w:pPr>
        <w:jc w:val="center"/>
      </w:pPr>
      <w:r>
        <w:rPr>
          <w:rFonts w:ascii="Arial" w:cs="Arial" w:eastAsia="Arial" w:hAnsi="Arial"/>
          <w:i/>
          <w:iCs/>
          <w:color w:val="8B1A1A"/>
          <w:sz w:val="20"/>
          <w:szCs w:val="20"/>
        </w:rPr>
        <w:t xml:space="preserve">Gaps 5, 10, 11, and 12 are the ones that would have been most expensive to discover after launch.</w:t>
      </w:r>
    </w:p>
    <w:sectPr>
      <w:headerReference w:type="default" r:id="rId6"/>
      <w:footerReference w:type="default" r:id="rId7"/>
      <w:pgSz w:w="12240" w:h="15840" w:orient="portrait"/>
      <w:pgMar w:top="108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color w:val="888888"/>
        <w:sz w:val="16"/>
        <w:szCs w:val="16"/>
      </w:rPr>
      <w:t xml:space="preserve">Unabridged — No artificial limits applied.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jc w:val="right"/>
    </w:pPr>
    <w:r>
      <w:rPr>
        <w:rFonts w:ascii="Arial" w:cs="Arial" w:eastAsia="Arial" w:hAnsi="Arial"/>
        <w:color w:val="888888"/>
        <w:sz w:val="16"/>
        <w:szCs w:val="16"/>
      </w:rPr>
      <w:t xml:space="preserve">CONFIDENTIAL — Chief of Staff Review | LagnaMaster Vision | Complete Gap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CC0000" w:sz="6"/>
      </w:pBdr>
      <w:spacing w:before="400" w:after="160"/>
      <w:outlineLvl w:val="0"/>
    </w:pPr>
    <w:rPr>
      <w:rFonts w:ascii="Arial" w:cs="Arial" w:eastAsia="Arial" w:hAnsi="Arial"/>
      <w:b/>
      <w:bCs/>
      <w:color w:val="7B0000"/>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8B1A1A"/>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A0302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2026-03-24T15:23:13.048Z</dcterms:created>
  <dcterms:modified xsi:type="dcterms:W3CDTF">2026-03-24T15:23:13.049Z</dcterms:modified>
</cp:coreProperties>
</file>

<file path=docProps/custom.xml><?xml version="1.0" encoding="utf-8"?>
<Properties xmlns="http://schemas.openxmlformats.org/officeDocument/2006/custom-properties" xmlns:vt="http://schemas.openxmlformats.org/officeDocument/2006/docPropsVTypes"/>
</file>