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rPr>
          <w:rFonts w:ascii="Times New Roman" w:cs="Times New Roman" w:eastAsia="Times New Roman" w:hAnsi="Times New Roman"/>
          <w:b/>
          <w:bCs/>
          <w:i w:val="false"/>
          <w:iCs w:val="false"/>
          <w:sz w:val="30"/>
          <w:szCs w:val="30"/>
        </w:rPr>
        <w:t xml:space="preserve">AN EXPLAINABLE EDGE AI FRAMEWORK FOR MULTI-ABNORMALITY RETINAL SCREENING AND CARDIOVASCULAR RISK STRATIFICATION USING FUNDUS IMAGES</w:t>
      </w:r>
    </w:p>
    <w:p>
      <w:pPr>
        <w:spacing w:after="60"/>
        <w:jc w:val="center"/>
      </w:pPr>
      <w:r>
        <w:rPr>
          <w:rFonts w:ascii="Times New Roman" w:cs="Times New Roman" w:eastAsia="Times New Roman" w:hAnsi="Times New Roman"/>
          <w:b/>
          <w:bCs/>
          <w:i w:val="false"/>
          <w:iCs w:val="false"/>
          <w:sz w:val="26"/>
          <w:szCs w:val="26"/>
        </w:rPr>
        <w:t xml:space="preserve">Nikitha</w:t>
      </w:r>
      <w:r>
        <w:rPr>
          <w:rFonts w:ascii="Times New Roman" w:cs="Times New Roman" w:eastAsia="Times New Roman" w:hAnsi="Times New Roman"/>
          <w:b w:val="false"/>
          <w:bCs w:val="false"/>
          <w:i w:val="false"/>
          <w:iCs w:val="false"/>
          <w:sz w:val="26"/>
          <w:szCs w:val="26"/>
        </w:rPr>
        <w:t xml:space="preserve"> – 23D228</w:t>
      </w:r>
    </w:p>
    <w:p>
      <w:pPr>
        <w:spacing w:after="60"/>
        <w:jc w:val="center"/>
      </w:pPr>
      <w:r>
        <w:rPr>
          <w:rFonts w:ascii="Times New Roman" w:cs="Times New Roman" w:eastAsia="Times New Roman" w:hAnsi="Times New Roman"/>
          <w:b/>
          <w:bCs/>
          <w:i w:val="false"/>
          <w:iCs w:val="false"/>
          <w:sz w:val="26"/>
          <w:szCs w:val="26"/>
        </w:rPr>
        <w:t xml:space="preserve">Seethalakshmi L</w:t>
      </w:r>
      <w:r>
        <w:rPr>
          <w:rFonts w:ascii="Times New Roman" w:cs="Times New Roman" w:eastAsia="Times New Roman" w:hAnsi="Times New Roman"/>
          <w:b w:val="false"/>
          <w:bCs w:val="false"/>
          <w:i w:val="false"/>
          <w:iCs w:val="false"/>
          <w:sz w:val="26"/>
          <w:szCs w:val="26"/>
        </w:rPr>
        <w:t xml:space="preserve"> – 23D248</w:t>
      </w:r>
    </w:p>
    <w:p>
      <w:pPr>
        <w:spacing w:after="60"/>
        <w:jc w:val="center"/>
      </w:pPr>
      <w:r>
        <w:rPr>
          <w:rFonts w:ascii="Times New Roman" w:cs="Times New Roman" w:eastAsia="Times New Roman" w:hAnsi="Times New Roman"/>
          <w:b/>
          <w:bCs/>
          <w:i w:val="false"/>
          <w:iCs w:val="false"/>
          <w:sz w:val="26"/>
          <w:szCs w:val="26"/>
        </w:rPr>
        <w:t xml:space="preserve">R D Shreenithi</w:t>
      </w:r>
      <w:r>
        <w:rPr>
          <w:rFonts w:ascii="Times New Roman" w:cs="Times New Roman" w:eastAsia="Times New Roman" w:hAnsi="Times New Roman"/>
          <w:b w:val="false"/>
          <w:bCs w:val="false"/>
          <w:i w:val="false"/>
          <w:iCs w:val="false"/>
          <w:sz w:val="26"/>
          <w:szCs w:val="26"/>
        </w:rPr>
        <w:t xml:space="preserve"> – 23D235</w:t>
      </w:r>
    </w:p>
    <w:p>
      <w:pPr>
        <w:spacing w:after="400"/>
        <w:jc w:val="center"/>
      </w:pPr>
      <w:r>
        <w:rPr>
          <w:rFonts w:ascii="Times New Roman" w:cs="Times New Roman" w:eastAsia="Times New Roman" w:hAnsi="Times New Roman"/>
          <w:b/>
          <w:bCs/>
          <w:i w:val="false"/>
          <w:iCs w:val="false"/>
          <w:sz w:val="26"/>
          <w:szCs w:val="26"/>
        </w:rPr>
        <w:t xml:space="preserve">Vigneshwaran</w:t>
      </w:r>
      <w:r>
        <w:rPr>
          <w:rFonts w:ascii="Times New Roman" w:cs="Times New Roman" w:eastAsia="Times New Roman" w:hAnsi="Times New Roman"/>
          <w:b w:val="false"/>
          <w:bCs w:val="false"/>
          <w:i w:val="false"/>
          <w:iCs w:val="false"/>
          <w:sz w:val="26"/>
          <w:szCs w:val="26"/>
        </w:rPr>
        <w:t xml:space="preserve"> – 23D435</w:t>
      </w:r>
    </w:p>
    <w:p>
      <w:pPr>
        <w:spacing w:after="40"/>
        <w:jc w:val="center"/>
      </w:pPr>
      <w:r>
        <w:rPr>
          <w:rFonts w:ascii="Times New Roman" w:cs="Times New Roman" w:eastAsia="Times New Roman" w:hAnsi="Times New Roman"/>
          <w:b w:val="false"/>
          <w:bCs w:val="false"/>
          <w:i w:val="false"/>
          <w:iCs w:val="false"/>
          <w:sz w:val="24"/>
          <w:szCs w:val="24"/>
        </w:rPr>
        <w:t xml:space="preserve">Dissertation submitted in partial fulfilment of the requirements for the</w:t>
      </w:r>
    </w:p>
    <w:p>
      <w:pPr>
        <w:spacing w:after="260"/>
        <w:jc w:val="center"/>
      </w:pPr>
      <w:r>
        <w:rPr>
          <w:rFonts w:ascii="Times New Roman" w:cs="Times New Roman" w:eastAsia="Times New Roman" w:hAnsi="Times New Roman"/>
          <w:b w:val="false"/>
          <w:bCs w:val="false"/>
          <w:i w:val="false"/>
          <w:iCs w:val="false"/>
          <w:sz w:val="24"/>
          <w:szCs w:val="24"/>
        </w:rPr>
        <w:t xml:space="preserve">degree of</w:t>
      </w:r>
    </w:p>
    <w:p>
      <w:pPr>
        <w:spacing w:after="100"/>
        <w:jc w:val="center"/>
      </w:pPr>
      <w:r>
        <w:rPr>
          <w:rFonts w:ascii="Times New Roman" w:cs="Times New Roman" w:eastAsia="Times New Roman" w:hAnsi="Times New Roman"/>
          <w:b/>
          <w:bCs/>
          <w:i w:val="false"/>
          <w:iCs w:val="false"/>
          <w:sz w:val="26"/>
          <w:szCs w:val="26"/>
        </w:rPr>
        <w:t xml:space="preserve">BACHELOR OF ENGINEERING</w:t>
      </w:r>
    </w:p>
    <w:p>
      <w:pPr>
        <w:spacing w:after="100"/>
        <w:jc w:val="center"/>
      </w:pPr>
      <w:r>
        <w:rPr>
          <w:rFonts w:ascii="Times New Roman" w:cs="Times New Roman" w:eastAsia="Times New Roman" w:hAnsi="Times New Roman"/>
          <w:b/>
          <w:bCs/>
          <w:i w:val="false"/>
          <w:iCs w:val="false"/>
          <w:sz w:val="26"/>
          <w:szCs w:val="26"/>
        </w:rPr>
        <w:t xml:space="preserve">Branch: BIOMEDICAL ENGINEERING</w:t>
      </w:r>
    </w:p>
    <w:p>
      <w:pPr>
        <w:spacing w:after="360"/>
        <w:jc w:val="center"/>
      </w:pPr>
      <w:r>
        <w:rPr>
          <w:rFonts w:ascii="Times New Roman" w:cs="Times New Roman" w:eastAsia="Times New Roman" w:hAnsi="Times New Roman"/>
          <w:b w:val="false"/>
          <w:bCs w:val="false"/>
          <w:i w:val="false"/>
          <w:iCs w:val="false"/>
          <w:sz w:val="24"/>
          <w:szCs w:val="24"/>
        </w:rPr>
        <w:t xml:space="preserve">of Anna University</w:t>
      </w:r>
    </w:p>
    <w:p>
      <w:pPr>
        <w:spacing w:after="360"/>
        <w:jc w:val="center"/>
      </w:pPr>
      <w:r>
        <w:drawing>
          <wp:inline distT="0" distB="0" distL="0" distR="0">
            <wp:extent cx="985837"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85837" cy="1114425"/>
                    </a:xfrm>
                    <a:prstGeom prst="rect">
                      <a:avLst/>
                    </a:prstGeom>
                  </pic:spPr>
                </pic:pic>
              </a:graphicData>
            </a:graphic>
          </wp:inline>
        </w:drawing>
      </w:r>
    </w:p>
    <w:p>
      <w:pPr>
        <w:spacing w:after="360"/>
        <w:jc w:val="center"/>
      </w:pPr>
      <w:r>
        <w:rPr>
          <w:rFonts w:ascii="Times New Roman" w:cs="Times New Roman" w:eastAsia="Times New Roman" w:hAnsi="Times New Roman"/>
          <w:b/>
          <w:bCs/>
          <w:i w:val="false"/>
          <w:iCs w:val="false"/>
          <w:sz w:val="26"/>
          <w:szCs w:val="26"/>
        </w:rPr>
        <w:t xml:space="preserve">April 2027</w:t>
      </w:r>
    </w:p>
    <w:p>
      <w:pPr>
        <w:spacing w:after="20"/>
        <w:jc w:val="center"/>
      </w:pPr>
      <w:r>
        <w:rPr>
          <w:rFonts w:ascii="Times New Roman" w:cs="Times New Roman" w:eastAsia="Times New Roman" w:hAnsi="Times New Roman"/>
          <w:b/>
          <w:bCs/>
          <w:i w:val="false"/>
          <w:iCs w:val="false"/>
          <w:sz w:val="24"/>
          <w:szCs w:val="24"/>
        </w:rPr>
        <w:t xml:space="preserve">DEPARTMENT OF BIOMEDICAL ENGINEERING</w:t>
      </w:r>
    </w:p>
    <w:p>
      <w:pPr>
        <w:spacing w:after="20"/>
        <w:jc w:val="center"/>
      </w:pPr>
      <w:r>
        <w:rPr>
          <w:rFonts w:ascii="Times New Roman" w:cs="Times New Roman" w:eastAsia="Times New Roman" w:hAnsi="Times New Roman"/>
          <w:b/>
          <w:bCs/>
          <w:i w:val="false"/>
          <w:iCs w:val="false"/>
          <w:sz w:val="26"/>
          <w:szCs w:val="26"/>
        </w:rPr>
        <w:t xml:space="preserve">PSG COLLEGE OF TECHNOLOGY</w:t>
      </w:r>
    </w:p>
    <w:p>
      <w:pPr>
        <w:spacing w:after="20"/>
        <w:jc w:val="center"/>
      </w:pPr>
      <w:r>
        <w:rPr>
          <w:rFonts w:ascii="Times New Roman" w:cs="Times New Roman" w:eastAsia="Times New Roman" w:hAnsi="Times New Roman"/>
          <w:b w:val="false"/>
          <w:bCs w:val="false"/>
          <w:i w:val="false"/>
          <w:iCs w:val="false"/>
          <w:sz w:val="22"/>
          <w:szCs w:val="22"/>
        </w:rPr>
        <w:t xml:space="preserve">(Autonomous Institution)</w:t>
      </w:r>
    </w:p>
    <w:p>
      <w:pPr>
        <w:spacing w:after="20"/>
        <w:jc w:val="center"/>
      </w:pPr>
      <w:r>
        <w:rPr>
          <w:rFonts w:ascii="Times New Roman" w:cs="Times New Roman" w:eastAsia="Times New Roman" w:hAnsi="Times New Roman"/>
          <w:b/>
          <w:bCs/>
          <w:i w:val="false"/>
          <w:iCs w:val="false"/>
          <w:sz w:val="24"/>
          <w:szCs w:val="24"/>
        </w:rPr>
        <w:t xml:space="preserve">COIMBATORE – 641 004</w:t>
      </w:r>
    </w:p>
    <w:p>
      <w:pPr>
        <w:pageBreakBefore/>
        <w:spacing w:after="20"/>
        <w:jc w:val="center"/>
      </w:pPr>
      <w:r>
        <w:rPr>
          <w:rFonts w:ascii="Times New Roman" w:cs="Times New Roman" w:eastAsia="Times New Roman" w:hAnsi="Times New Roman"/>
          <w:b/>
          <w:bCs/>
          <w:i w:val="false"/>
          <w:iCs w:val="false"/>
          <w:sz w:val="26"/>
          <w:szCs w:val="26"/>
        </w:rPr>
        <w:t xml:space="preserve">PSG COLLEGE OF TECHNOLOGY</w:t>
      </w:r>
    </w:p>
    <w:p>
      <w:pPr>
        <w:spacing w:after="20"/>
        <w:jc w:val="center"/>
      </w:pPr>
      <w:r>
        <w:rPr>
          <w:rFonts w:ascii="Times New Roman" w:cs="Times New Roman" w:eastAsia="Times New Roman" w:hAnsi="Times New Roman"/>
          <w:b w:val="false"/>
          <w:bCs w:val="false"/>
          <w:i w:val="false"/>
          <w:iCs w:val="false"/>
          <w:sz w:val="22"/>
          <w:szCs w:val="22"/>
        </w:rPr>
        <w:t xml:space="preserve">(Autonomous Institution)</w:t>
      </w:r>
    </w:p>
    <w:p>
      <w:pPr>
        <w:spacing w:after="400"/>
        <w:jc w:val="center"/>
      </w:pPr>
      <w:r>
        <w:rPr>
          <w:rFonts w:ascii="Times New Roman" w:cs="Times New Roman" w:eastAsia="Times New Roman" w:hAnsi="Times New Roman"/>
          <w:b/>
          <w:bCs/>
          <w:i w:val="false"/>
          <w:iCs w:val="false"/>
          <w:sz w:val="24"/>
          <w:szCs w:val="24"/>
        </w:rPr>
        <w:t xml:space="preserve">COIMBATORE – 641 004</w:t>
      </w:r>
    </w:p>
    <w:p>
      <w:pPr>
        <w:spacing w:after="300"/>
        <w:jc w:val="center"/>
      </w:pPr>
      <w:r>
        <w:rPr>
          <w:rFonts w:ascii="Times New Roman" w:cs="Times New Roman" w:eastAsia="Times New Roman" w:hAnsi="Times New Roman"/>
          <w:b/>
          <w:bCs/>
          <w:i w:val="false"/>
          <w:iCs w:val="false"/>
          <w:sz w:val="26"/>
          <w:szCs w:val="26"/>
        </w:rPr>
        <w:t xml:space="preserve">AN EXPLAINABLE EDGE AI FRAMEWORK FOR MULTI-ABNORMALITY RETINAL SCREENING AND CARDIOVASCULAR RISK STRATIFICATION USING FUNDUS IMAGES</w:t>
      </w:r>
    </w:p>
    <w:p>
      <w:pPr>
        <w:spacing w:after="220"/>
        <w:jc w:val="center"/>
      </w:pPr>
      <w:r>
        <w:rPr>
          <w:rFonts w:ascii="Times New Roman" w:cs="Times New Roman" w:eastAsia="Times New Roman" w:hAnsi="Times New Roman"/>
          <w:b w:val="false"/>
          <w:bCs w:val="false"/>
          <w:i w:val="false"/>
          <w:iCs w:val="false"/>
          <w:sz w:val="24"/>
          <w:szCs w:val="24"/>
        </w:rPr>
        <w:t xml:space="preserve">Bona fide record of work done by</w:t>
      </w:r>
    </w:p>
    <w:p>
      <w:pPr>
        <w:spacing w:after="40"/>
        <w:jc w:val="center"/>
      </w:pPr>
      <w:r>
        <w:rPr>
          <w:rFonts w:ascii="Times New Roman" w:cs="Times New Roman" w:eastAsia="Times New Roman" w:hAnsi="Times New Roman"/>
          <w:b/>
          <w:bCs/>
          <w:i w:val="false"/>
          <w:iCs w:val="false"/>
          <w:sz w:val="24"/>
          <w:szCs w:val="24"/>
        </w:rPr>
        <w:t xml:space="preserve">Nikitha – 23D228</w:t>
      </w:r>
    </w:p>
    <w:p>
      <w:pPr>
        <w:spacing w:after="40"/>
        <w:jc w:val="center"/>
      </w:pPr>
      <w:r>
        <w:rPr>
          <w:rFonts w:ascii="Times New Roman" w:cs="Times New Roman" w:eastAsia="Times New Roman" w:hAnsi="Times New Roman"/>
          <w:b/>
          <w:bCs/>
          <w:i w:val="false"/>
          <w:iCs w:val="false"/>
          <w:sz w:val="24"/>
          <w:szCs w:val="24"/>
        </w:rPr>
        <w:t xml:space="preserve">Seethalakshmi L – 23D248</w:t>
      </w:r>
    </w:p>
    <w:p>
      <w:pPr>
        <w:spacing w:after="40"/>
        <w:jc w:val="center"/>
      </w:pPr>
      <w:r>
        <w:rPr>
          <w:rFonts w:ascii="Times New Roman" w:cs="Times New Roman" w:eastAsia="Times New Roman" w:hAnsi="Times New Roman"/>
          <w:b/>
          <w:bCs/>
          <w:i w:val="false"/>
          <w:iCs w:val="false"/>
          <w:sz w:val="24"/>
          <w:szCs w:val="24"/>
        </w:rPr>
        <w:t xml:space="preserve">R D Shreenithi – 23D235</w:t>
      </w:r>
    </w:p>
    <w:p>
      <w:pPr>
        <w:spacing w:after="280"/>
        <w:jc w:val="center"/>
      </w:pPr>
      <w:r>
        <w:rPr>
          <w:rFonts w:ascii="Times New Roman" w:cs="Times New Roman" w:eastAsia="Times New Roman" w:hAnsi="Times New Roman"/>
          <w:b/>
          <w:bCs/>
          <w:i w:val="false"/>
          <w:iCs w:val="false"/>
          <w:sz w:val="24"/>
          <w:szCs w:val="24"/>
        </w:rPr>
        <w:t xml:space="preserve">Vigneshwaran – 23D435</w:t>
      </w:r>
    </w:p>
    <w:p>
      <w:pPr>
        <w:spacing w:after="20"/>
        <w:jc w:val="center"/>
      </w:pPr>
      <w:r>
        <w:rPr>
          <w:rFonts w:ascii="Times New Roman" w:cs="Times New Roman" w:eastAsia="Times New Roman" w:hAnsi="Times New Roman"/>
          <w:b w:val="false"/>
          <w:bCs w:val="false"/>
          <w:i w:val="false"/>
          <w:iCs w:val="false"/>
          <w:sz w:val="24"/>
          <w:szCs w:val="24"/>
        </w:rPr>
        <w:t xml:space="preserve">Dissertation submitted in partial fulfilment of the requirements for the degree of</w:t>
      </w:r>
    </w:p>
    <w:p>
      <w:pPr>
        <w:spacing w:after="80"/>
        <w:jc w:val="center"/>
      </w:pPr>
      <w:r>
        <w:rPr>
          <w:rFonts w:ascii="Times New Roman" w:cs="Times New Roman" w:eastAsia="Times New Roman" w:hAnsi="Times New Roman"/>
          <w:b/>
          <w:bCs/>
          <w:i w:val="false"/>
          <w:iCs w:val="false"/>
          <w:sz w:val="24"/>
          <w:szCs w:val="24"/>
        </w:rPr>
        <w:t xml:space="preserve">BACHELOR OF ENGINEERING</w:t>
      </w:r>
    </w:p>
    <w:p>
      <w:pPr>
        <w:spacing w:after="80"/>
        <w:jc w:val="center"/>
      </w:pPr>
      <w:r>
        <w:rPr>
          <w:rFonts w:ascii="Times New Roman" w:cs="Times New Roman" w:eastAsia="Times New Roman" w:hAnsi="Times New Roman"/>
          <w:b/>
          <w:bCs/>
          <w:i w:val="false"/>
          <w:iCs w:val="false"/>
          <w:sz w:val="24"/>
          <w:szCs w:val="24"/>
        </w:rPr>
        <w:t xml:space="preserve">Branch: BIOMEDICAL ENGINEERING</w:t>
      </w:r>
    </w:p>
    <w:p>
      <w:pPr>
        <w:spacing w:after="500"/>
        <w:jc w:val="center"/>
      </w:pPr>
      <w:r>
        <w:rPr>
          <w:rFonts w:ascii="Times New Roman" w:cs="Times New Roman" w:eastAsia="Times New Roman" w:hAnsi="Times New Roman"/>
          <w:b w:val="false"/>
          <w:bCs w:val="false"/>
          <w:i w:val="false"/>
          <w:iCs w:val="false"/>
          <w:sz w:val="24"/>
          <w:szCs w:val="24"/>
        </w:rPr>
        <w:t xml:space="preserve">of Anna University</w:t>
      </w:r>
    </w:p>
    <w:p>
      <w:pPr>
        <w:spacing w:after="500"/>
        <w:jc w:val="center"/>
      </w:pPr>
      <w:r>
        <w:rPr>
          <w:rFonts w:ascii="Times New Roman" w:cs="Times New Roman" w:eastAsia="Times New Roman" w:hAnsi="Times New Roman"/>
          <w:b/>
          <w:bCs/>
          <w:i w:val="false"/>
          <w:iCs w:val="false"/>
          <w:sz w:val="24"/>
          <w:szCs w:val="24"/>
        </w:rPr>
        <w:t xml:space="preserve">April 2027</w:t>
      </w:r>
    </w:p>
    <w:tbl>
      <w:tblPr>
        <w:tblW w:type="dxa" w:w="8306"/>
        <w:tblBorders>
          <w:top w:val="none"/>
          <w:left w:val="none"/>
          <w:bottom w:val="none"/>
          <w:right w:val="none"/>
          <w:insideH w:val="none"/>
          <w:insideV w:val="none"/>
        </w:tblBorders>
      </w:tblPr>
      <w:tblGrid>
        <w:gridCol w:w="100"/>
        <w:gridCol w:w="100"/>
      </w:tblGrid>
      <w:tr>
        <w:tc>
          <w:tcPr>
            <w:tcW w:type="dxa" w:w="4153"/>
          </w:tcPr>
          <w:p>
            <w:pPr>
              <w:spacing w:after="20"/>
              <w:jc w:val="center"/>
            </w:pPr>
            <w:r>
              <w:rPr>
                <w:rFonts w:ascii="Times New Roman" w:cs="Times New Roman" w:eastAsia="Times New Roman" w:hAnsi="Times New Roman"/>
                <w:b w:val="false"/>
                <w:bCs w:val="false"/>
                <w:i w:val="false"/>
                <w:iCs w:val="false"/>
                <w:sz w:val="24"/>
                <w:szCs w:val="24"/>
              </w:rPr>
              <w:t xml:space="preserve">..............................</w:t>
            </w:r>
          </w:p>
          <w:p>
            <w:pPr>
              <w:spacing w:after="0"/>
              <w:jc w:val="center"/>
            </w:pPr>
            <w:r>
              <w:rPr>
                <w:rFonts w:ascii="Times New Roman" w:cs="Times New Roman" w:eastAsia="Times New Roman" w:hAnsi="Times New Roman"/>
                <w:b w:val="false"/>
                <w:bCs w:val="false"/>
                <w:i w:val="false"/>
                <w:iCs w:val="false"/>
                <w:sz w:val="24"/>
                <w:szCs w:val="24"/>
              </w:rPr>
              <w:t xml:space="preserve">Faculty Guide</w:t>
            </w:r>
          </w:p>
        </w:tc>
        <w:tc>
          <w:tcPr>
            <w:tcW w:type="dxa" w:w="4153"/>
          </w:tcPr>
          <w:p>
            <w:pPr>
              <w:spacing w:after="20"/>
              <w:jc w:val="center"/>
            </w:pPr>
            <w:r>
              <w:rPr>
                <w:rFonts w:ascii="Times New Roman" w:cs="Times New Roman" w:eastAsia="Times New Roman" w:hAnsi="Times New Roman"/>
                <w:b w:val="false"/>
                <w:bCs w:val="false"/>
                <w:i w:val="false"/>
                <w:iCs w:val="false"/>
                <w:sz w:val="24"/>
                <w:szCs w:val="24"/>
              </w:rPr>
              <w:t xml:space="preserve">Dr R. Vidhyapriya</w:t>
            </w:r>
          </w:p>
          <w:p>
            <w:pPr>
              <w:spacing w:after="0"/>
              <w:jc w:val="center"/>
            </w:pPr>
            <w:r>
              <w:rPr>
                <w:rFonts w:ascii="Times New Roman" w:cs="Times New Roman" w:eastAsia="Times New Roman" w:hAnsi="Times New Roman"/>
                <w:b w:val="false"/>
                <w:bCs w:val="false"/>
                <w:i w:val="false"/>
                <w:iCs w:val="false"/>
                <w:sz w:val="24"/>
                <w:szCs w:val="24"/>
              </w:rPr>
              <w:t xml:space="preserve">Head of the Department</w:t>
            </w:r>
          </w:p>
        </w:tc>
      </w:tr>
    </w:tbl>
    <w:p>
      <w:pPr>
        <w:spacing w:after="200" w:before="400"/>
        <w:jc w:val="center"/>
      </w:pPr>
      <w:r>
        <w:rPr>
          <w:rFonts w:ascii="Times New Roman" w:cs="Times New Roman" w:eastAsia="Times New Roman" w:hAnsi="Times New Roman"/>
          <w:b w:val="false"/>
          <w:bCs w:val="false"/>
          <w:i w:val="false"/>
          <w:iCs w:val="false"/>
          <w:sz w:val="22"/>
          <w:szCs w:val="22"/>
        </w:rPr>
        <w:t xml:space="preserve">Certified that the candidate was examined in the viva-voce examination held on ..........................</w:t>
      </w:r>
    </w:p>
    <w:tbl>
      <w:tblPr>
        <w:tblW w:type="dxa" w:w="8306"/>
        <w:tblBorders>
          <w:top w:val="none"/>
          <w:left w:val="none"/>
          <w:bottom w:val="none"/>
          <w:right w:val="none"/>
          <w:insideH w:val="none"/>
          <w:insideV w:val="none"/>
        </w:tblBorders>
      </w:tblPr>
      <w:tblGrid>
        <w:gridCol w:w="100"/>
        <w:gridCol w:w="100"/>
      </w:tblGrid>
      <w:tr>
        <w:tc>
          <w:tcPr>
            <w:tcW w:type="dxa" w:w="4153"/>
          </w:tcPr>
          <w:p>
            <w:pPr>
              <w:spacing w:after="20"/>
              <w:jc w:val="center"/>
            </w:pPr>
            <w:r>
              <w:rPr>
                <w:rFonts w:ascii="Times New Roman" w:cs="Times New Roman" w:eastAsia="Times New Roman" w:hAnsi="Times New Roman"/>
                <w:b w:val="false"/>
                <w:bCs w:val="false"/>
                <w:i w:val="false"/>
                <w:iCs w:val="false"/>
                <w:sz w:val="24"/>
                <w:szCs w:val="24"/>
              </w:rPr>
              <w:t xml:space="preserve">..............................</w:t>
            </w:r>
          </w:p>
          <w:p>
            <w:pPr>
              <w:spacing w:after="0"/>
              <w:jc w:val="center"/>
            </w:pPr>
            <w:r>
              <w:rPr>
                <w:rFonts w:ascii="Times New Roman" w:cs="Times New Roman" w:eastAsia="Times New Roman" w:hAnsi="Times New Roman"/>
                <w:b w:val="false"/>
                <w:bCs w:val="false"/>
                <w:i w:val="false"/>
                <w:iCs w:val="false"/>
                <w:sz w:val="24"/>
                <w:szCs w:val="24"/>
              </w:rPr>
              <w:t xml:space="preserve">(Internal Examiner)</w:t>
            </w:r>
          </w:p>
        </w:tc>
        <w:tc>
          <w:tcPr>
            <w:tcW w:type="dxa" w:w="4153"/>
          </w:tcPr>
          <w:p>
            <w:pPr>
              <w:spacing w:after="20"/>
              <w:jc w:val="center"/>
            </w:pPr>
            <w:r>
              <w:rPr>
                <w:rFonts w:ascii="Times New Roman" w:cs="Times New Roman" w:eastAsia="Times New Roman" w:hAnsi="Times New Roman"/>
                <w:b w:val="false"/>
                <w:bCs w:val="false"/>
                <w:i w:val="false"/>
                <w:iCs w:val="false"/>
                <w:sz w:val="24"/>
                <w:szCs w:val="24"/>
              </w:rPr>
              <w:t xml:space="preserve">..............................</w:t>
            </w:r>
          </w:p>
          <w:p>
            <w:pPr>
              <w:spacing w:after="0"/>
              <w:jc w:val="center"/>
            </w:pPr>
            <w:r>
              <w:rPr>
                <w:rFonts w:ascii="Times New Roman" w:cs="Times New Roman" w:eastAsia="Times New Roman" w:hAnsi="Times New Roman"/>
                <w:b w:val="false"/>
                <w:bCs w:val="false"/>
                <w:i w:val="false"/>
                <w:iCs w:val="false"/>
                <w:sz w:val="24"/>
                <w:szCs w:val="24"/>
              </w:rPr>
              <w:t xml:space="preserve">(External Examiner)</w:t>
            </w:r>
          </w:p>
        </w:tc>
      </w:tr>
    </w:tbl>
    <w:p>
      <w:pPr>
        <w:sectPr>
          <w:pgSz w:w="11906" w:h="16838" w:orient="portrait"/>
          <w:pgMar w:top="1440" w:right="1440" w:bottom="1440" w:left="2160" w:header="708" w:footer="708" w:gutter="0"/>
          <w:pgNumType/>
          <w:docGrid w:linePitch="360"/>
        </w:sectPr>
      </w:pPr>
    </w:p>
    <w:p>
      <w:pPr>
        <w:pageBreakBefore/>
        <w:spacing w:after="300"/>
        <w:jc w:val="center"/>
      </w:pPr>
      <w:r>
        <w:rPr>
          <w:rFonts w:ascii="Times New Roman" w:cs="Times New Roman" w:eastAsia="Times New Roman" w:hAnsi="Times New Roman"/>
          <w:b/>
          <w:bCs/>
          <w:i w:val="false"/>
          <w:iCs w:val="false"/>
          <w:sz w:val="28"/>
          <w:szCs w:val="28"/>
        </w:rPr>
        <w:t xml:space="preserve">ACKNOWLEDGEMENT</w:t>
      </w:r>
    </w:p>
    <w:p>
      <w:pPr>
        <w:spacing w:after="200" w:line="360"/>
        <w:ind w:firstLine="400"/>
        <w:jc w:val="both"/>
      </w:pPr>
      <w:r>
        <w:rPr>
          <w:rFonts w:ascii="Times New Roman" w:cs="Times New Roman" w:eastAsia="Times New Roman" w:hAnsi="Times New Roman"/>
          <w:b w:val="false"/>
          <w:bCs w:val="false"/>
          <w:i w:val="false"/>
          <w:iCs w:val="false"/>
          <w:sz w:val="24"/>
          <w:szCs w:val="24"/>
        </w:rPr>
        <w:t xml:space="preserve">The success and the final outcome of this project required a great deal of guidance and assistance from many people, and we are extremely privileged to have received this throughout the completion of our project. All that we have accomplished is only due to such supervision and assistance, and we would not forget to thank them.</w:t>
      </w:r>
    </w:p>
    <w:p>
      <w:pPr>
        <w:spacing w:after="200" w:line="360"/>
        <w:ind w:firstLine="400"/>
        <w:jc w:val="both"/>
      </w:pPr>
      <t>We wish to convey our sincere gratitude to </t>
      <t>Dr K. Prakasan</t>
      <t>, Principal, PSG College of Technology, Coimbatore, for providing us with the opportunity and the infrastructure to carry out this project work.</t>
    </w:p>
    <w:p>
      <w:pPr>
        <w:spacing w:after="200" w:line="360"/>
        <w:ind w:firstLine="400"/>
        <w:jc w:val="both"/>
      </w:pPr>
      <t>We would like to express our heartfelt thankfulness to </t>
      <t>Dr R. Vidhyapriya</t>
      <t>, Professor and Head of the Department, Biomedical Engineering, for her valuable and constructive suggestions throughout the development of this work.</t>
    </w:p>
    <w:p>
      <w:pPr>
        <w:spacing w:after="200" w:line="360"/>
        <w:ind w:firstLine="400"/>
        <w:jc w:val="both"/>
      </w:pPr>
      <t>We take immense pleasure in extending our sincere gratitude towards our Project Guide, </t>
      <t>[Name of the Guide]</t>
      <t>, Department of Biomedical Engineering, who extended utmost support and guidance throughout the course of this project. Her/his dedication, meticulous scrutiny, and keen interest, along with an overwhelming attitude to help students, have greatly contributed towards the successful completion of our project.</t>
    </w:p>
    <w:p>
      <w:pPr>
        <w:spacing w:after="200" w:line="360"/>
        <w:ind w:firstLine="400"/>
        <w:jc w:val="both"/>
      </w:pPr>
      <w:r>
        <w:rPr>
          <w:rFonts w:ascii="Times New Roman" w:cs="Times New Roman" w:eastAsia="Times New Roman" w:hAnsi="Times New Roman"/>
          <w:b w:val="false"/>
          <w:bCs w:val="false"/>
          <w:i w:val="false"/>
          <w:iCs w:val="false"/>
          <w:sz w:val="24"/>
          <w:szCs w:val="24"/>
        </w:rPr>
        <w:t xml:space="preserve">We have been fortunate to receive the timely support and guidance of all the faculty members and laboratory technicians of the Department of Biomedical Engineering. We are also grateful for the open-source datasets (MuReD and the China Fundus–CIMT ophthalmomics cohort) and the publicly released RETFound foundation model, without which this work would not have been possible.</w:t>
      </w:r>
    </w:p>
    <w:p>
      <w:pPr>
        <w:spacing w:after="200" w:line="360"/>
        <w:ind w:firstLine="400"/>
        <w:jc w:val="both"/>
      </w:pPr>
      <w:r>
        <w:rPr>
          <w:rFonts w:ascii="Times New Roman" w:cs="Times New Roman" w:eastAsia="Times New Roman" w:hAnsi="Times New Roman"/>
          <w:b w:val="false"/>
          <w:bCs w:val="false"/>
          <w:i w:val="false"/>
          <w:iCs w:val="false"/>
          <w:sz w:val="24"/>
          <w:szCs w:val="24"/>
        </w:rPr>
        <w:t xml:space="preserve">Finally, we would like to thank our parents, families, and friends for their constant encouragement, and all those who directly or indirectly rendered their valuable support towards the enhancement of this project.</w:t>
      </w:r>
    </w:p>
    <w:p>
      <w:pPr>
        <w:pageBreakBefore/>
        <w:spacing w:after="300"/>
        <w:jc w:val="center"/>
      </w:pPr>
      <w:r>
        <w:rPr>
          <w:rFonts w:ascii="Times New Roman" w:cs="Times New Roman" w:eastAsia="Times New Roman" w:hAnsi="Times New Roman"/>
          <w:b/>
          <w:bCs/>
          <w:i w:val="false"/>
          <w:iCs w:val="false"/>
          <w:sz w:val="28"/>
          <w:szCs w:val="28"/>
        </w:rPr>
        <w:t xml:space="preserve">SYNOPSIS</w:t>
      </w:r>
    </w:p>
    <w:p>
      <w:pPr>
        <w:spacing w:after="200" w:line="360"/>
        <w:ind w:firstLine="400"/>
        <w:jc w:val="both"/>
      </w:pPr>
      <w:r>
        <w:rPr>
          <w:rFonts w:ascii="Times New Roman" w:cs="Times New Roman" w:eastAsia="Times New Roman" w:hAnsi="Times New Roman"/>
          <w:b w:val="false"/>
          <w:bCs w:val="false"/>
          <w:i w:val="false"/>
          <w:iCs w:val="false"/>
          <w:sz w:val="24"/>
          <w:szCs w:val="24"/>
        </w:rPr>
        <w:t xml:space="preserve">Cardiovascular disease (CVD) remains the leading cause of death worldwide, yet routine carotid ultrasound screening for subclinical atherosclerosis is costly, operator-dependent, and largely unavailable outside specialist cardiology centres. At the same time, five common ocular conditions — diabetic retinopathy, pathological myopia, optic disc cupping (a glaucoma marker), tessellated fundus, and branch retinal vein occlusion — frequently go undetected until irreversible vision loss has occurred. Because the retina and the carotid artery share a common microvascular and embryological origin, a single 30-second fundus photograph has the potential to screen for both problems simultaneously.</w:t>
      </w:r>
    </w:p>
    <w:p>
      <w:pPr>
        <w:spacing w:after="200" w:line="360"/>
        <w:ind w:firstLine="400"/>
        <w:jc w:val="both"/>
      </w:pPr>
      <w:r>
        <w:rPr>
          <w:rFonts w:ascii="Times New Roman" w:cs="Times New Roman" w:eastAsia="Times New Roman" w:hAnsi="Times New Roman"/>
          <w:b w:val="false"/>
          <w:bCs w:val="false"/>
          <w:i w:val="false"/>
          <w:iCs w:val="false"/>
          <w:sz w:val="24"/>
          <w:szCs w:val="24"/>
        </w:rPr>
        <w:t xml:space="preserve">This project presents an explainable AI framework that converts a routine fundus photograph into (i) a continuous estimate of carotid intima-media thickness (CIMT) and cardiovascular risk, and (ii) presence/absence probabilities and risk scores for the five retinal conditions listed above. The framework is built on RETFound, a Vision Transformer-Large (304-million-parameter) foundation model pretrained via masked autoencoding on 1.6 million unlabelled retinal images. Retinal embeddings extracted by the frozen RETFound backbone are combined with demographic priors through a synergistic late-fusion scheme and L2 maximum-margin logistic probes, trained and patient-level validated on two complementary cohorts: the China Fundus–CIMT cohort (2,903 patients, 5,806 images) and the MuReD ophthalmic cohort (2,208 images).</w:t>
      </w:r>
    </w:p>
    <w:p>
      <w:pPr>
        <w:spacing w:after="200" w:line="360"/>
        <w:ind w:firstLine="400"/>
        <w:jc w:val="both"/>
      </w:pPr>
      <w:r>
        <w:rPr>
          <w:rFonts w:ascii="Times New Roman" w:cs="Times New Roman" w:eastAsia="Times New Roman" w:hAnsi="Times New Roman"/>
          <w:b w:val="false"/>
          <w:bCs w:val="false"/>
          <w:i w:val="false"/>
          <w:iCs w:val="false"/>
          <w:sz w:val="24"/>
          <w:szCs w:val="24"/>
        </w:rPr>
        <w:t xml:space="preserve">A zero-contradiction four-state diagnostic engine, a Layer-20/24 ViT Grad-CAM explainability module, and a unified clinical web interface were developed to present results to a clinician in an interpretable form. On a held-out, patient-level test cohort, the system achieves a frontline accuracy of 89.00% (AUROC 0.9472), rising to 92.39% after correcting for ultrasound caliper physics, and to 95.00% accuracy (AUROC 0.9855, sensitivity 97.22%) under a high-confidence clinical triage protocol that refers only the most borderline 20% of cases for confirmatory ultrasound. The five ocular disease heads achieve AUROC values between 0.81 and 0.998 on the independent MuReD test set.</w:t>
      </w:r>
    </w:p>
    <w:p>
      <w:pPr>
        <w:spacing w:after="200" w:line="360"/>
        <w:ind w:firstLine="400"/>
        <w:jc w:val="both"/>
      </w:pPr>
      <w:r>
        <w:rPr>
          <w:rFonts w:ascii="Times New Roman" w:cs="Times New Roman" w:eastAsia="Times New Roman" w:hAnsi="Times New Roman"/>
          <w:b w:val="false"/>
          <w:bCs w:val="false"/>
          <w:i w:val="false"/>
          <w:iCs w:val="false"/>
          <w:sz w:val="24"/>
          <w:szCs w:val="24"/>
        </w:rPr>
        <w:t xml:space="preserve">A consolidated review of 28 recent papers on fundus-based disease screening, cardiovascular risk biomarkers, explainable foundation models, and edge/TinyML deployment is also presented, situating this work's benchmarks against the wider literature and motivating future work on compressing the model for Raspberry Pi/Jetson-class point-of-care deployment. Overall, the project demonstrates that a single, non-invasive, low-cost fundus photograph can support dual-specialty triage — flagging patients who need a confirmatory carotid ultrasound (cardiology) or an optical coherence tomography scan (ophthalmology) — making cardiovascular and ocular screening accessible in optometry practices, diabetes clinics, and rural telemedicine camps.</w:t>
      </w:r>
    </w:p>
    <w:p>
      <w:r>
        <w:br w:type="page"/>
      </w:r>
    </w:p>
    <w:p>
      <w:pPr>
        <w:spacing w:after="240" w:line="360" w:lineRule="auto"/>
        <w:jc w:val="center"/>
      </w:pPr>
      <w:r>
        <w:rPr>
          <w:rFonts w:ascii="Times New Roman" w:hAnsi="Times New Roman" w:eastAsia="Times New Roman"/>
          <w:b/>
          <w:i w:val="0"/>
          <w:sz w:val="28"/>
        </w:rPr>
        <w:t>CONTENTS</w:t>
      </w:r>
    </w:p>
    <w:p>
      <w:pPr>
        <w:spacing w:after="80" w:line="360" w:lineRule="auto"/>
        <w:jc w:val="left"/>
      </w:pPr>
      <w:r>
        <w:rPr>
          <w:rFonts w:ascii="Times New Roman" w:hAnsi="Times New Roman" w:eastAsia="Times New Roman"/>
          <w:b/>
          <w:i w:val="0"/>
          <w:sz w:val="24"/>
        </w:rPr>
        <w:t>CHAPTER   TITLE</w:t>
      </w:r>
    </w:p>
    <w:p>
      <w:pPr>
        <w:spacing w:after="40" w:line="360" w:lineRule="auto"/>
        <w:jc w:val="left"/>
      </w:pPr>
      <w:r>
        <w:rPr>
          <w:rFonts w:ascii="Times New Roman" w:hAnsi="Times New Roman" w:eastAsia="Times New Roman"/>
          <w:b/>
          <w:i w:val="0"/>
          <w:sz w:val="24"/>
        </w:rPr>
        <w:t>Acknowledgement</w:t>
      </w:r>
    </w:p>
    <w:p>
      <w:pPr>
        <w:spacing w:after="40" w:line="360" w:lineRule="auto"/>
        <w:jc w:val="left"/>
      </w:pPr>
      <w:r>
        <w:rPr>
          <w:rFonts w:ascii="Times New Roman" w:hAnsi="Times New Roman" w:eastAsia="Times New Roman"/>
          <w:b/>
          <w:i w:val="0"/>
          <w:sz w:val="24"/>
        </w:rPr>
        <w:t>Synopsis</w:t>
      </w:r>
    </w:p>
    <w:p>
      <w:pPr>
        <w:spacing w:after="40" w:line="360" w:lineRule="auto"/>
        <w:jc w:val="left"/>
      </w:pPr>
      <w:r>
        <w:rPr>
          <w:rFonts w:ascii="Times New Roman" w:hAnsi="Times New Roman" w:eastAsia="Times New Roman"/>
          <w:b/>
          <w:i w:val="0"/>
          <w:sz w:val="24"/>
        </w:rPr>
        <w:t>List of Figures</w:t>
      </w:r>
    </w:p>
    <w:p>
      <w:pPr>
        <w:spacing w:after="40" w:line="360" w:lineRule="auto"/>
        <w:jc w:val="left"/>
      </w:pPr>
      <w:r>
        <w:rPr>
          <w:rFonts w:ascii="Times New Roman" w:hAnsi="Times New Roman" w:eastAsia="Times New Roman"/>
          <w:b/>
          <w:i w:val="0"/>
          <w:sz w:val="24"/>
        </w:rPr>
        <w:t>List of Tables</w:t>
      </w:r>
    </w:p>
    <w:p>
      <w:pPr>
        <w:spacing w:after="40" w:line="360" w:lineRule="auto"/>
        <w:jc w:val="left"/>
      </w:pPr>
      <w:r>
        <w:rPr>
          <w:rFonts w:ascii="Times New Roman" w:hAnsi="Times New Roman" w:eastAsia="Times New Roman"/>
          <w:b/>
          <w:i w:val="0"/>
          <w:sz w:val="24"/>
        </w:rPr>
        <w:t>1.  INTRODUCTION</w:t>
      </w:r>
    </w:p>
    <w:p>
      <w:pPr>
        <w:spacing w:after="20" w:line="360" w:lineRule="auto"/>
        <w:ind w:left="576"/>
        <w:jc w:val="left"/>
      </w:pPr>
      <w:r>
        <w:rPr>
          <w:rFonts w:ascii="Times New Roman" w:hAnsi="Times New Roman" w:eastAsia="Times New Roman"/>
          <w:b w:val="0"/>
          <w:i w:val="0"/>
          <w:sz w:val="22"/>
        </w:rPr>
        <w:t>1.1 Problem Statement</w:t>
      </w:r>
    </w:p>
    <w:p>
      <w:pPr>
        <w:spacing w:after="20" w:line="360" w:lineRule="auto"/>
        <w:ind w:left="576"/>
        <w:jc w:val="left"/>
      </w:pPr>
      <w:r>
        <w:rPr>
          <w:rFonts w:ascii="Times New Roman" w:hAnsi="Times New Roman" w:eastAsia="Times New Roman"/>
          <w:b w:val="0"/>
          <w:i w:val="0"/>
          <w:sz w:val="22"/>
        </w:rPr>
        <w:t>1.2 Objective</w:t>
      </w:r>
    </w:p>
    <w:p>
      <w:pPr>
        <w:spacing w:after="40" w:line="360" w:lineRule="auto"/>
        <w:jc w:val="left"/>
      </w:pPr>
      <w:r>
        <w:rPr>
          <w:rFonts w:ascii="Times New Roman" w:hAnsi="Times New Roman" w:eastAsia="Times New Roman"/>
          <w:b/>
          <w:i w:val="0"/>
          <w:sz w:val="24"/>
        </w:rPr>
        <w:t>2.  LITERATURE SURVEY</w:t>
      </w:r>
    </w:p>
    <w:p>
      <w:pPr>
        <w:spacing w:after="20" w:line="360" w:lineRule="auto"/>
        <w:ind w:left="576"/>
        <w:jc w:val="left"/>
      </w:pPr>
      <w:r>
        <w:rPr>
          <w:rFonts w:ascii="Times New Roman" w:hAnsi="Times New Roman" w:eastAsia="Times New Roman"/>
          <w:b w:val="0"/>
          <w:i w:val="0"/>
          <w:sz w:val="22"/>
        </w:rPr>
        <w:t>2.1 Related Papers</w:t>
      </w:r>
    </w:p>
    <w:p>
      <w:pPr>
        <w:spacing w:after="20" w:line="360" w:lineRule="auto"/>
        <w:ind w:left="576"/>
        <w:jc w:val="left"/>
      </w:pPr>
      <w:r>
        <w:rPr>
          <w:rFonts w:ascii="Times New Roman" w:hAnsi="Times New Roman" w:eastAsia="Times New Roman"/>
          <w:b w:val="0"/>
          <w:i w:val="0"/>
          <w:sz w:val="22"/>
        </w:rPr>
        <w:t>2.2 Comparative Analysis of Research Work</w:t>
      </w:r>
    </w:p>
    <w:p>
      <w:pPr>
        <w:spacing w:after="20" w:line="360" w:lineRule="auto"/>
        <w:ind w:left="576"/>
        <w:jc w:val="left"/>
      </w:pPr>
      <w:r>
        <w:rPr>
          <w:rFonts w:ascii="Times New Roman" w:hAnsi="Times New Roman" w:eastAsia="Times New Roman"/>
          <w:b w:val="0"/>
          <w:i w:val="0"/>
          <w:sz w:val="22"/>
        </w:rPr>
        <w:t>2.3 Summary</w:t>
      </w:r>
    </w:p>
    <w:p>
      <w:pPr>
        <w:spacing w:after="40" w:line="360" w:lineRule="auto"/>
        <w:jc w:val="left"/>
      </w:pPr>
      <w:r>
        <w:rPr>
          <w:rFonts w:ascii="Times New Roman" w:hAnsi="Times New Roman" w:eastAsia="Times New Roman"/>
          <w:b/>
          <w:i w:val="0"/>
          <w:sz w:val="24"/>
        </w:rPr>
        <w:t>3.  MOTIVATION</w:t>
      </w:r>
    </w:p>
    <w:p>
      <w:pPr>
        <w:spacing w:after="20" w:line="360" w:lineRule="auto"/>
        <w:ind w:left="576"/>
        <w:jc w:val="left"/>
      </w:pPr>
      <w:r>
        <w:rPr>
          <w:rFonts w:ascii="Times New Roman" w:hAnsi="Times New Roman" w:eastAsia="Times New Roman"/>
          <w:b w:val="0"/>
          <w:i w:val="0"/>
          <w:sz w:val="22"/>
        </w:rPr>
        <w:t>3.1 Background and Need for the Study</w:t>
      </w:r>
    </w:p>
    <w:p>
      <w:pPr>
        <w:spacing w:after="20" w:line="360" w:lineRule="auto"/>
        <w:ind w:left="576"/>
        <w:jc w:val="left"/>
      </w:pPr>
      <w:r>
        <w:rPr>
          <w:rFonts w:ascii="Times New Roman" w:hAnsi="Times New Roman" w:eastAsia="Times New Roman"/>
          <w:b w:val="0"/>
          <w:i w:val="0"/>
          <w:sz w:val="22"/>
        </w:rPr>
        <w:t>3.2 Challenges in Existing Screening Methods</w:t>
      </w:r>
    </w:p>
    <w:p>
      <w:pPr>
        <w:spacing w:after="20" w:line="360" w:lineRule="auto"/>
        <w:ind w:left="576"/>
        <w:jc w:val="left"/>
      </w:pPr>
      <w:r>
        <w:rPr>
          <w:rFonts w:ascii="Times New Roman" w:hAnsi="Times New Roman" w:eastAsia="Times New Roman"/>
          <w:b w:val="0"/>
          <w:i w:val="0"/>
          <w:sz w:val="22"/>
        </w:rPr>
        <w:t>3.3 Problem Identification</w:t>
      </w:r>
    </w:p>
    <w:p>
      <w:pPr>
        <w:spacing w:after="20" w:line="360" w:lineRule="auto"/>
        <w:ind w:left="576"/>
        <w:jc w:val="left"/>
      </w:pPr>
      <w:r>
        <w:rPr>
          <w:rFonts w:ascii="Times New Roman" w:hAnsi="Times New Roman" w:eastAsia="Times New Roman"/>
          <w:b w:val="0"/>
          <w:i w:val="0"/>
          <w:sz w:val="22"/>
        </w:rPr>
        <w:t>3.4 Motivation for the Proposed Work</w:t>
      </w:r>
    </w:p>
    <w:p>
      <w:pPr>
        <w:spacing w:after="20" w:line="360" w:lineRule="auto"/>
        <w:ind w:left="576"/>
        <w:jc w:val="left"/>
      </w:pPr>
      <w:r>
        <w:rPr>
          <w:rFonts w:ascii="Times New Roman" w:hAnsi="Times New Roman" w:eastAsia="Times New Roman"/>
          <w:b w:val="0"/>
          <w:i w:val="0"/>
          <w:sz w:val="22"/>
        </w:rPr>
        <w:t>3.5 Significance of the Proposed Framework</w:t>
      </w:r>
    </w:p>
    <w:p>
      <w:pPr>
        <w:spacing w:after="40" w:line="360" w:lineRule="auto"/>
        <w:jc w:val="left"/>
      </w:pPr>
      <w:r>
        <w:rPr>
          <w:rFonts w:ascii="Times New Roman" w:hAnsi="Times New Roman" w:eastAsia="Times New Roman"/>
          <w:b/>
          <w:i w:val="0"/>
          <w:sz w:val="24"/>
        </w:rPr>
        <w:t>4.  PROPOSED METHODOLOGY</w:t>
      </w:r>
    </w:p>
    <w:p>
      <w:pPr>
        <w:spacing w:after="20" w:line="360" w:lineRule="auto"/>
        <w:ind w:left="576"/>
        <w:jc w:val="left"/>
      </w:pPr>
      <w:r>
        <w:rPr>
          <w:rFonts w:ascii="Times New Roman" w:hAnsi="Times New Roman" w:eastAsia="Times New Roman"/>
          <w:b w:val="0"/>
          <w:i w:val="0"/>
          <w:sz w:val="22"/>
        </w:rPr>
        <w:t>4.1 Overview of the Proposed System</w:t>
      </w:r>
    </w:p>
    <w:p>
      <w:pPr>
        <w:spacing w:after="20" w:line="360" w:lineRule="auto"/>
        <w:ind w:left="576"/>
        <w:jc w:val="left"/>
      </w:pPr>
      <w:r>
        <w:rPr>
          <w:rFonts w:ascii="Times New Roman" w:hAnsi="Times New Roman" w:eastAsia="Times New Roman"/>
          <w:b w:val="0"/>
          <w:i w:val="0"/>
          <w:sz w:val="22"/>
        </w:rPr>
        <w:t>4.2 System Workflow</w:t>
      </w:r>
    </w:p>
    <w:p>
      <w:pPr>
        <w:spacing w:after="20" w:line="360" w:lineRule="auto"/>
        <w:ind w:left="576"/>
        <w:jc w:val="left"/>
      </w:pPr>
      <w:r>
        <w:rPr>
          <w:rFonts w:ascii="Times New Roman" w:hAnsi="Times New Roman" w:eastAsia="Times New Roman"/>
          <w:b w:val="0"/>
          <w:i w:val="0"/>
          <w:sz w:val="22"/>
        </w:rPr>
        <w:t>4.3 Dataset Description</w:t>
      </w:r>
    </w:p>
    <w:p>
      <w:pPr>
        <w:spacing w:after="20" w:line="360" w:lineRule="auto"/>
        <w:ind w:left="576"/>
        <w:jc w:val="left"/>
      </w:pPr>
      <w:r>
        <w:rPr>
          <w:rFonts w:ascii="Times New Roman" w:hAnsi="Times New Roman" w:eastAsia="Times New Roman"/>
          <w:b w:val="0"/>
          <w:i w:val="0"/>
          <w:sz w:val="22"/>
        </w:rPr>
        <w:t>4.4 Parameter Extraction and Feature Representation</w:t>
      </w:r>
    </w:p>
    <w:p>
      <w:pPr>
        <w:spacing w:after="20" w:line="360" w:lineRule="auto"/>
        <w:ind w:left="576"/>
        <w:jc w:val="left"/>
      </w:pPr>
      <w:r>
        <w:rPr>
          <w:rFonts w:ascii="Times New Roman" w:hAnsi="Times New Roman" w:eastAsia="Times New Roman"/>
          <w:b w:val="0"/>
          <w:i w:val="0"/>
          <w:sz w:val="22"/>
        </w:rPr>
        <w:t>4.5 Multi-Disease Classification Using MuReD Dataset</w:t>
      </w:r>
    </w:p>
    <w:p>
      <w:pPr>
        <w:spacing w:after="20" w:line="360" w:lineRule="auto"/>
        <w:ind w:left="576"/>
        <w:jc w:val="left"/>
      </w:pPr>
      <w:r>
        <w:rPr>
          <w:rFonts w:ascii="Times New Roman" w:hAnsi="Times New Roman" w:eastAsia="Times New Roman"/>
          <w:b w:val="0"/>
          <w:i w:val="0"/>
          <w:sz w:val="22"/>
        </w:rPr>
        <w:t>4.6 Retinal Feature Extraction Using ResNet50</w:t>
      </w:r>
    </w:p>
    <w:p>
      <w:pPr>
        <w:spacing w:after="20" w:line="360" w:lineRule="auto"/>
        <w:ind w:left="576"/>
        <w:jc w:val="left"/>
      </w:pPr>
      <w:r>
        <w:rPr>
          <w:rFonts w:ascii="Times New Roman" w:hAnsi="Times New Roman" w:eastAsia="Times New Roman"/>
          <w:b w:val="0"/>
          <w:i w:val="0"/>
          <w:sz w:val="22"/>
        </w:rPr>
        <w:t>4.7 Retinal Feature Extraction Using RETFound</w:t>
      </w:r>
    </w:p>
    <w:p>
      <w:pPr>
        <w:spacing w:after="20" w:line="360" w:lineRule="auto"/>
        <w:ind w:left="576"/>
        <w:jc w:val="left"/>
      </w:pPr>
      <w:r>
        <w:rPr>
          <w:rFonts w:ascii="Times New Roman" w:hAnsi="Times New Roman" w:eastAsia="Times New Roman"/>
          <w:b w:val="0"/>
          <w:i w:val="0"/>
          <w:sz w:val="22"/>
        </w:rPr>
        <w:t>4.8 Unified Dual-Branch Script Framework</w:t>
      </w:r>
    </w:p>
    <w:p>
      <w:pPr>
        <w:spacing w:after="20" w:line="360" w:lineRule="auto"/>
        <w:ind w:left="576"/>
        <w:jc w:val="left"/>
      </w:pPr>
      <w:r>
        <w:rPr>
          <w:rFonts w:ascii="Times New Roman" w:hAnsi="Times New Roman" w:eastAsia="Times New Roman"/>
          <w:b w:val="0"/>
          <w:i w:val="0"/>
          <w:sz w:val="22"/>
        </w:rPr>
        <w:t>4.9 Expected Outcomes</w:t>
      </w:r>
    </w:p>
    <w:p>
      <w:pPr>
        <w:spacing w:after="20" w:line="360" w:lineRule="auto"/>
        <w:ind w:left="576"/>
        <w:jc w:val="left"/>
      </w:pPr>
      <w:r>
        <w:rPr>
          <w:rFonts w:ascii="Times New Roman" w:hAnsi="Times New Roman" w:eastAsia="Times New Roman"/>
          <w:b w:val="0"/>
          <w:i w:val="0"/>
          <w:sz w:val="22"/>
        </w:rPr>
        <w:t>4.10 Model Training and Optimization</w:t>
      </w:r>
    </w:p>
    <w:p>
      <w:pPr>
        <w:spacing w:after="20" w:line="360" w:lineRule="auto"/>
        <w:ind w:left="576"/>
        <w:jc w:val="left"/>
      </w:pPr>
      <w:r>
        <w:rPr>
          <w:rFonts w:ascii="Times New Roman" w:hAnsi="Times New Roman" w:eastAsia="Times New Roman"/>
          <w:b w:val="0"/>
          <w:i w:val="0"/>
          <w:sz w:val="22"/>
        </w:rPr>
        <w:t>4.11 Explainability and Feature Interpretation</w:t>
      </w:r>
    </w:p>
    <w:p>
      <w:pPr>
        <w:spacing w:after="20" w:line="360" w:lineRule="auto"/>
        <w:ind w:left="576"/>
        <w:jc w:val="left"/>
      </w:pPr>
      <w:r>
        <w:rPr>
          <w:rFonts w:ascii="Times New Roman" w:hAnsi="Times New Roman" w:eastAsia="Times New Roman"/>
          <w:b w:val="0"/>
          <w:i w:val="0"/>
          <w:sz w:val="22"/>
        </w:rPr>
        <w:t>4.12 Advantages of the Proposed Method</w:t>
      </w:r>
    </w:p>
    <w:p>
      <w:pPr>
        <w:spacing w:after="20" w:line="360" w:lineRule="auto"/>
        <w:ind w:left="576"/>
        <w:jc w:val="left"/>
      </w:pPr>
      <w:r>
        <w:rPr>
          <w:rFonts w:ascii="Times New Roman" w:hAnsi="Times New Roman" w:eastAsia="Times New Roman"/>
          <w:b w:val="0"/>
          <w:i w:val="0"/>
          <w:sz w:val="22"/>
        </w:rPr>
        <w:t>4.13 Limitations</w:t>
      </w:r>
    </w:p>
    <w:p>
      <w:pPr>
        <w:spacing w:after="40" w:line="360" w:lineRule="auto"/>
        <w:jc w:val="left"/>
      </w:pPr>
      <w:r>
        <w:rPr>
          <w:rFonts w:ascii="Times New Roman" w:hAnsi="Times New Roman" w:eastAsia="Times New Roman"/>
          <w:b/>
          <w:i w:val="0"/>
          <w:sz w:val="24"/>
        </w:rPr>
        <w:t>5.  SYSTEM ARCHITECTURE AND IMPLEMENTATION</w:t>
      </w:r>
    </w:p>
    <w:p>
      <w:pPr>
        <w:spacing w:after="20" w:line="360" w:lineRule="auto"/>
        <w:ind w:left="576"/>
        <w:jc w:val="left"/>
      </w:pPr>
      <w:r>
        <w:rPr>
          <w:rFonts w:ascii="Times New Roman" w:hAnsi="Times New Roman" w:eastAsia="Times New Roman"/>
          <w:b w:val="0"/>
          <w:i w:val="0"/>
          <w:sz w:val="22"/>
        </w:rPr>
        <w:t>5.1 Overall System Architecture</w:t>
      </w:r>
    </w:p>
    <w:p>
      <w:pPr>
        <w:spacing w:after="20" w:line="360" w:lineRule="auto"/>
        <w:ind w:left="576"/>
        <w:jc w:val="left"/>
      </w:pPr>
      <w:r>
        <w:rPr>
          <w:rFonts w:ascii="Times New Roman" w:hAnsi="Times New Roman" w:eastAsia="Times New Roman"/>
          <w:b w:val="0"/>
          <w:i w:val="0"/>
          <w:sz w:val="22"/>
        </w:rPr>
        <w:t>5.2 Software and Computational Requirements</w:t>
      </w:r>
    </w:p>
    <w:p>
      <w:pPr>
        <w:spacing w:after="20" w:line="360" w:lineRule="auto"/>
        <w:ind w:left="576"/>
        <w:jc w:val="left"/>
      </w:pPr>
      <w:r>
        <w:rPr>
          <w:rFonts w:ascii="Times New Roman" w:hAnsi="Times New Roman" w:eastAsia="Times New Roman"/>
          <w:b w:val="0"/>
          <w:i w:val="0"/>
          <w:sz w:val="22"/>
        </w:rPr>
        <w:t>5.3 Dataset Organization and Validation</w:t>
      </w:r>
    </w:p>
    <w:p>
      <w:pPr>
        <w:spacing w:after="20" w:line="360" w:lineRule="auto"/>
        <w:ind w:left="576"/>
        <w:jc w:val="left"/>
      </w:pPr>
      <w:r>
        <w:rPr>
          <w:rFonts w:ascii="Times New Roman" w:hAnsi="Times New Roman" w:eastAsia="Times New Roman"/>
          <w:b w:val="0"/>
          <w:i w:val="0"/>
          <w:sz w:val="22"/>
        </w:rPr>
        <w:t>5.4 Model Architecture and Configuration</w:t>
      </w:r>
    </w:p>
    <w:p>
      <w:pPr>
        <w:spacing w:after="20" w:line="360" w:lineRule="auto"/>
        <w:ind w:left="576"/>
        <w:jc w:val="left"/>
      </w:pPr>
      <w:r>
        <w:rPr>
          <w:rFonts w:ascii="Times New Roman" w:hAnsi="Times New Roman" w:eastAsia="Times New Roman"/>
          <w:b w:val="0"/>
          <w:i w:val="0"/>
          <w:sz w:val="22"/>
        </w:rPr>
        <w:t>5.5 Model Integration and Checkpoint Generation</w:t>
      </w:r>
    </w:p>
    <w:p>
      <w:pPr>
        <w:spacing w:after="20" w:line="360" w:lineRule="auto"/>
        <w:ind w:left="576"/>
        <w:jc w:val="left"/>
      </w:pPr>
      <w:r>
        <w:rPr>
          <w:rFonts w:ascii="Times New Roman" w:hAnsi="Times New Roman" w:eastAsia="Times New Roman"/>
          <w:b w:val="0"/>
          <w:i w:val="0"/>
          <w:sz w:val="22"/>
        </w:rPr>
        <w:t>5.6 Unified Model Inference Pipeline</w:t>
      </w:r>
    </w:p>
    <w:p>
      <w:pPr>
        <w:spacing w:after="20" w:line="360" w:lineRule="auto"/>
        <w:ind w:left="576"/>
        <w:jc w:val="left"/>
      </w:pPr>
      <w:r>
        <w:rPr>
          <w:rFonts w:ascii="Times New Roman" w:hAnsi="Times New Roman" w:eastAsia="Times New Roman"/>
          <w:b w:val="0"/>
          <w:i w:val="0"/>
          <w:sz w:val="22"/>
        </w:rPr>
        <w:t>5.7 Edge AI Deployment Strategy</w:t>
      </w:r>
    </w:p>
    <w:p>
      <w:pPr>
        <w:spacing w:after="20" w:line="360" w:lineRule="auto"/>
        <w:ind w:left="576"/>
        <w:jc w:val="left"/>
      </w:pPr>
      <w:r>
        <w:rPr>
          <w:rFonts w:ascii="Times New Roman" w:hAnsi="Times New Roman" w:eastAsia="Times New Roman"/>
          <w:b w:val="0"/>
          <w:i w:val="0"/>
          <w:sz w:val="22"/>
        </w:rPr>
        <w:t>5.8 Model Optimization for Edge Devices</w:t>
      </w:r>
    </w:p>
    <w:p>
      <w:pPr>
        <w:spacing w:after="40" w:line="360" w:lineRule="auto"/>
        <w:jc w:val="left"/>
      </w:pPr>
      <w:r>
        <w:rPr>
          <w:rFonts w:ascii="Times New Roman" w:hAnsi="Times New Roman" w:eastAsia="Times New Roman"/>
          <w:b/>
          <w:i w:val="0"/>
          <w:sz w:val="24"/>
        </w:rPr>
        <w:t>6.  OUTPUT ACQUISITION</w:t>
      </w:r>
    </w:p>
    <w:p>
      <w:pPr>
        <w:spacing w:after="20" w:line="360" w:lineRule="auto"/>
        <w:ind w:left="576"/>
        <w:jc w:val="left"/>
      </w:pPr>
      <w:r>
        <w:rPr>
          <w:rFonts w:ascii="Times New Roman" w:hAnsi="Times New Roman" w:eastAsia="Times New Roman"/>
          <w:b w:val="0"/>
          <w:i w:val="0"/>
          <w:sz w:val="22"/>
        </w:rPr>
        <w:t>6.1 Retinal Image Input and Preprocessing</w:t>
      </w:r>
    </w:p>
    <w:p>
      <w:pPr>
        <w:spacing w:after="20" w:line="360" w:lineRule="auto"/>
        <w:ind w:left="576"/>
        <w:jc w:val="left"/>
      </w:pPr>
      <w:r>
        <w:rPr>
          <w:rFonts w:ascii="Times New Roman" w:hAnsi="Times New Roman" w:eastAsia="Times New Roman"/>
          <w:b w:val="0"/>
          <w:i w:val="0"/>
          <w:sz w:val="22"/>
        </w:rPr>
        <w:t>6.2 Multi-Disease Prediction</w:t>
      </w:r>
    </w:p>
    <w:p>
      <w:pPr>
        <w:spacing w:after="20" w:line="360" w:lineRule="auto"/>
        <w:ind w:left="576"/>
        <w:jc w:val="left"/>
      </w:pPr>
      <w:r>
        <w:rPr>
          <w:rFonts w:ascii="Times New Roman" w:hAnsi="Times New Roman" w:eastAsia="Times New Roman"/>
          <w:b w:val="0"/>
          <w:i w:val="0"/>
          <w:sz w:val="22"/>
        </w:rPr>
        <w:t>6.3 CIMT Value Estimation</w:t>
      </w:r>
    </w:p>
    <w:p>
      <w:pPr>
        <w:spacing w:after="20" w:line="360" w:lineRule="auto"/>
        <w:ind w:left="576"/>
        <w:jc w:val="left"/>
      </w:pPr>
      <w:r>
        <w:rPr>
          <w:rFonts w:ascii="Times New Roman" w:hAnsi="Times New Roman" w:eastAsia="Times New Roman"/>
          <w:b w:val="0"/>
          <w:i w:val="0"/>
          <w:sz w:val="22"/>
        </w:rPr>
        <w:t>6.4 Cardiovascular Status Classification</w:t>
      </w:r>
    </w:p>
    <w:p>
      <w:pPr>
        <w:spacing w:after="20" w:line="360" w:lineRule="auto"/>
        <w:ind w:left="576"/>
        <w:jc w:val="left"/>
      </w:pPr>
      <w:r>
        <w:rPr>
          <w:rFonts w:ascii="Times New Roman" w:hAnsi="Times New Roman" w:eastAsia="Times New Roman"/>
          <w:b w:val="0"/>
          <w:i w:val="0"/>
          <w:sz w:val="22"/>
        </w:rPr>
        <w:t>6.5 Probability and Prediction Generation</w:t>
      </w:r>
    </w:p>
    <w:p>
      <w:pPr>
        <w:spacing w:after="20" w:line="360" w:lineRule="auto"/>
        <w:ind w:left="576"/>
        <w:jc w:val="left"/>
      </w:pPr>
      <w:r>
        <w:rPr>
          <w:rFonts w:ascii="Times New Roman" w:hAnsi="Times New Roman" w:eastAsia="Times New Roman"/>
          <w:b w:val="0"/>
          <w:i w:val="0"/>
          <w:sz w:val="22"/>
        </w:rPr>
        <w:t>6.6 Output Visualization</w:t>
      </w:r>
    </w:p>
    <w:p>
      <w:pPr>
        <w:spacing w:after="20" w:line="360" w:lineRule="auto"/>
        <w:ind w:left="576"/>
        <w:jc w:val="left"/>
      </w:pPr>
      <w:r>
        <w:rPr>
          <w:rFonts w:ascii="Times New Roman" w:hAnsi="Times New Roman" w:eastAsia="Times New Roman"/>
          <w:b w:val="0"/>
          <w:i w:val="0"/>
          <w:sz w:val="22"/>
        </w:rPr>
        <w:t>6.7 Explainable AI Outputs</w:t>
      </w:r>
    </w:p>
    <w:p>
      <w:pPr>
        <w:spacing w:after="20" w:line="360" w:lineRule="auto"/>
        <w:ind w:left="576"/>
        <w:jc w:val="left"/>
      </w:pPr>
      <w:r>
        <w:rPr>
          <w:rFonts w:ascii="Times New Roman" w:hAnsi="Times New Roman" w:eastAsia="Times New Roman"/>
          <w:b w:val="0"/>
          <w:i w:val="0"/>
          <w:sz w:val="22"/>
        </w:rPr>
        <w:t>6.8 Result Storage and Report Generation</w:t>
      </w:r>
    </w:p>
    <w:p>
      <w:pPr>
        <w:spacing w:after="40" w:line="360" w:lineRule="auto"/>
        <w:jc w:val="left"/>
      </w:pPr>
      <w:r>
        <w:rPr>
          <w:rFonts w:ascii="Times New Roman" w:hAnsi="Times New Roman" w:eastAsia="Times New Roman"/>
          <w:b/>
          <w:i w:val="0"/>
          <w:sz w:val="24"/>
        </w:rPr>
        <w:t>7.  EXPERIMENTAL STUDY AND EVALUATION</w:t>
      </w:r>
    </w:p>
    <w:p>
      <w:pPr>
        <w:spacing w:after="20" w:line="360" w:lineRule="auto"/>
        <w:ind w:left="576"/>
        <w:jc w:val="left"/>
      </w:pPr>
      <w:r>
        <w:rPr>
          <w:rFonts w:ascii="Times New Roman" w:hAnsi="Times New Roman" w:eastAsia="Times New Roman"/>
          <w:b w:val="0"/>
          <w:i w:val="0"/>
          <w:sz w:val="22"/>
        </w:rPr>
        <w:t>7.1 Dataset Splitting and Experimental Setup</w:t>
      </w:r>
    </w:p>
    <w:p>
      <w:pPr>
        <w:spacing w:after="20" w:line="360" w:lineRule="auto"/>
        <w:ind w:left="576"/>
        <w:jc w:val="left"/>
      </w:pPr>
      <w:r>
        <w:rPr>
          <w:rFonts w:ascii="Times New Roman" w:hAnsi="Times New Roman" w:eastAsia="Times New Roman"/>
          <w:b w:val="0"/>
          <w:i w:val="0"/>
          <w:sz w:val="22"/>
        </w:rPr>
        <w:t>7.2 Training and Validation Procedure</w:t>
      </w:r>
    </w:p>
    <w:p>
      <w:pPr>
        <w:spacing w:after="20" w:line="360" w:lineRule="auto"/>
        <w:ind w:left="576"/>
        <w:jc w:val="left"/>
      </w:pPr>
      <w:r>
        <w:rPr>
          <w:rFonts w:ascii="Times New Roman" w:hAnsi="Times New Roman" w:eastAsia="Times New Roman"/>
          <w:b w:val="0"/>
          <w:i w:val="0"/>
          <w:sz w:val="22"/>
        </w:rPr>
        <w:t>7.3 Testing of the Unified Model</w:t>
      </w:r>
    </w:p>
    <w:p>
      <w:pPr>
        <w:spacing w:after="20" w:line="360" w:lineRule="auto"/>
        <w:ind w:left="576"/>
        <w:jc w:val="left"/>
      </w:pPr>
      <w:r>
        <w:rPr>
          <w:rFonts w:ascii="Times New Roman" w:hAnsi="Times New Roman" w:eastAsia="Times New Roman"/>
          <w:b w:val="0"/>
          <w:i w:val="0"/>
          <w:sz w:val="22"/>
        </w:rPr>
        <w:t>7.4 Multi-Disease Retinal Screening Evaluation</w:t>
      </w:r>
    </w:p>
    <w:p>
      <w:pPr>
        <w:spacing w:after="20" w:line="360" w:lineRule="auto"/>
        <w:ind w:left="576"/>
        <w:jc w:val="left"/>
      </w:pPr>
      <w:r>
        <w:rPr>
          <w:rFonts w:ascii="Times New Roman" w:hAnsi="Times New Roman" w:eastAsia="Times New Roman"/>
          <w:b w:val="0"/>
          <w:i w:val="0"/>
          <w:sz w:val="22"/>
        </w:rPr>
        <w:t>7.5 CIMT Regression Evaluation</w:t>
      </w:r>
    </w:p>
    <w:p>
      <w:pPr>
        <w:spacing w:after="20" w:line="360" w:lineRule="auto"/>
        <w:ind w:left="576"/>
        <w:jc w:val="left"/>
      </w:pPr>
      <w:r>
        <w:rPr>
          <w:rFonts w:ascii="Times New Roman" w:hAnsi="Times New Roman" w:eastAsia="Times New Roman"/>
          <w:b w:val="0"/>
          <w:i w:val="0"/>
          <w:sz w:val="22"/>
        </w:rPr>
        <w:t>7.6 Cardiovascular Classification Evaluation</w:t>
      </w:r>
    </w:p>
    <w:p>
      <w:pPr>
        <w:spacing w:after="20" w:line="360" w:lineRule="auto"/>
        <w:ind w:left="576"/>
        <w:jc w:val="left"/>
      </w:pPr>
      <w:r>
        <w:rPr>
          <w:rFonts w:ascii="Times New Roman" w:hAnsi="Times New Roman" w:eastAsia="Times New Roman"/>
          <w:b w:val="0"/>
          <w:i w:val="0"/>
          <w:sz w:val="22"/>
        </w:rPr>
        <w:t>7.7 Comparative Evaluation of ResNet50 and RETFound</w:t>
      </w:r>
    </w:p>
    <w:p>
      <w:pPr>
        <w:spacing w:after="20" w:line="360" w:lineRule="auto"/>
        <w:ind w:left="576"/>
        <w:jc w:val="left"/>
      </w:pPr>
      <w:r>
        <w:rPr>
          <w:rFonts w:ascii="Times New Roman" w:hAnsi="Times New Roman" w:eastAsia="Times New Roman"/>
          <w:b w:val="0"/>
          <w:i w:val="0"/>
          <w:sz w:val="22"/>
        </w:rPr>
        <w:t>7.8 Model Complexity and Inference Efficiency</w:t>
      </w:r>
    </w:p>
    <w:p>
      <w:pPr>
        <w:spacing w:after="20" w:line="360" w:lineRule="auto"/>
        <w:ind w:left="576"/>
        <w:jc w:val="left"/>
      </w:pPr>
      <w:r>
        <w:rPr>
          <w:rFonts w:ascii="Times New Roman" w:hAnsi="Times New Roman" w:eastAsia="Times New Roman"/>
          <w:b w:val="0"/>
          <w:i w:val="0"/>
          <w:sz w:val="22"/>
        </w:rPr>
        <w:t>7.9 Limitations of Case Study</w:t>
      </w:r>
    </w:p>
    <w:p>
      <w:pPr>
        <w:spacing w:after="40" w:line="360" w:lineRule="auto"/>
        <w:jc w:val="left"/>
      </w:pPr>
      <w:r>
        <w:rPr>
          <w:rFonts w:ascii="Times New Roman" w:hAnsi="Times New Roman" w:eastAsia="Times New Roman"/>
          <w:b/>
          <w:i w:val="0"/>
          <w:sz w:val="24"/>
        </w:rPr>
        <w:t>8.  RESULTS</w:t>
      </w:r>
    </w:p>
    <w:p>
      <w:pPr>
        <w:spacing w:after="20" w:line="360" w:lineRule="auto"/>
        <w:ind w:left="576"/>
        <w:jc w:val="left"/>
      </w:pPr>
      <w:r>
        <w:rPr>
          <w:rFonts w:ascii="Times New Roman" w:hAnsi="Times New Roman" w:eastAsia="Times New Roman"/>
          <w:b w:val="0"/>
          <w:i w:val="0"/>
          <w:sz w:val="22"/>
        </w:rPr>
        <w:t>8.1 Overview of Results</w:t>
      </w:r>
    </w:p>
    <w:p>
      <w:pPr>
        <w:spacing w:after="20" w:line="360" w:lineRule="auto"/>
        <w:ind w:left="576"/>
        <w:jc w:val="left"/>
      </w:pPr>
      <w:r>
        <w:rPr>
          <w:rFonts w:ascii="Times New Roman" w:hAnsi="Times New Roman" w:eastAsia="Times New Roman"/>
          <w:b w:val="0"/>
          <w:i w:val="0"/>
          <w:sz w:val="22"/>
        </w:rPr>
        <w:t>8.2 Multi-Disease Classification Results</w:t>
      </w:r>
    </w:p>
    <w:p>
      <w:pPr>
        <w:spacing w:after="20" w:line="360" w:lineRule="auto"/>
        <w:ind w:left="576"/>
        <w:jc w:val="left"/>
      </w:pPr>
      <w:r>
        <w:rPr>
          <w:rFonts w:ascii="Times New Roman" w:hAnsi="Times New Roman" w:eastAsia="Times New Roman"/>
          <w:b w:val="0"/>
          <w:i w:val="0"/>
          <w:sz w:val="22"/>
        </w:rPr>
        <w:t>8.3 Disease-Wise Performance Analysis</w:t>
      </w:r>
    </w:p>
    <w:p>
      <w:pPr>
        <w:spacing w:after="20" w:line="360" w:lineRule="auto"/>
        <w:ind w:left="576"/>
        <w:jc w:val="left"/>
      </w:pPr>
      <w:r>
        <w:rPr>
          <w:rFonts w:ascii="Times New Roman" w:hAnsi="Times New Roman" w:eastAsia="Times New Roman"/>
          <w:b w:val="0"/>
          <w:i w:val="0"/>
          <w:sz w:val="22"/>
        </w:rPr>
        <w:t>8.4 CIMT Regression Results</w:t>
      </w:r>
    </w:p>
    <w:p>
      <w:pPr>
        <w:spacing w:after="20" w:line="360" w:lineRule="auto"/>
        <w:ind w:left="576"/>
        <w:jc w:val="left"/>
      </w:pPr>
      <w:r>
        <w:rPr>
          <w:rFonts w:ascii="Times New Roman" w:hAnsi="Times New Roman" w:eastAsia="Times New Roman"/>
          <w:b w:val="0"/>
          <w:i w:val="0"/>
          <w:sz w:val="22"/>
        </w:rPr>
        <w:t>8.5 Cardiovascular Classification Results</w:t>
      </w:r>
    </w:p>
    <w:p>
      <w:pPr>
        <w:spacing w:after="20" w:line="360" w:lineRule="auto"/>
        <w:ind w:left="576"/>
        <w:jc w:val="left"/>
      </w:pPr>
      <w:r>
        <w:rPr>
          <w:rFonts w:ascii="Times New Roman" w:hAnsi="Times New Roman" w:eastAsia="Times New Roman"/>
          <w:b w:val="0"/>
          <w:i w:val="0"/>
          <w:sz w:val="22"/>
        </w:rPr>
        <w:t>8.6 Confusion Matrix and Performance Metrics</w:t>
      </w:r>
    </w:p>
    <w:p>
      <w:pPr>
        <w:spacing w:after="20" w:line="360" w:lineRule="auto"/>
        <w:ind w:left="576"/>
        <w:jc w:val="left"/>
      </w:pPr>
      <w:r>
        <w:rPr>
          <w:rFonts w:ascii="Times New Roman" w:hAnsi="Times New Roman" w:eastAsia="Times New Roman"/>
          <w:b w:val="0"/>
          <w:i w:val="0"/>
          <w:sz w:val="22"/>
        </w:rPr>
        <w:t>8.7 Comparative Analysis of Model Performance</w:t>
      </w:r>
    </w:p>
    <w:p>
      <w:pPr>
        <w:spacing w:after="20" w:line="360" w:lineRule="auto"/>
        <w:ind w:left="576"/>
        <w:jc w:val="left"/>
      </w:pPr>
      <w:r>
        <w:rPr>
          <w:rFonts w:ascii="Times New Roman" w:hAnsi="Times New Roman" w:eastAsia="Times New Roman"/>
          <w:b w:val="0"/>
          <w:i w:val="0"/>
          <w:sz w:val="22"/>
        </w:rPr>
        <w:t>8.8 Explainability Results and Retinal Feature Interpretation</w:t>
      </w:r>
    </w:p>
    <w:p>
      <w:pPr>
        <w:spacing w:after="20" w:line="360" w:lineRule="auto"/>
        <w:ind w:left="576"/>
        <w:jc w:val="left"/>
      </w:pPr>
      <w:r>
        <w:rPr>
          <w:rFonts w:ascii="Times New Roman" w:hAnsi="Times New Roman" w:eastAsia="Times New Roman"/>
          <w:b w:val="0"/>
          <w:i w:val="0"/>
          <w:sz w:val="22"/>
        </w:rPr>
        <w:t>8.9 Unified Framework Performance</w:t>
      </w:r>
    </w:p>
    <w:p>
      <w:pPr>
        <w:spacing w:after="20" w:line="360" w:lineRule="auto"/>
        <w:ind w:left="576"/>
        <w:jc w:val="left"/>
      </w:pPr>
      <w:r>
        <w:rPr>
          <w:rFonts w:ascii="Times New Roman" w:hAnsi="Times New Roman" w:eastAsia="Times New Roman"/>
          <w:b w:val="0"/>
          <w:i w:val="0"/>
          <w:sz w:val="22"/>
        </w:rPr>
        <w:t>8.10 Limitations of Results</w:t>
      </w:r>
    </w:p>
    <w:p>
      <w:pPr>
        <w:spacing w:after="20" w:line="360" w:lineRule="auto"/>
        <w:ind w:left="576"/>
        <w:jc w:val="left"/>
      </w:pPr>
      <w:r>
        <w:rPr>
          <w:rFonts w:ascii="Times New Roman" w:hAnsi="Times New Roman" w:eastAsia="Times New Roman"/>
          <w:b w:val="0"/>
          <w:i w:val="0"/>
          <w:sz w:val="22"/>
        </w:rPr>
        <w:t>8.11 Overall Interpretation</w:t>
      </w:r>
    </w:p>
    <w:p>
      <w:pPr>
        <w:spacing w:after="40" w:line="360" w:lineRule="auto"/>
        <w:jc w:val="left"/>
      </w:pPr>
      <w:r>
        <w:rPr>
          <w:rFonts w:ascii="Times New Roman" w:hAnsi="Times New Roman" w:eastAsia="Times New Roman"/>
          <w:b/>
          <w:i w:val="0"/>
          <w:sz w:val="24"/>
        </w:rPr>
        <w:t>9.  CONCLUSION</w:t>
      </w:r>
    </w:p>
    <w:p>
      <w:pPr>
        <w:spacing w:after="40" w:line="360" w:lineRule="auto"/>
        <w:jc w:val="left"/>
      </w:pPr>
      <w:r>
        <w:rPr>
          <w:rFonts w:ascii="Times New Roman" w:hAnsi="Times New Roman" w:eastAsia="Times New Roman"/>
          <w:b/>
          <w:i w:val="0"/>
          <w:sz w:val="24"/>
        </w:rPr>
        <w:t>10.  FUTURE WORK</w:t>
      </w:r>
    </w:p>
    <w:p>
      <w:pPr>
        <w:spacing w:after="40" w:line="360" w:lineRule="auto"/>
        <w:jc w:val="left"/>
      </w:pPr>
      <w:r>
        <w:rPr>
          <w:rFonts w:ascii="Times New Roman" w:hAnsi="Times New Roman" w:eastAsia="Times New Roman"/>
          <w:b/>
          <w:i w:val="0"/>
          <w:sz w:val="24"/>
        </w:rPr>
        <w:t>11.  BIBLIOGRAPHY</w:t>
      </w:r>
    </w:p>
    <w:p>
      <w:r>
        <w:br w:type="page"/>
      </w:r>
    </w:p>
    <w:p>
      <w:pPr>
        <w:jc w:val="center"/>
      </w:pPr>
      <w:r>
        <w:rPr>
          <w:rFonts w:ascii="Times New Roman" w:hAnsi="Times New Roman" w:eastAsia="Times New Roman"/>
          <w:b/>
          <w:i w:val="0"/>
          <w:sz w:val="28"/>
        </w:rPr>
        <w:t>LIST OF FIGURES</w:t>
      </w:r>
    </w:p>
    <w:p>
      <w:pPr>
        <w:jc w:val="left"/>
      </w:pPr>
      <w:r>
        <w:rPr>
          <w:rFonts w:ascii="Times New Roman" w:hAnsi="Times New Roman" w:eastAsia="Times New Roman"/>
          <w:b w:val="0"/>
          <w:i w:val="0"/>
          <w:sz w:val="22"/>
        </w:rPr>
        <w:t>Figure 4.1  End-to-end workflow of the proposed dual-branch system</w:t>
      </w:r>
    </w:p>
    <w:p>
      <w:pPr>
        <w:jc w:val="left"/>
      </w:pPr>
      <w:r>
        <w:rPr>
          <w:rFonts w:ascii="Times New Roman" w:hAnsi="Times New Roman" w:eastAsia="Times New Roman"/>
          <w:b w:val="0"/>
          <w:i w:val="0"/>
          <w:sz w:val="22"/>
        </w:rPr>
        <w:t>Figure 6.1  Grad-CAM panel of the GUI: input fundus, block-20 attention heatmap, and anatomical overlay</w:t>
      </w:r>
    </w:p>
    <w:p>
      <w:pPr>
        <w:jc w:val="left"/>
      </w:pPr>
      <w:r>
        <w:rPr>
          <w:rFonts w:ascii="Times New Roman" w:hAnsi="Times New Roman" w:eastAsia="Times New Roman"/>
          <w:b w:val="0"/>
          <w:i w:val="0"/>
          <w:sz w:val="22"/>
        </w:rPr>
        <w:t>Figure 8.1  MuReD confusion matrices for all five diseases across training, validation and test splits</w:t>
      </w:r>
    </w:p>
    <w:p>
      <w:pPr>
        <w:jc w:val="left"/>
      </w:pPr>
      <w:r>
        <w:rPr>
          <w:rFonts w:ascii="Times New Roman" w:hAnsi="Times New Roman" w:eastAsia="Times New Roman"/>
          <w:b w:val="0"/>
          <w:i w:val="0"/>
          <w:sz w:val="22"/>
        </w:rPr>
        <w:t>Figure 8.2  (A) CIMT vs. CVD risk, (B) CIMT vs. BRVO probability, (C) measured vs. predicted CIMT</w:t>
      </w:r>
    </w:p>
    <w:p>
      <w:pPr>
        <w:jc w:val="left"/>
      </w:pPr>
      <w:r>
        <w:rPr>
          <w:rFonts w:ascii="Times New Roman" w:hAnsi="Times New Roman" w:eastAsia="Times New Roman"/>
          <w:b w:val="0"/>
          <w:i w:val="0"/>
          <w:sz w:val="22"/>
        </w:rPr>
        <w:t>Figure 8.3  CIMT confusion matrices for training, validation and test splits</w:t>
      </w:r>
    </w:p>
    <w:p>
      <w:pPr>
        <w:jc w:val="left"/>
      </w:pPr>
      <w:r>
        <w:rPr>
          <w:rFonts w:ascii="Times New Roman" w:hAnsi="Times New Roman" w:eastAsia="Times New Roman"/>
          <w:b w:val="0"/>
          <w:i w:val="0"/>
          <w:sz w:val="22"/>
        </w:rPr>
        <w:t>Figure 8.4  Three-tier test confusion matrices: 89.00% → 92.39% → 95.00%</w:t>
      </w:r>
    </w:p>
    <w:p>
      <w:pPr>
        <w:jc w:val="left"/>
      </w:pPr>
      <w:r>
        <w:rPr>
          <w:rFonts w:ascii="Times New Roman" w:hAnsi="Times New Roman" w:eastAsia="Times New Roman"/>
          <w:b w:val="0"/>
          <w:i w:val="0"/>
          <w:sz w:val="22"/>
        </w:rPr>
        <w:t>Figure 8.5  ROC curves for CIMT splits and the five MuReD diseases</w:t>
      </w:r>
    </w:p>
    <w:p>
      <w:pPr>
        <w:jc w:val="left"/>
      </w:pPr>
      <w:r>
        <w:rPr>
          <w:rFonts w:ascii="Times New Roman" w:hAnsi="Times New Roman" w:eastAsia="Times New Roman"/>
          <w:b w:val="0"/>
          <w:i w:val="0"/>
          <w:sz w:val="22"/>
        </w:rPr>
        <w:t>Figure 8.6  Correlation matrix of CIMT, CVD risk, disease probabilities and demographics (test set)</w:t>
      </w:r>
    </w:p>
    <w:p>
      <w:r>
        <w:br w:type="page"/>
      </w:r>
    </w:p>
    <w:p>
      <w:pPr>
        <w:jc w:val="center"/>
      </w:pPr>
      <w:r>
        <w:rPr>
          <w:rFonts w:ascii="Times New Roman" w:hAnsi="Times New Roman" w:eastAsia="Times New Roman"/>
          <w:b/>
          <w:i w:val="0"/>
          <w:sz w:val="28"/>
        </w:rPr>
        <w:t>LIST OF TABLES</w:t>
      </w:r>
    </w:p>
    <w:p>
      <w:pPr>
        <w:jc w:val="left"/>
      </w:pPr>
      <w:r>
        <w:rPr>
          <w:rFonts w:ascii="Times New Roman" w:hAnsi="Times New Roman" w:eastAsia="Times New Roman"/>
          <w:b w:val="0"/>
          <w:i w:val="0"/>
          <w:sz w:val="22"/>
        </w:rPr>
        <w:t>TABLE 2.1  Consolidated Benchmark of Surveyed Literature vs. This Work</w:t>
      </w:r>
    </w:p>
    <w:p>
      <w:pPr>
        <w:jc w:val="left"/>
      </w:pPr>
      <w:r>
        <w:rPr>
          <w:rFonts w:ascii="Times New Roman" w:hAnsi="Times New Roman" w:eastAsia="Times New Roman"/>
          <w:b w:val="0"/>
          <w:i w:val="0"/>
          <w:sz w:val="22"/>
        </w:rPr>
        <w:t>TABLE 4.1  Datasets Used and Patient-Level Splits</w:t>
      </w:r>
    </w:p>
    <w:p>
      <w:pPr>
        <w:jc w:val="left"/>
      </w:pPr>
      <w:r>
        <w:rPr>
          <w:rFonts w:ascii="Times New Roman" w:hAnsi="Times New Roman" w:eastAsia="Times New Roman"/>
          <w:b w:val="0"/>
          <w:i w:val="0"/>
          <w:sz w:val="22"/>
        </w:rPr>
        <w:t>TABLE 5.1  Software and Hardware Requirements</w:t>
      </w:r>
    </w:p>
    <w:p>
      <w:pPr>
        <w:jc w:val="left"/>
      </w:pPr>
      <w:r>
        <w:rPr>
          <w:rFonts w:ascii="Times New Roman" w:hAnsi="Times New Roman" w:eastAsia="Times New Roman"/>
          <w:b w:val="0"/>
          <w:i w:val="0"/>
          <w:sz w:val="22"/>
        </w:rPr>
        <w:t>TABLE 5.2  Model Configuration</w:t>
      </w:r>
    </w:p>
    <w:p>
      <w:pPr>
        <w:jc w:val="left"/>
      </w:pPr>
      <w:r>
        <w:rPr>
          <w:rFonts w:ascii="Times New Roman" w:hAnsi="Times New Roman" w:eastAsia="Times New Roman"/>
          <w:b w:val="0"/>
          <w:i w:val="0"/>
          <w:sz w:val="22"/>
        </w:rPr>
        <w:t>TABLE 6.1  Four-State Diagnostic Decision Matrix</w:t>
      </w:r>
    </w:p>
    <w:p>
      <w:pPr>
        <w:jc w:val="left"/>
      </w:pPr>
      <w:r>
        <w:rPr>
          <w:rFonts w:ascii="Times New Roman" w:hAnsi="Times New Roman" w:eastAsia="Times New Roman"/>
          <w:b w:val="0"/>
          <w:i w:val="0"/>
          <w:sz w:val="22"/>
        </w:rPr>
        <w:t>TABLE 7.1  MuReD Test Set (N=444): ResNet-50 vs. RETFound Features (identical logistic heads)</w:t>
      </w:r>
    </w:p>
    <w:p>
      <w:pPr>
        <w:jc w:val="left"/>
      </w:pPr>
      <w:r>
        <w:rPr>
          <w:rFonts w:ascii="Times New Roman" w:hAnsi="Times New Roman" w:eastAsia="Times New Roman"/>
          <w:b w:val="0"/>
          <w:i w:val="0"/>
          <w:sz w:val="22"/>
        </w:rPr>
        <w:t>TABLE 8.1  MuReD Five-Disease Test-Set Performance (N = 444)</w:t>
      </w:r>
    </w:p>
    <w:p>
      <w:pPr>
        <w:jc w:val="left"/>
      </w:pPr>
      <w:r>
        <w:rPr>
          <w:rFonts w:ascii="Times New Roman" w:hAnsi="Times New Roman" w:eastAsia="Times New Roman"/>
          <w:b w:val="0"/>
          <w:i w:val="0"/>
          <w:sz w:val="22"/>
        </w:rPr>
        <w:t>TABLE 8.2  Continuous CIMT Estimation</w:t>
      </w:r>
    </w:p>
    <w:p>
      <w:pPr>
        <w:jc w:val="left"/>
      </w:pPr>
      <w:r>
        <w:rPr>
          <w:rFonts w:ascii="Times New Roman" w:hAnsi="Times New Roman" w:eastAsia="Times New Roman"/>
          <w:b w:val="0"/>
          <w:i w:val="0"/>
          <w:sz w:val="22"/>
        </w:rPr>
        <w:t>TABLE 8.3  CVD (CIMT ≥ 0.90 mm) Classification Across Splits and Tiers</w:t>
      </w:r>
    </w:p>
    <w:p>
      <w:pPr>
        <w:jc w:val="left"/>
      </w:pPr>
      <w:r>
        <w:rPr>
          <w:rFonts w:ascii="Times New Roman" w:hAnsi="Times New Roman" w:eastAsia="Times New Roman"/>
          <w:b w:val="0"/>
          <w:i w:val="0"/>
          <w:sz w:val="22"/>
        </w:rPr>
        <w:t>TABLE 8.4  Ablation on the CIMT Test Set (N = 100)</w:t>
      </w:r>
    </w:p>
    <w:p/>
    <w:p>
      <w:r>
        <w:br w:type="page"/>
      </w:r>
    </w:p>
    <w:p>
      <w:pPr>
        <w:spacing w:after="0" w:line="360" w:lineRule="auto"/>
        <w:jc w:val="center"/>
      </w:pPr>
      <w:r>
        <w:rPr>
          <w:rFonts w:ascii="Times New Roman" w:hAnsi="Times New Roman" w:eastAsia="Times New Roman"/>
          <w:b/>
          <w:i w:val="0"/>
          <w:sz w:val="28"/>
        </w:rPr>
        <w:t>CHAPTER 1</w:t>
      </w:r>
    </w:p>
    <w:p>
      <w:pPr>
        <w:spacing w:after="240" w:line="360" w:lineRule="auto"/>
        <w:jc w:val="center"/>
      </w:pPr>
      <w:r>
        <w:rPr>
          <w:rFonts w:ascii="Times New Roman" w:hAnsi="Times New Roman" w:eastAsia="Times New Roman"/>
          <w:b/>
          <w:i w:val="0"/>
          <w:sz w:val="28"/>
        </w:rPr>
        <w:t>INTRODUCTION</w:t>
      </w:r>
    </w:p>
    <w:p>
      <w:pPr>
        <w:spacing w:after="120" w:line="360" w:lineRule="auto"/>
        <w:jc w:val="both"/>
      </w:pPr>
      <w:r>
        <w:rPr>
          <w:rFonts w:ascii="Times New Roman" w:hAnsi="Times New Roman" w:eastAsia="Times New Roman"/>
          <w:b w:val="0"/>
          <w:i w:val="0"/>
          <w:sz w:val="24"/>
        </w:rPr>
        <w:t>Cardiovascular disease (CVD) is the leading cause of death worldwide, and a large share of strokes and myocardial infarctions occur in people who had no prior symptoms. A well-established marker of early (subclinical) atherosclerosis is the Carotid Intima-Media Thickness (CIMT): the combined thickness of the innermost two layers of the carotid artery wall, measured with high-frequency B-mode ultrasound. In this project a CIMT of 0.90 mm or more is treated as atherosclerotic thickening. The retina is the only place in the body where living arterioles and venules can be photographed directly and non-invasively, and because retinal and carotid vessels are exposed to the same systemic risk factors (age, hypertension, diabetes, dyslipidaemia), the retinal vasculature acts as a visible window onto systemic vascular health [1], [21].</w:t>
      </w:r>
    </w:p>
    <w:p>
      <w:pPr>
        <w:spacing w:after="120" w:line="360" w:lineRule="auto"/>
        <w:jc w:val="both"/>
      </w:pPr>
      <w:r>
        <w:rPr>
          <w:rFonts w:ascii="Times New Roman" w:hAnsi="Times New Roman" w:eastAsia="Times New Roman"/>
          <w:b w:val="0"/>
          <w:i w:val="0"/>
          <w:sz w:val="24"/>
        </w:rPr>
        <w:t>This project develops an explainable artificial-intelligence framework that turns a single colour fundus photograph into a combined ophthalmic and cardiovascular screening report: five retinal disease probabilities, an estimated CIMT in millimetres, a cardiovascular-risk status, a retinal age estimate, and a Grad-CAM heatmap that shows where the model looked.</w:t>
      </w:r>
    </w:p>
    <w:p>
      <w:pPr>
        <w:spacing w:after="80" w:line="360" w:lineRule="auto"/>
        <w:jc w:val="left"/>
      </w:pPr>
      <w:r>
        <w:rPr>
          <w:rFonts w:ascii="Times New Roman" w:hAnsi="Times New Roman" w:eastAsia="Times New Roman"/>
          <w:b/>
          <w:i w:val="0"/>
          <w:sz w:val="26"/>
        </w:rPr>
        <w:t>1.1 Problem Statement</w:t>
      </w:r>
    </w:p>
    <w:p>
      <w:pPr>
        <w:spacing w:after="120" w:line="360" w:lineRule="auto"/>
        <w:jc w:val="both"/>
      </w:pPr>
      <w:r>
        <w:rPr>
          <w:rFonts w:ascii="Times New Roman" w:hAnsi="Times New Roman" w:eastAsia="Times New Roman"/>
          <w:b w:val="0"/>
          <w:i w:val="0"/>
          <w:sz w:val="24"/>
        </w:rPr>
        <w:t>Carotid ultrasound requires costly equipment and a trained sonographer, so it is rarely available in primary-care, optometry, or rural settings. Fundus cameras, by contrast, are inexpensive and quick to operate. Existing fundus-AI research has developed along two separate lines: (i) ophthalmic models that detect eye diseases such as diabetic retinopathy or glaucoma, and (ii) cardiovascular models that predict systemic risk. Very few systems combine both in one pipeline, most report only a binary risk label rather than a continuous CIMT value, many are evaluated without strict patient-level splitting, and most behave as black boxes without anatomical explanation. In our own early experiments, a deep multi-layer perceptron (MLP) trained on foundation-model features over-fitted the small CIMT cohort and plateaued at roughly 75% test accuracy.</w:t>
      </w:r>
    </w:p>
    <w:p>
      <w:pPr>
        <w:spacing w:after="120" w:line="360" w:lineRule="auto"/>
        <w:jc w:val="both"/>
      </w:pPr>
      <w:r>
        <w:rPr>
          <w:rFonts w:ascii="Times New Roman" w:hAnsi="Times New Roman" w:eastAsia="Times New Roman"/>
          <w:b w:val="0"/>
          <w:i w:val="0"/>
          <w:sz w:val="24"/>
        </w:rPr>
        <w:t>The problem addressed is therefore: to design, train, and validate a single, explainable fundus-based system that jointly screens for multiple retinal diseases and estimates carotid atherosclerosis (CIMT) with reliable, leakage-free evaluation, and to deliver it through a usable clinical interface.</w:t>
      </w:r>
    </w:p>
    <w:p>
      <w:pPr>
        <w:spacing w:after="80" w:line="360" w:lineRule="auto"/>
        <w:jc w:val="left"/>
      </w:pPr>
      <w:r>
        <w:rPr>
          <w:rFonts w:ascii="Times New Roman" w:hAnsi="Times New Roman" w:eastAsia="Times New Roman"/>
          <w:b/>
          <w:i w:val="0"/>
          <w:sz w:val="26"/>
        </w:rPr>
        <w:t>1.2 Objective</w:t>
      </w:r>
    </w:p>
    <w:p>
      <w:pPr>
        <w:spacing w:line="360" w:lineRule="auto" w:after="60"/>
        <w:ind w:left="432" w:hanging="288"/>
        <w:jc w:val="both"/>
      </w:pPr>
      <w:r>
        <w:rPr>
          <w:rFonts w:ascii="Times New Roman" w:hAnsi="Times New Roman" w:eastAsia="Times New Roman"/>
          <w:b w:val="0"/>
          <w:i w:val="0"/>
          <w:sz w:val="24"/>
        </w:rPr>
        <w:t>•  To review recent literature on fundus-based multi-disease screening, retinal cardiovascular biomarkers, foundation models, explainability, and edge deployment.</w:t>
      </w:r>
    </w:p>
    <w:p>
      <w:pPr>
        <w:spacing w:line="360" w:lineRule="auto" w:after="60"/>
        <w:ind w:left="432" w:hanging="288"/>
        <w:jc w:val="both"/>
      </w:pPr>
      <w:r>
        <w:rPr>
          <w:rFonts w:ascii="Times New Roman" w:hAnsi="Times New Roman" w:eastAsia="Times New Roman"/>
          <w:b w:val="0"/>
          <w:i w:val="0"/>
          <w:sz w:val="24"/>
        </w:rPr>
        <w:t>•  To use the RETFound Vision Transformer (ViT-Large, ~304 M parameters, self-supervised on ~1.6 M retinal images) as a frozen feature extractor for both tasks [22].</w:t>
      </w:r>
    </w:p>
    <w:p>
      <w:pPr>
        <w:spacing w:line="360" w:lineRule="auto" w:after="60"/>
        <w:ind w:left="432" w:hanging="288"/>
        <w:jc w:val="both"/>
      </w:pPr>
      <w:r>
        <w:rPr>
          <w:rFonts w:ascii="Times New Roman" w:hAnsi="Times New Roman" w:eastAsia="Times New Roman"/>
          <w:b w:val="0"/>
          <w:i w:val="0"/>
          <w:sz w:val="24"/>
        </w:rPr>
        <w:t>•  To build a multi-disease branch on the MuReD dataset for Diabetic Retinopathy (DR), Pathological Myopia (MYA), Optic Disc Cupping (ODC), Tessellated Fundus (TSLN), and Branch Retinal Vein Occlusion (BRVO) [29].</w:t>
      </w:r>
    </w:p>
    <w:p>
      <w:pPr>
        <w:spacing w:line="360" w:lineRule="auto" w:after="60"/>
        <w:ind w:left="432" w:hanging="288"/>
        <w:jc w:val="both"/>
      </w:pPr>
      <w:r>
        <w:rPr>
          <w:rFonts w:ascii="Times New Roman" w:hAnsi="Times New Roman" w:eastAsia="Times New Roman"/>
          <w:b w:val="0"/>
          <w:i w:val="0"/>
          <w:sz w:val="24"/>
        </w:rPr>
        <w:t>•  To build a cardiovascular branch on the Fundus–CIMT cohort (2,903 patients) that predicts continuous CIMT (mm), retinal age and sex, and CVD risk via calibrated late fusion [23].</w:t>
      </w:r>
    </w:p>
    <w:p>
      <w:pPr>
        <w:spacing w:line="360" w:lineRule="auto" w:after="60"/>
        <w:ind w:left="432" w:hanging="288"/>
        <w:jc w:val="both"/>
      </w:pPr>
      <w:r>
        <w:rPr>
          <w:rFonts w:ascii="Times New Roman" w:hAnsi="Times New Roman" w:eastAsia="Times New Roman"/>
          <w:b w:val="0"/>
          <w:i w:val="0"/>
          <w:sz w:val="24"/>
        </w:rPr>
        <w:t>•  To evaluate the system with strict patient-level splits, an ablation against a demographics-only baseline, and a three-tier clinical validation (raw, boundary-filtered, and selective triage).</w:t>
      </w:r>
    </w:p>
    <w:p>
      <w:pPr>
        <w:spacing w:line="360" w:lineRule="auto" w:after="60"/>
        <w:ind w:left="432" w:hanging="288"/>
        <w:jc w:val="both"/>
      </w:pPr>
      <w:r>
        <w:rPr>
          <w:rFonts w:ascii="Times New Roman" w:hAnsi="Times New Roman" w:eastAsia="Times New Roman"/>
          <w:b w:val="0"/>
          <w:i w:val="0"/>
          <w:sz w:val="24"/>
        </w:rPr>
        <w:t>•  To provide Layer-20 Grad-CAM explainability, a non-contradictory four-state report engine, and a locally hosted web GUI.</w:t>
      </w:r>
    </w:p>
    <w:p>
      <w:r>
        <w:br w:type="page"/>
      </w:r>
    </w:p>
    <w:p>
      <w:pPr>
        <w:spacing w:after="0" w:line="360" w:lineRule="auto"/>
        <w:jc w:val="center"/>
      </w:pPr>
      <w:r>
        <w:rPr>
          <w:rFonts w:ascii="Times New Roman" w:hAnsi="Times New Roman" w:eastAsia="Times New Roman"/>
          <w:b/>
          <w:i w:val="0"/>
          <w:sz w:val="28"/>
        </w:rPr>
        <w:t>CHAPTER 2</w:t>
      </w:r>
    </w:p>
    <w:p>
      <w:pPr>
        <w:spacing w:after="240" w:line="360" w:lineRule="auto"/>
        <w:jc w:val="center"/>
      </w:pPr>
      <w:r>
        <w:rPr>
          <w:rFonts w:ascii="Times New Roman" w:hAnsi="Times New Roman" w:eastAsia="Times New Roman"/>
          <w:b/>
          <w:i w:val="0"/>
          <w:sz w:val="28"/>
        </w:rPr>
        <w:t>LITERATURE SURVEY</w:t>
      </w:r>
    </w:p>
    <w:p>
      <w:pPr>
        <w:spacing w:after="80" w:line="360" w:lineRule="auto"/>
        <w:jc w:val="left"/>
      </w:pPr>
      <w:r>
        <w:rPr>
          <w:rFonts w:ascii="Times New Roman" w:hAnsi="Times New Roman" w:eastAsia="Times New Roman"/>
          <w:b/>
          <w:i w:val="0"/>
          <w:sz w:val="26"/>
        </w:rPr>
        <w:t>2.1 Related Papers</w:t>
      </w:r>
    </w:p>
    <w:p>
      <w:pPr>
        <w:spacing w:after="120" w:line="360" w:lineRule="auto"/>
        <w:jc w:val="both"/>
      </w:pPr>
      <w:r>
        <w:rPr>
          <w:rFonts w:ascii="Times New Roman" w:hAnsi="Times New Roman" w:eastAsia="Times New Roman"/>
          <w:b w:val="0"/>
          <w:i w:val="0"/>
          <w:sz w:val="24"/>
        </w:rPr>
        <w:t>Twenty-nine recent papers were compiled and grouped by theme. The ten studies most directly relevant to this project are summarised below; the complete benchmark appears in Table 2.1.</w:t>
      </w:r>
    </w:p>
    <w:p>
      <w:pPr>
        <w:spacing w:after="60" w:line="360" w:lineRule="auto"/>
        <w:jc w:val="left"/>
      </w:pPr>
      <w:r>
        <w:rPr>
          <w:rFonts w:ascii="Times New Roman" w:hAnsi="Times New Roman" w:eastAsia="Times New Roman"/>
          <w:b/>
          <w:i w:val="0"/>
          <w:sz w:val="24"/>
        </w:rPr>
        <w:t>2.1.1 High-Resolution Fundus Images for Ophthalmics</w:t>
      </w:r>
    </w:p>
    <w:p>
      <w:pPr>
        <w:spacing w:after="120" w:line="360" w:lineRule="auto"/>
        <w:jc w:val="both"/>
      </w:pPr>
      <w:r>
        <w:rPr>
          <w:rFonts w:ascii="Times New Roman" w:hAnsi="Times New Roman" w:eastAsia="Times New Roman"/>
          <w:b w:val="0"/>
          <w:i w:val="0"/>
          <w:sz w:val="24"/>
        </w:rPr>
        <w:t>Guo et al. [23] released a high-resolution fundus data descriptor for 'ophthalmomics', pairing retinal photographs with carotid ultrasound measurements. Their CNN baseline reported 94.10% validation accuracy (98.51% AUC). This dataset (2,903 patients, 5,806 images) is the CIMT cohort used in our cardiovascular branch. The descriptor also highlights that image resolution and field-of-view consistency strongly affect downstream vascular analysis.</w:t>
      </w:r>
    </w:p>
    <w:p>
      <w:pPr>
        <w:spacing w:after="60" w:line="360" w:lineRule="auto"/>
        <w:jc w:val="left"/>
      </w:pPr>
      <w:r>
        <w:rPr>
          <w:rFonts w:ascii="Times New Roman" w:hAnsi="Times New Roman" w:eastAsia="Times New Roman"/>
          <w:b/>
          <w:i w:val="0"/>
          <w:sz w:val="24"/>
        </w:rPr>
        <w:t>2.1.2 A Foundational Model for Disease Detection – RETFound</w:t>
      </w:r>
    </w:p>
    <w:p>
      <w:pPr>
        <w:spacing w:after="120" w:line="360" w:lineRule="auto"/>
        <w:jc w:val="both"/>
      </w:pPr>
      <w:r>
        <w:rPr>
          <w:rFonts w:ascii="Times New Roman" w:hAnsi="Times New Roman" w:eastAsia="Times New Roman"/>
          <w:b w:val="0"/>
          <w:i w:val="0"/>
          <w:sz w:val="24"/>
        </w:rPr>
        <w:t>Zhou et al. [22] introduced RETFound, a ViT-Large encoder pretrained with masked autoencoding on about 1.6 million unlabelled retinal images. It adapts with very few labels to ocular diseases and to systemic outcomes such as heart failure and myocardial infarction (AUROC ~0.82–0.83 for systemic tasks). Its label efficiency makes it suitable for our relatively small CIMT cohort, and it is the backbone of the proposed system.</w:t>
      </w:r>
    </w:p>
    <w:p>
      <w:pPr>
        <w:spacing w:after="60" w:line="360" w:lineRule="auto"/>
        <w:jc w:val="left"/>
      </w:pPr>
      <w:r>
        <w:rPr>
          <w:rFonts w:ascii="Times New Roman" w:hAnsi="Times New Roman" w:eastAsia="Times New Roman"/>
          <w:b/>
          <w:i w:val="0"/>
          <w:sz w:val="24"/>
        </w:rPr>
        <w:t>2.1.3 Key ResNet-50 Components for DR Grading</w:t>
      </w:r>
    </w:p>
    <w:p>
      <w:pPr>
        <w:spacing w:after="120" w:line="360" w:lineRule="auto"/>
        <w:jc w:val="both"/>
      </w:pPr>
      <w:r>
        <w:rPr>
          <w:rFonts w:ascii="Times New Roman" w:hAnsi="Times New Roman" w:eastAsia="Times New Roman"/>
          <w:b w:val="0"/>
          <w:i w:val="0"/>
          <w:sz w:val="24"/>
        </w:rPr>
        <w:t>Residual networks (ResNet-50) remain the most common CNN baseline for diabetic-retinopathy grading. Their key components are residual skip connections that ease optimisation of deep networks, bottleneck blocks (1×1–3×3–1×1 convolutions), batch normalisation, and global average pooling to a 2,048-dimensional descriptor. Edge-oriented DR studies [3], [10], [27] show that such CNNs reach 92–96% accuracy on large labelled DR sets, but they rely on ImageNet pretraining and local receptive fields, which limits transfer to subtle vascular-calibre cues. We use ResNet-50 as our comparison baseline.</w:t>
      </w:r>
    </w:p>
    <w:p>
      <w:pPr>
        <w:spacing w:after="60" w:line="360" w:lineRule="auto"/>
        <w:jc w:val="left"/>
      </w:pPr>
      <w:r>
        <w:rPr>
          <w:rFonts w:ascii="Times New Roman" w:hAnsi="Times New Roman" w:eastAsia="Times New Roman"/>
          <w:b/>
          <w:i w:val="0"/>
          <w:sz w:val="24"/>
        </w:rPr>
        <w:t>2.1.4 AI Framework for Multi-Pathology Risk Assessment</w:t>
      </w:r>
    </w:p>
    <w:p>
      <w:pPr>
        <w:spacing w:after="120" w:line="360" w:lineRule="auto"/>
        <w:jc w:val="both"/>
      </w:pPr>
      <w:r>
        <w:rPr>
          <w:rFonts w:ascii="Times New Roman" w:hAnsi="Times New Roman" w:eastAsia="Times New Roman"/>
          <w:b w:val="0"/>
          <w:i w:val="0"/>
          <w:sz w:val="24"/>
        </w:rPr>
        <w:t>Vasilev et al. [15] trained a multi-task network on 20,351 fundus images to assess 15 pathologies simultaneously, reporting per-class AUCs of 0.952–0.997. The work shows that co-existing retinal conditions are common and that a shared representation with multiple heads is effective, which motivates our five-head MuReD branch.</w:t>
      </w:r>
    </w:p>
    <w:p>
      <w:pPr>
        <w:spacing w:after="60" w:line="360" w:lineRule="auto"/>
        <w:jc w:val="left"/>
      </w:pPr>
      <w:r>
        <w:rPr>
          <w:rFonts w:ascii="Times New Roman" w:hAnsi="Times New Roman" w:eastAsia="Times New Roman"/>
          <w:b/>
          <w:i w:val="0"/>
          <w:sz w:val="24"/>
        </w:rPr>
        <w:t>2.1.5 Multimodal Deep Learning of Fundus Abnormalities for CVD</w:t>
      </w:r>
    </w:p>
    <w:p>
      <w:pPr>
        <w:spacing w:after="120" w:line="360" w:lineRule="auto"/>
        <w:jc w:val="both"/>
      </w:pPr>
      <w:r>
        <w:rPr>
          <w:rFonts w:ascii="Times New Roman" w:hAnsi="Times New Roman" w:eastAsia="Times New Roman"/>
          <w:b w:val="0"/>
          <w:i w:val="0"/>
          <w:sz w:val="24"/>
        </w:rPr>
        <w:t>Tseng et al. [7] validated the deep-learning retinal biomarker Reti-CVD on 48,260 UK Biobank participants, showing it stratifies 11-year CVD risk. Li et al. [28] reviewed fundus-based CVD/stroke prediction and noted inconsistent reporting of participants, events and splits across studies. Together they confirm the retina carries cardiovascular signal while highlighting the need for rigorous, patient-level evaluation, which we adopt.</w:t>
      </w:r>
    </w:p>
    <w:p>
      <w:pPr>
        <w:spacing w:after="60" w:line="360" w:lineRule="auto"/>
        <w:jc w:val="left"/>
      </w:pPr>
      <w:r>
        <w:rPr>
          <w:rFonts w:ascii="Times New Roman" w:hAnsi="Times New Roman" w:eastAsia="Times New Roman"/>
          <w:b/>
          <w:i w:val="0"/>
          <w:sz w:val="24"/>
        </w:rPr>
        <w:t>2.1.6 A Siamese ResNeXt Network for Predicting CIMT Thickness</w:t>
      </w:r>
    </w:p>
    <w:p>
      <w:pPr>
        <w:spacing w:after="120" w:line="360" w:lineRule="auto"/>
        <w:jc w:val="both"/>
      </w:pPr>
      <w:r>
        <w:rPr>
          <w:rFonts w:ascii="Times New Roman" w:hAnsi="Times New Roman" w:eastAsia="Times New Roman"/>
          <w:b w:val="0"/>
          <w:i w:val="0"/>
          <w:sz w:val="24"/>
        </w:rPr>
        <w:t>The benchmark associated with the Fundus–CIMT cohort [23] uses a Siamese (twin-branch) ResNeXt that processes the left and right fundus images of a patient with shared weights and fuses them to classify CIMT ≥ 0.90 mm. Its reference code excludes samples recorded at exactly 0.90 mm, acknowledging measurement ambiguity at the threshold. We reproduce this boundary analysis as our Tier-2 evaluation, while replacing the CNN with a foundation-model encoder and adding continuous CIMT regression.</w:t>
      </w:r>
    </w:p>
    <w:p>
      <w:pPr>
        <w:spacing w:after="60" w:line="360" w:lineRule="auto"/>
        <w:jc w:val="left"/>
      </w:pPr>
      <w:r>
        <w:rPr>
          <w:rFonts w:ascii="Times New Roman" w:hAnsi="Times New Roman" w:eastAsia="Times New Roman"/>
          <w:b/>
          <w:i w:val="0"/>
          <w:sz w:val="24"/>
        </w:rPr>
        <w:t>2.1.7 Explainable Foundation Model for Carotid Atherosclerosis</w:t>
      </w:r>
    </w:p>
    <w:p>
      <w:pPr>
        <w:spacing w:after="120" w:line="360" w:lineRule="auto"/>
        <w:jc w:val="both"/>
      </w:pPr>
      <w:r>
        <w:rPr>
          <w:rFonts w:ascii="Times New Roman" w:hAnsi="Times New Roman" w:eastAsia="Times New Roman"/>
          <w:b w:val="0"/>
          <w:i w:val="0"/>
          <w:sz w:val="24"/>
        </w:rPr>
        <w:t>Lee et al. [12] applied an explainable RETFound-based model to 39,620 subjects to predict carotid atherosclerosis and used Grad-CAM to visualise vascular attention. This is the closest prior work to ours; our system additionally integrates five retinal-disease heads, continuous CIMT and a clinical GUI.</w:t>
      </w:r>
    </w:p>
    <w:p>
      <w:pPr>
        <w:spacing w:after="60" w:line="360" w:lineRule="auto"/>
        <w:jc w:val="left"/>
      </w:pPr>
      <w:r>
        <w:rPr>
          <w:rFonts w:ascii="Times New Roman" w:hAnsi="Times New Roman" w:eastAsia="Times New Roman"/>
          <w:b/>
          <w:i w:val="0"/>
          <w:sz w:val="24"/>
        </w:rPr>
        <w:t>2.1.8 Multi-Label Retinal Disease Classification Using Transformers (MuReD)</w:t>
      </w:r>
    </w:p>
    <w:p>
      <w:pPr>
        <w:spacing w:after="120" w:line="360" w:lineRule="auto"/>
        <w:jc w:val="both"/>
      </w:pPr>
      <w:r>
        <w:rPr>
          <w:rFonts w:ascii="Times New Roman" w:hAnsi="Times New Roman" w:eastAsia="Times New Roman"/>
          <w:b w:val="0"/>
          <w:i w:val="0"/>
          <w:sz w:val="24"/>
        </w:rPr>
        <w:t>Rodriguez et al. [29] constructed MuReD (2,208 images, 20 labels) by aggregating ARIA, STARE and RFMiD, and showed a transformer baseline outperforming prior state of the art by about 8% AUC. We use five MuReD labels for our ocular branch.</w:t>
      </w:r>
    </w:p>
    <w:p>
      <w:pPr>
        <w:spacing w:after="60" w:line="360" w:lineRule="auto"/>
        <w:jc w:val="left"/>
      </w:pPr>
      <w:r>
        <w:rPr>
          <w:rFonts w:ascii="Times New Roman" w:hAnsi="Times New Roman" w:eastAsia="Times New Roman"/>
          <w:b/>
          <w:i w:val="0"/>
          <w:sz w:val="24"/>
        </w:rPr>
        <w:t>2.1.9 Glaucoma Detection Beyond the Optic Disc</w:t>
      </w:r>
    </w:p>
    <w:p>
      <w:pPr>
        <w:spacing w:after="120" w:line="360" w:lineRule="auto"/>
        <w:jc w:val="both"/>
      </w:pPr>
      <w:r>
        <w:rPr>
          <w:rFonts w:ascii="Times New Roman" w:hAnsi="Times New Roman" w:eastAsia="Times New Roman"/>
          <w:b w:val="0"/>
          <w:i w:val="0"/>
          <w:sz w:val="24"/>
        </w:rPr>
        <w:t>Hemelings et al. [24] showed that CNNs still detect glaucoma (AUC 0.88) when the optic disc is cropped out, demonstrating that disease signal is distributed across the retina. This supports using a global-attention transformer and whole-image Grad-CAM rather than disc-only analysis.</w:t>
      </w:r>
    </w:p>
    <w:p>
      <w:pPr>
        <w:spacing w:after="60" w:line="360" w:lineRule="auto"/>
        <w:jc w:val="left"/>
      </w:pPr>
      <w:r>
        <w:rPr>
          <w:rFonts w:ascii="Times New Roman" w:hAnsi="Times New Roman" w:eastAsia="Times New Roman"/>
          <w:b/>
          <w:i w:val="0"/>
          <w:sz w:val="24"/>
        </w:rPr>
        <w:t>2.1.10 Edge Deployment of Retinal AI</w:t>
      </w:r>
    </w:p>
    <w:p>
      <w:pPr>
        <w:spacing w:after="120" w:line="360" w:lineRule="auto"/>
        <w:jc w:val="both"/>
      </w:pPr>
      <w:r>
        <w:rPr>
          <w:rFonts w:ascii="Times New Roman" w:hAnsi="Times New Roman" w:eastAsia="Times New Roman"/>
          <w:b w:val="0"/>
          <w:i w:val="0"/>
          <w:sz w:val="24"/>
        </w:rPr>
        <w:t>Asare et al. [10] and Thaware et al. [26] benchmarked MobileNet/EfficientNet-class models on edge hardware (e.g., 96.45% DR accuracy with MobileNet). These works inform our edge-deployment strategy (Section 5.7), though large ViT backbones require compression before such deployment.</w:t>
      </w:r>
    </w:p>
    <w:p>
      <w:pPr>
        <w:spacing w:after="80" w:line="360" w:lineRule="auto"/>
        <w:jc w:val="left"/>
      </w:pPr>
      <w:r>
        <w:rPr>
          <w:rFonts w:ascii="Times New Roman" w:hAnsi="Times New Roman" w:eastAsia="Times New Roman"/>
          <w:b/>
          <w:i w:val="0"/>
          <w:sz w:val="26"/>
        </w:rPr>
        <w:t>2.2 Comparative Analysis of Research Work</w:t>
      </w:r>
    </w:p>
    <w:p>
      <w:pPr>
        <w:spacing w:after="200" w:line="360" w:lineRule="auto"/>
        <w:jc w:val="center"/>
      </w:pPr>
      <w:r>
        <w:rPr>
          <w:rFonts w:ascii="Times New Roman" w:hAnsi="Times New Roman" w:eastAsia="Times New Roman"/>
          <w:b/>
          <w:i w:val="0"/>
          <w:sz w:val="20"/>
        </w:rPr>
        <w:t>TABLE 2.1  Consolidated Benchmark of Surveyed Literature vs. This Work</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61"/>
        <w:gridCol w:w="1661"/>
        <w:gridCol w:w="1661"/>
        <w:gridCol w:w="1661"/>
        <w:gridCol w:w="1661"/>
      </w:tblGrid>
      <w:tr>
        <w:tc>
          <w:tcPr>
            <w:tcW w:type="dxa" w:w="1661"/>
            <w:shd w:val="clear" w:fill="D9E2F3"/>
          </w:tcPr>
          <w:p>
            <w:pPr>
              <w:jc w:val="center"/>
            </w:pPr>
            <w:r/>
            <w:r>
              <w:rPr>
                <w:rFonts w:ascii="Times New Roman" w:hAnsi="Times New Roman" w:eastAsia="Times New Roman"/>
                <w:b/>
                <w:i w:val="0"/>
                <w:sz w:val="17"/>
              </w:rPr>
              <w:t>Ref.</w:t>
            </w:r>
          </w:p>
        </w:tc>
        <w:tc>
          <w:tcPr>
            <w:tcW w:type="dxa" w:w="1661"/>
            <w:shd w:val="clear" w:fill="D9E2F3"/>
          </w:tcPr>
          <w:p>
            <w:pPr>
              <w:jc w:val="center"/>
            </w:pPr>
            <w:r/>
            <w:r>
              <w:rPr>
                <w:rFonts w:ascii="Times New Roman" w:hAnsi="Times New Roman" w:eastAsia="Times New Roman"/>
                <w:b/>
                <w:i w:val="0"/>
                <w:sz w:val="17"/>
              </w:rPr>
              <w:t>Study focus</w:t>
            </w:r>
          </w:p>
        </w:tc>
        <w:tc>
          <w:tcPr>
            <w:tcW w:type="dxa" w:w="1661"/>
            <w:shd w:val="clear" w:fill="D9E2F3"/>
          </w:tcPr>
          <w:p>
            <w:pPr>
              <w:jc w:val="center"/>
            </w:pPr>
            <w:r/>
            <w:r>
              <w:rPr>
                <w:rFonts w:ascii="Times New Roman" w:hAnsi="Times New Roman" w:eastAsia="Times New Roman"/>
                <w:b/>
                <w:i w:val="0"/>
                <w:sz w:val="17"/>
              </w:rPr>
              <w:t>Model / method</w:t>
            </w:r>
          </w:p>
        </w:tc>
        <w:tc>
          <w:tcPr>
            <w:tcW w:type="dxa" w:w="1661"/>
            <w:shd w:val="clear" w:fill="D9E2F3"/>
          </w:tcPr>
          <w:p>
            <w:pPr>
              <w:jc w:val="center"/>
            </w:pPr>
            <w:r/>
            <w:r>
              <w:rPr>
                <w:rFonts w:ascii="Times New Roman" w:hAnsi="Times New Roman" w:eastAsia="Times New Roman"/>
                <w:b/>
                <w:i w:val="0"/>
                <w:sz w:val="17"/>
              </w:rPr>
              <w:t>Dataset</w:t>
            </w:r>
          </w:p>
        </w:tc>
        <w:tc>
          <w:tcPr>
            <w:tcW w:type="dxa" w:w="1661"/>
            <w:shd w:val="clear" w:fill="D9E2F3"/>
          </w:tcPr>
          <w:p>
            <w:pPr>
              <w:jc w:val="center"/>
            </w:pPr>
            <w:r/>
            <w:r>
              <w:rPr>
                <w:rFonts w:ascii="Times New Roman" w:hAnsi="Times New Roman" w:eastAsia="Times New Roman"/>
                <w:b/>
                <w:i w:val="0"/>
                <w:sz w:val="17"/>
              </w:rPr>
              <w:t>Key reported metric</w:t>
            </w:r>
          </w:p>
        </w:tc>
      </w:tr>
      <w:tr>
        <w:tc>
          <w:tcPr>
            <w:tcW w:type="dxa" w:w="1661"/>
          </w:tcPr>
          <w:p>
            <w:pPr>
              <w:jc w:val="left"/>
            </w:pPr>
            <w:r/>
            <w:r>
              <w:rPr>
                <w:rFonts w:ascii="Times New Roman" w:hAnsi="Times New Roman" w:eastAsia="Times New Roman"/>
                <w:b/>
                <w:i w:val="0"/>
                <w:sz w:val="17"/>
              </w:rPr>
              <w:t>[1]</w:t>
            </w:r>
          </w:p>
        </w:tc>
        <w:tc>
          <w:tcPr>
            <w:tcW w:type="dxa" w:w="1661"/>
          </w:tcPr>
          <w:p>
            <w:pPr>
              <w:jc w:val="center"/>
            </w:pPr>
            <w:r/>
            <w:r>
              <w:rPr>
                <w:rFonts w:ascii="Times New Roman" w:hAnsi="Times New Roman" w:eastAsia="Times New Roman"/>
                <w:b w:val="0"/>
                <w:i w:val="0"/>
                <w:sz w:val="17"/>
              </w:rPr>
              <w:t>Retinal vessel diameters &amp; CV risk (review)</w:t>
            </w:r>
          </w:p>
        </w:tc>
        <w:tc>
          <w:tcPr>
            <w:tcW w:type="dxa" w:w="1661"/>
          </w:tcPr>
          <w:p>
            <w:pPr>
              <w:jc w:val="center"/>
            </w:pPr>
            <w:r/>
            <w:r>
              <w:rPr>
                <w:rFonts w:ascii="Times New Roman" w:hAnsi="Times New Roman" w:eastAsia="Times New Roman"/>
                <w:b w:val="0"/>
                <w:i w:val="0"/>
                <w:sz w:val="17"/>
              </w:rPr>
              <w:t>Dynamic/static retinal vessel analysis</w:t>
            </w:r>
          </w:p>
        </w:tc>
        <w:tc>
          <w:tcPr>
            <w:tcW w:type="dxa" w:w="1661"/>
          </w:tcPr>
          <w:p>
            <w:pPr>
              <w:jc w:val="center"/>
            </w:pPr>
            <w:r/>
            <w:r>
              <w:rPr>
                <w:rFonts w:ascii="Times New Roman" w:hAnsi="Times New Roman" w:eastAsia="Times New Roman"/>
                <w:b w:val="0"/>
                <w:i w:val="0"/>
                <w:sz w:val="17"/>
              </w:rPr>
              <w:t>Multiple cohorts, review</w:t>
            </w:r>
          </w:p>
        </w:tc>
        <w:tc>
          <w:tcPr>
            <w:tcW w:type="dxa" w:w="1661"/>
          </w:tcPr>
          <w:p>
            <w:pPr>
              <w:jc w:val="center"/>
            </w:pPr>
            <w:r/>
            <w:r>
              <w:rPr>
                <w:rFonts w:ascii="Times New Roman" w:hAnsi="Times New Roman" w:eastAsia="Times New Roman"/>
                <w:b w:val="0"/>
                <w:i w:val="0"/>
                <w:sz w:val="17"/>
              </w:rPr>
              <w:t>Vessel calibre linked to CVD risk over 2 decades</w:t>
            </w:r>
          </w:p>
        </w:tc>
      </w:tr>
      <w:tr>
        <w:tc>
          <w:tcPr>
            <w:tcW w:type="dxa" w:w="1661"/>
          </w:tcPr>
          <w:p>
            <w:pPr>
              <w:jc w:val="left"/>
            </w:pPr>
            <w:r/>
            <w:r>
              <w:rPr>
                <w:rFonts w:ascii="Times New Roman" w:hAnsi="Times New Roman" w:eastAsia="Times New Roman"/>
                <w:b/>
                <w:i w:val="0"/>
                <w:sz w:val="17"/>
              </w:rPr>
              <w:t>[2]</w:t>
            </w:r>
          </w:p>
        </w:tc>
        <w:tc>
          <w:tcPr>
            <w:tcW w:type="dxa" w:w="1661"/>
          </w:tcPr>
          <w:p>
            <w:pPr>
              <w:jc w:val="center"/>
            </w:pPr>
            <w:r/>
            <w:r>
              <w:rPr>
                <w:rFonts w:ascii="Times New Roman" w:hAnsi="Times New Roman" w:eastAsia="Times New Roman"/>
                <w:b w:val="0"/>
                <w:i w:val="0"/>
                <w:sz w:val="17"/>
              </w:rPr>
              <w:t>Fundus multi-class classification</w:t>
            </w:r>
          </w:p>
        </w:tc>
        <w:tc>
          <w:tcPr>
            <w:tcW w:type="dxa" w:w="1661"/>
          </w:tcPr>
          <w:p>
            <w:pPr>
              <w:jc w:val="center"/>
            </w:pPr>
            <w:r/>
            <w:r>
              <w:rPr>
                <w:rFonts w:ascii="Times New Roman" w:hAnsi="Times New Roman" w:eastAsia="Times New Roman"/>
                <w:b w:val="0"/>
                <w:i w:val="0"/>
                <w:sz w:val="17"/>
              </w:rPr>
              <w:t>CNN-Trans dual-branch network</w:t>
            </w:r>
          </w:p>
        </w:tc>
        <w:tc>
          <w:tcPr>
            <w:tcW w:type="dxa" w:w="1661"/>
          </w:tcPr>
          <w:p>
            <w:pPr>
              <w:jc w:val="center"/>
            </w:pPr>
            <w:r/>
            <w:r>
              <w:rPr>
                <w:rFonts w:ascii="Times New Roman" w:hAnsi="Times New Roman" w:eastAsia="Times New Roman"/>
                <w:b w:val="0"/>
                <w:i w:val="0"/>
                <w:sz w:val="17"/>
              </w:rPr>
              <w:t>Multi-hospital fundus set</w:t>
            </w:r>
          </w:p>
        </w:tc>
        <w:tc>
          <w:tcPr>
            <w:tcW w:type="dxa" w:w="1661"/>
          </w:tcPr>
          <w:p>
            <w:pPr>
              <w:jc w:val="center"/>
            </w:pPr>
            <w:r/>
            <w:r>
              <w:rPr>
                <w:rFonts w:ascii="Times New Roman" w:hAnsi="Times New Roman" w:eastAsia="Times New Roman"/>
                <w:b w:val="0"/>
                <w:i w:val="0"/>
                <w:sz w:val="17"/>
              </w:rPr>
              <w:t>80.68% accuracy</w:t>
            </w:r>
          </w:p>
        </w:tc>
      </w:tr>
      <w:tr>
        <w:tc>
          <w:tcPr>
            <w:tcW w:type="dxa" w:w="1661"/>
          </w:tcPr>
          <w:p>
            <w:pPr>
              <w:jc w:val="left"/>
            </w:pPr>
            <w:r/>
            <w:r>
              <w:rPr>
                <w:rFonts w:ascii="Times New Roman" w:hAnsi="Times New Roman" w:eastAsia="Times New Roman"/>
                <w:b/>
                <w:i w:val="0"/>
                <w:sz w:val="17"/>
              </w:rPr>
              <w:t>[3]</w:t>
            </w:r>
          </w:p>
        </w:tc>
        <w:tc>
          <w:tcPr>
            <w:tcW w:type="dxa" w:w="1661"/>
          </w:tcPr>
          <w:p>
            <w:pPr>
              <w:jc w:val="center"/>
            </w:pPr>
            <w:r/>
            <w:r>
              <w:rPr>
                <w:rFonts w:ascii="Times New Roman" w:hAnsi="Times New Roman" w:eastAsia="Times New Roman"/>
                <w:b w:val="0"/>
                <w:i w:val="0"/>
                <w:sz w:val="17"/>
              </w:rPr>
              <w:t>Edge-deployed DR detection</w:t>
            </w:r>
          </w:p>
        </w:tc>
        <w:tc>
          <w:tcPr>
            <w:tcW w:type="dxa" w:w="1661"/>
          </w:tcPr>
          <w:p>
            <w:pPr>
              <w:jc w:val="center"/>
            </w:pPr>
            <w:r/>
            <w:r>
              <w:rPr>
                <w:rFonts w:ascii="Times New Roman" w:hAnsi="Times New Roman" w:eastAsia="Times New Roman"/>
                <w:b w:val="0"/>
                <w:i w:val="0"/>
                <w:sz w:val="17"/>
              </w:rPr>
              <w:t>DR-TransNet (transformer-CNN)</w:t>
            </w:r>
          </w:p>
        </w:tc>
        <w:tc>
          <w:tcPr>
            <w:tcW w:type="dxa" w:w="1661"/>
          </w:tcPr>
          <w:p>
            <w:pPr>
              <w:jc w:val="center"/>
            </w:pPr>
            <w:r/>
            <w:r>
              <w:rPr>
                <w:rFonts w:ascii="Times New Roman" w:hAnsi="Times New Roman" w:eastAsia="Times New Roman"/>
                <w:b w:val="0"/>
                <w:i w:val="0"/>
                <w:sz w:val="17"/>
              </w:rPr>
              <w:t>IoT edge / mobile DR sets</w:t>
            </w:r>
          </w:p>
        </w:tc>
        <w:tc>
          <w:tcPr>
            <w:tcW w:type="dxa" w:w="1661"/>
          </w:tcPr>
          <w:p>
            <w:pPr>
              <w:jc w:val="center"/>
            </w:pPr>
            <w:r/>
            <w:r>
              <w:rPr>
                <w:rFonts w:ascii="Times New Roman" w:hAnsi="Times New Roman" w:eastAsia="Times New Roman"/>
                <w:b w:val="0"/>
                <w:i w:val="0"/>
                <w:sz w:val="17"/>
              </w:rPr>
              <w:t>94.2% acc., 0.97 AUC-ROC</w:t>
            </w:r>
          </w:p>
        </w:tc>
      </w:tr>
      <w:tr>
        <w:tc>
          <w:tcPr>
            <w:tcW w:type="dxa" w:w="1661"/>
          </w:tcPr>
          <w:p>
            <w:pPr>
              <w:jc w:val="left"/>
            </w:pPr>
            <w:r/>
            <w:r>
              <w:rPr>
                <w:rFonts w:ascii="Times New Roman" w:hAnsi="Times New Roman" w:eastAsia="Times New Roman"/>
                <w:b/>
                <w:i w:val="0"/>
                <w:sz w:val="17"/>
              </w:rPr>
              <w:t>[4]</w:t>
            </w:r>
          </w:p>
        </w:tc>
        <w:tc>
          <w:tcPr>
            <w:tcW w:type="dxa" w:w="1661"/>
          </w:tcPr>
          <w:p>
            <w:pPr>
              <w:jc w:val="center"/>
            </w:pPr>
            <w:r/>
            <w:r>
              <w:rPr>
                <w:rFonts w:ascii="Times New Roman" w:hAnsi="Times New Roman" w:eastAsia="Times New Roman"/>
                <w:b w:val="0"/>
                <w:i w:val="0"/>
                <w:sz w:val="17"/>
              </w:rPr>
              <w:t>Glaucoma triage</w:t>
            </w:r>
          </w:p>
        </w:tc>
        <w:tc>
          <w:tcPr>
            <w:tcW w:type="dxa" w:w="1661"/>
          </w:tcPr>
          <w:p>
            <w:pPr>
              <w:jc w:val="center"/>
            </w:pPr>
            <w:r/>
            <w:r>
              <w:rPr>
                <w:rFonts w:ascii="Times New Roman" w:hAnsi="Times New Roman" w:eastAsia="Times New Roman"/>
                <w:b w:val="0"/>
                <w:i w:val="0"/>
                <w:sz w:val="17"/>
              </w:rPr>
              <w:t>DNN + classical ML fusion</w:t>
            </w:r>
          </w:p>
        </w:tc>
        <w:tc>
          <w:tcPr>
            <w:tcW w:type="dxa" w:w="1661"/>
          </w:tcPr>
          <w:p>
            <w:pPr>
              <w:jc w:val="center"/>
            </w:pPr>
            <w:r/>
            <w:r>
              <w:rPr>
                <w:rFonts w:ascii="Times New Roman" w:hAnsi="Times New Roman" w:eastAsia="Times New Roman"/>
                <w:b w:val="0"/>
                <w:i w:val="0"/>
                <w:sz w:val="17"/>
              </w:rPr>
              <w:t>Public glaucoma sets</w:t>
            </w:r>
          </w:p>
        </w:tc>
        <w:tc>
          <w:tcPr>
            <w:tcW w:type="dxa" w:w="1661"/>
          </w:tcPr>
          <w:p>
            <w:pPr>
              <w:jc w:val="center"/>
            </w:pPr>
            <w:r/>
            <w:r>
              <w:rPr>
                <w:rFonts w:ascii="Times New Roman" w:hAnsi="Times New Roman" w:eastAsia="Times New Roman"/>
                <w:b w:val="0"/>
                <w:i w:val="0"/>
                <w:sz w:val="17"/>
              </w:rPr>
              <w:t>83.5–98.3% acc. (best config)</w:t>
            </w:r>
          </w:p>
        </w:tc>
      </w:tr>
      <w:tr>
        <w:tc>
          <w:tcPr>
            <w:tcW w:type="dxa" w:w="1661"/>
          </w:tcPr>
          <w:p>
            <w:pPr>
              <w:jc w:val="left"/>
            </w:pPr>
            <w:r/>
            <w:r>
              <w:rPr>
                <w:rFonts w:ascii="Times New Roman" w:hAnsi="Times New Roman" w:eastAsia="Times New Roman"/>
                <w:b/>
                <w:i w:val="0"/>
                <w:sz w:val="17"/>
              </w:rPr>
              <w:t>[5]</w:t>
            </w:r>
          </w:p>
        </w:tc>
        <w:tc>
          <w:tcPr>
            <w:tcW w:type="dxa" w:w="1661"/>
          </w:tcPr>
          <w:p>
            <w:pPr>
              <w:jc w:val="center"/>
            </w:pPr>
            <w:r/>
            <w:r>
              <w:rPr>
                <w:rFonts w:ascii="Times New Roman" w:hAnsi="Times New Roman" w:eastAsia="Times New Roman"/>
                <w:b w:val="0"/>
                <w:i w:val="0"/>
                <w:sz w:val="17"/>
              </w:rPr>
              <w:t>Embedded multi-label diagnosis</w:t>
            </w:r>
          </w:p>
        </w:tc>
        <w:tc>
          <w:tcPr>
            <w:tcW w:type="dxa" w:w="1661"/>
          </w:tcPr>
          <w:p>
            <w:pPr>
              <w:jc w:val="center"/>
            </w:pPr>
            <w:r/>
            <w:r>
              <w:rPr>
                <w:rFonts w:ascii="Times New Roman" w:hAnsi="Times New Roman" w:eastAsia="Times New Roman"/>
                <w:b w:val="0"/>
                <w:i w:val="0"/>
                <w:sz w:val="17"/>
              </w:rPr>
              <w:t>Custom CNN on low-cost board</w:t>
            </w:r>
          </w:p>
        </w:tc>
        <w:tc>
          <w:tcPr>
            <w:tcW w:type="dxa" w:w="1661"/>
          </w:tcPr>
          <w:p>
            <w:pPr>
              <w:jc w:val="center"/>
            </w:pPr>
            <w:r/>
            <w:r>
              <w:rPr>
                <w:rFonts w:ascii="Times New Roman" w:hAnsi="Times New Roman" w:eastAsia="Times New Roman"/>
                <w:b w:val="0"/>
                <w:i w:val="0"/>
                <w:sz w:val="17"/>
              </w:rPr>
              <w:t>Multi-device fundus set</w:t>
            </w:r>
          </w:p>
        </w:tc>
        <w:tc>
          <w:tcPr>
            <w:tcW w:type="dxa" w:w="1661"/>
          </w:tcPr>
          <w:p>
            <w:pPr>
              <w:jc w:val="center"/>
            </w:pPr>
            <w:r/>
            <w:r>
              <w:rPr>
                <w:rFonts w:ascii="Times New Roman" w:hAnsi="Times New Roman" w:eastAsia="Times New Roman"/>
                <w:b w:val="0"/>
                <w:i w:val="0"/>
                <w:sz w:val="17"/>
              </w:rPr>
              <w:t>98.06% acc. (4 classes)</w:t>
            </w:r>
          </w:p>
        </w:tc>
      </w:tr>
      <w:tr>
        <w:tc>
          <w:tcPr>
            <w:tcW w:type="dxa" w:w="1661"/>
          </w:tcPr>
          <w:p>
            <w:pPr>
              <w:jc w:val="left"/>
            </w:pPr>
            <w:r/>
            <w:r>
              <w:rPr>
                <w:rFonts w:ascii="Times New Roman" w:hAnsi="Times New Roman" w:eastAsia="Times New Roman"/>
                <w:b/>
                <w:i w:val="0"/>
                <w:sz w:val="17"/>
              </w:rPr>
              <w:t>[6]</w:t>
            </w:r>
          </w:p>
        </w:tc>
        <w:tc>
          <w:tcPr>
            <w:tcW w:type="dxa" w:w="1661"/>
          </w:tcPr>
          <w:p>
            <w:pPr>
              <w:jc w:val="center"/>
            </w:pPr>
            <w:r/>
            <w:r>
              <w:rPr>
                <w:rFonts w:ascii="Times New Roman" w:hAnsi="Times New Roman" w:eastAsia="Times New Roman"/>
                <w:b w:val="0"/>
                <w:i w:val="0"/>
                <w:sz w:val="17"/>
              </w:rPr>
              <w:t>Coronary calcification (cross-domain)</w:t>
            </w:r>
          </w:p>
        </w:tc>
        <w:tc>
          <w:tcPr>
            <w:tcW w:type="dxa" w:w="1661"/>
          </w:tcPr>
          <w:p>
            <w:pPr>
              <w:jc w:val="center"/>
            </w:pPr>
            <w:r/>
            <w:r>
              <w:rPr>
                <w:rFonts w:ascii="Times New Roman" w:hAnsi="Times New Roman" w:eastAsia="Times New Roman"/>
                <w:b w:val="0"/>
                <w:i w:val="0"/>
                <w:sz w:val="17"/>
              </w:rPr>
              <w:t>Multi-model DL workflow</w:t>
            </w:r>
          </w:p>
        </w:tc>
        <w:tc>
          <w:tcPr>
            <w:tcW w:type="dxa" w:w="1661"/>
          </w:tcPr>
          <w:p>
            <w:pPr>
              <w:jc w:val="center"/>
            </w:pPr>
            <w:r/>
            <w:r>
              <w:rPr>
                <w:rFonts w:ascii="Times New Roman" w:hAnsi="Times New Roman" w:eastAsia="Times New Roman"/>
                <w:b w:val="0"/>
                <w:i w:val="0"/>
                <w:sz w:val="17"/>
              </w:rPr>
              <w:t>2D coronary angiography</w:t>
            </w:r>
          </w:p>
        </w:tc>
        <w:tc>
          <w:tcPr>
            <w:tcW w:type="dxa" w:w="1661"/>
          </w:tcPr>
          <w:p>
            <w:pPr>
              <w:jc w:val="center"/>
            </w:pPr>
            <w:r/>
            <w:r>
              <w:rPr>
                <w:rFonts w:ascii="Times New Roman" w:hAnsi="Times New Roman" w:eastAsia="Times New Roman"/>
                <w:b w:val="0"/>
                <w:i w:val="0"/>
                <w:sz w:val="17"/>
              </w:rPr>
              <w:t>F1 = 0.87 (IQR 0.77–0.94)</w:t>
            </w:r>
          </w:p>
        </w:tc>
      </w:tr>
      <w:tr>
        <w:tc>
          <w:tcPr>
            <w:tcW w:type="dxa" w:w="1661"/>
          </w:tcPr>
          <w:p>
            <w:pPr>
              <w:jc w:val="left"/>
            </w:pPr>
            <w:r/>
            <w:r>
              <w:rPr>
                <w:rFonts w:ascii="Times New Roman" w:hAnsi="Times New Roman" w:eastAsia="Times New Roman"/>
                <w:b/>
                <w:i w:val="0"/>
                <w:sz w:val="17"/>
              </w:rPr>
              <w:t>[7]</w:t>
            </w:r>
          </w:p>
        </w:tc>
        <w:tc>
          <w:tcPr>
            <w:tcW w:type="dxa" w:w="1661"/>
          </w:tcPr>
          <w:p>
            <w:pPr>
              <w:jc w:val="center"/>
            </w:pPr>
            <w:r/>
            <w:r>
              <w:rPr>
                <w:rFonts w:ascii="Times New Roman" w:hAnsi="Times New Roman" w:eastAsia="Times New Roman"/>
                <w:b w:val="0"/>
                <w:i w:val="0"/>
                <w:sz w:val="17"/>
              </w:rPr>
              <w:t>Reti-CVD biomarker validation</w:t>
            </w:r>
          </w:p>
        </w:tc>
        <w:tc>
          <w:tcPr>
            <w:tcW w:type="dxa" w:w="1661"/>
          </w:tcPr>
          <w:p>
            <w:pPr>
              <w:jc w:val="center"/>
            </w:pPr>
            <w:r/>
            <w:r>
              <w:rPr>
                <w:rFonts w:ascii="Times New Roman" w:hAnsi="Times New Roman" w:eastAsia="Times New Roman"/>
                <w:b w:val="0"/>
                <w:i w:val="0"/>
                <w:sz w:val="17"/>
              </w:rPr>
              <w:t>Deep-learning CVD biomarker</w:t>
            </w:r>
          </w:p>
        </w:tc>
        <w:tc>
          <w:tcPr>
            <w:tcW w:type="dxa" w:w="1661"/>
          </w:tcPr>
          <w:p>
            <w:pPr>
              <w:jc w:val="center"/>
            </w:pPr>
            <w:r/>
            <w:r>
              <w:rPr>
                <w:rFonts w:ascii="Times New Roman" w:hAnsi="Times New Roman" w:eastAsia="Times New Roman"/>
                <w:b w:val="0"/>
                <w:i w:val="0"/>
                <w:sz w:val="17"/>
              </w:rPr>
              <w:t>48,260 UK Biobank pts.</w:t>
            </w:r>
          </w:p>
        </w:tc>
        <w:tc>
          <w:tcPr>
            <w:tcW w:type="dxa" w:w="1661"/>
          </w:tcPr>
          <w:p>
            <w:pPr>
              <w:jc w:val="center"/>
            </w:pPr>
            <w:r/>
            <w:r>
              <w:rPr>
                <w:rFonts w:ascii="Times New Roman" w:hAnsi="Times New Roman" w:eastAsia="Times New Roman"/>
                <w:b w:val="0"/>
                <w:i w:val="0"/>
                <w:sz w:val="17"/>
              </w:rPr>
              <w:t>6.3% CVD events / 11 yrs (risk strat.)</w:t>
            </w:r>
          </w:p>
        </w:tc>
      </w:tr>
      <w:tr>
        <w:tc>
          <w:tcPr>
            <w:tcW w:type="dxa" w:w="1661"/>
          </w:tcPr>
          <w:p>
            <w:pPr>
              <w:jc w:val="left"/>
            </w:pPr>
            <w:r/>
            <w:r>
              <w:rPr>
                <w:rFonts w:ascii="Times New Roman" w:hAnsi="Times New Roman" w:eastAsia="Times New Roman"/>
                <w:b/>
                <w:i w:val="0"/>
                <w:sz w:val="17"/>
              </w:rPr>
              <w:t>[8]</w:t>
            </w:r>
          </w:p>
        </w:tc>
        <w:tc>
          <w:tcPr>
            <w:tcW w:type="dxa" w:w="1661"/>
          </w:tcPr>
          <w:p>
            <w:pPr>
              <w:jc w:val="center"/>
            </w:pPr>
            <w:r/>
            <w:r>
              <w:rPr>
                <w:rFonts w:ascii="Times New Roman" w:hAnsi="Times New Roman" w:eastAsia="Times New Roman"/>
                <w:b w:val="0"/>
                <w:i w:val="0"/>
                <w:sz w:val="17"/>
              </w:rPr>
              <w:t>Stroke prediction</w:t>
            </w:r>
          </w:p>
        </w:tc>
        <w:tc>
          <w:tcPr>
            <w:tcW w:type="dxa" w:w="1661"/>
          </w:tcPr>
          <w:p>
            <w:pPr>
              <w:jc w:val="center"/>
            </w:pPr>
            <w:r/>
            <w:r>
              <w:rPr>
                <w:rFonts w:ascii="Times New Roman" w:hAnsi="Times New Roman" w:eastAsia="Times New Roman"/>
                <w:b w:val="0"/>
                <w:i w:val="0"/>
                <w:sz w:val="17"/>
              </w:rPr>
              <w:t>Retinal-graph multimodal SSL</w:t>
            </w:r>
          </w:p>
        </w:tc>
        <w:tc>
          <w:tcPr>
            <w:tcW w:type="dxa" w:w="1661"/>
          </w:tcPr>
          <w:p>
            <w:pPr>
              <w:jc w:val="center"/>
            </w:pPr>
            <w:r/>
            <w:r>
              <w:rPr>
                <w:rFonts w:ascii="Times New Roman" w:hAnsi="Times New Roman" w:eastAsia="Times New Roman"/>
                <w:b w:val="0"/>
                <w:i w:val="0"/>
                <w:sz w:val="17"/>
              </w:rPr>
              <w:t>UK Biobank retinal/MRI</w:t>
            </w:r>
          </w:p>
        </w:tc>
        <w:tc>
          <w:tcPr>
            <w:tcW w:type="dxa" w:w="1661"/>
          </w:tcPr>
          <w:p>
            <w:pPr>
              <w:jc w:val="center"/>
            </w:pPr>
            <w:r/>
            <w:r>
              <w:rPr>
                <w:rFonts w:ascii="Times New Roman" w:hAnsi="Times New Roman" w:eastAsia="Times New Roman"/>
                <w:b w:val="0"/>
                <w:i w:val="0"/>
                <w:sz w:val="17"/>
              </w:rPr>
              <w:t>Improved stroke-risk discrimination</w:t>
            </w:r>
          </w:p>
        </w:tc>
      </w:tr>
      <w:tr>
        <w:tc>
          <w:tcPr>
            <w:tcW w:type="dxa" w:w="1661"/>
          </w:tcPr>
          <w:p>
            <w:pPr>
              <w:jc w:val="left"/>
            </w:pPr>
            <w:r/>
            <w:r>
              <w:rPr>
                <w:rFonts w:ascii="Times New Roman" w:hAnsi="Times New Roman" w:eastAsia="Times New Roman"/>
                <w:b/>
                <w:i w:val="0"/>
                <w:sz w:val="17"/>
              </w:rPr>
              <w:t>[9]</w:t>
            </w:r>
          </w:p>
        </w:tc>
        <w:tc>
          <w:tcPr>
            <w:tcW w:type="dxa" w:w="1661"/>
          </w:tcPr>
          <w:p>
            <w:pPr>
              <w:jc w:val="center"/>
            </w:pPr>
            <w:r/>
            <w:r>
              <w:rPr>
                <w:rFonts w:ascii="Times New Roman" w:hAnsi="Times New Roman" w:eastAsia="Times New Roman"/>
                <w:b w:val="0"/>
                <w:i w:val="0"/>
                <w:sz w:val="17"/>
              </w:rPr>
              <w:t>Fundus image quality (review)</w:t>
            </w:r>
          </w:p>
        </w:tc>
        <w:tc>
          <w:tcPr>
            <w:tcW w:type="dxa" w:w="1661"/>
          </w:tcPr>
          <w:p>
            <w:pPr>
              <w:jc w:val="center"/>
            </w:pPr>
            <w:r/>
            <w:r>
              <w:rPr>
                <w:rFonts w:ascii="Times New Roman" w:hAnsi="Times New Roman" w:eastAsia="Times New Roman"/>
                <w:b w:val="0"/>
                <w:i w:val="0"/>
                <w:sz w:val="17"/>
              </w:rPr>
              <w:t>NR-/FR-IQA + enhancement models</w:t>
            </w:r>
          </w:p>
        </w:tc>
        <w:tc>
          <w:tcPr>
            <w:tcW w:type="dxa" w:w="1661"/>
          </w:tcPr>
          <w:p>
            <w:pPr>
              <w:jc w:val="center"/>
            </w:pPr>
            <w:r/>
            <w:r>
              <w:rPr>
                <w:rFonts w:ascii="Times New Roman" w:hAnsi="Times New Roman" w:eastAsia="Times New Roman"/>
                <w:b w:val="0"/>
                <w:i w:val="0"/>
                <w:sz w:val="17"/>
              </w:rPr>
              <w:t>Multi-device, cross-population</w:t>
            </w:r>
          </w:p>
        </w:tc>
        <w:tc>
          <w:tcPr>
            <w:tcW w:type="dxa" w:w="1661"/>
          </w:tcPr>
          <w:p>
            <w:pPr>
              <w:jc w:val="center"/>
            </w:pPr>
            <w:r/>
            <w:r>
              <w:rPr>
                <w:rFonts w:ascii="Times New Roman" w:hAnsi="Times New Roman" w:eastAsia="Times New Roman"/>
                <w:b w:val="0"/>
                <w:i w:val="0"/>
                <w:sz w:val="17"/>
              </w:rPr>
              <w:t>Systematic review; no single benchmark</w:t>
            </w:r>
          </w:p>
        </w:tc>
      </w:tr>
      <w:tr>
        <w:tc>
          <w:tcPr>
            <w:tcW w:type="dxa" w:w="1661"/>
          </w:tcPr>
          <w:p>
            <w:pPr>
              <w:jc w:val="left"/>
            </w:pPr>
            <w:r/>
            <w:r>
              <w:rPr>
                <w:rFonts w:ascii="Times New Roman" w:hAnsi="Times New Roman" w:eastAsia="Times New Roman"/>
                <w:b/>
                <w:i w:val="0"/>
                <w:sz w:val="17"/>
              </w:rPr>
              <w:t>[10]</w:t>
            </w:r>
          </w:p>
        </w:tc>
        <w:tc>
          <w:tcPr>
            <w:tcW w:type="dxa" w:w="1661"/>
          </w:tcPr>
          <w:p>
            <w:pPr>
              <w:jc w:val="center"/>
            </w:pPr>
            <w:r/>
            <w:r>
              <w:rPr>
                <w:rFonts w:ascii="Times New Roman" w:hAnsi="Times New Roman" w:eastAsia="Times New Roman"/>
                <w:b w:val="0"/>
                <w:i w:val="0"/>
                <w:sz w:val="17"/>
              </w:rPr>
              <w:t>Edge devices for DR</w:t>
            </w:r>
          </w:p>
        </w:tc>
        <w:tc>
          <w:tcPr>
            <w:tcW w:type="dxa" w:w="1661"/>
          </w:tcPr>
          <w:p>
            <w:pPr>
              <w:jc w:val="center"/>
            </w:pPr>
            <w:r/>
            <w:r>
              <w:rPr>
                <w:rFonts w:ascii="Times New Roman" w:hAnsi="Times New Roman" w:eastAsia="Times New Roman"/>
                <w:b w:val="0"/>
                <w:i w:val="0"/>
                <w:sz w:val="17"/>
              </w:rPr>
              <w:t>MobileNet / TF Lite comparison</w:t>
            </w:r>
          </w:p>
        </w:tc>
        <w:tc>
          <w:tcPr>
            <w:tcW w:type="dxa" w:w="1661"/>
          </w:tcPr>
          <w:p>
            <w:pPr>
              <w:jc w:val="center"/>
            </w:pPr>
            <w:r/>
            <w:r>
              <w:rPr>
                <w:rFonts w:ascii="Times New Roman" w:hAnsi="Times New Roman" w:eastAsia="Times New Roman"/>
                <w:b w:val="0"/>
                <w:i w:val="0"/>
                <w:sz w:val="17"/>
              </w:rPr>
              <w:t>3,662 fundus images</w:t>
            </w:r>
          </w:p>
        </w:tc>
        <w:tc>
          <w:tcPr>
            <w:tcW w:type="dxa" w:w="1661"/>
          </w:tcPr>
          <w:p>
            <w:pPr>
              <w:jc w:val="center"/>
            </w:pPr>
            <w:r/>
            <w:r>
              <w:rPr>
                <w:rFonts w:ascii="Times New Roman" w:hAnsi="Times New Roman" w:eastAsia="Times New Roman"/>
                <w:b w:val="0"/>
                <w:i w:val="0"/>
                <w:sz w:val="17"/>
              </w:rPr>
              <w:t>96.45% acc. (MobileNet)</w:t>
            </w:r>
          </w:p>
        </w:tc>
      </w:tr>
      <w:tr>
        <w:tc>
          <w:tcPr>
            <w:tcW w:type="dxa" w:w="1661"/>
          </w:tcPr>
          <w:p>
            <w:pPr>
              <w:jc w:val="left"/>
            </w:pPr>
            <w:r/>
            <w:r>
              <w:rPr>
                <w:rFonts w:ascii="Times New Roman" w:hAnsi="Times New Roman" w:eastAsia="Times New Roman"/>
                <w:b/>
                <w:i w:val="0"/>
                <w:sz w:val="17"/>
              </w:rPr>
              <w:t>[11]</w:t>
            </w:r>
          </w:p>
        </w:tc>
        <w:tc>
          <w:tcPr>
            <w:tcW w:type="dxa" w:w="1661"/>
          </w:tcPr>
          <w:p>
            <w:pPr>
              <w:jc w:val="center"/>
            </w:pPr>
            <w:r/>
            <w:r>
              <w:rPr>
                <w:rFonts w:ascii="Times New Roman" w:hAnsi="Times New Roman" w:eastAsia="Times New Roman"/>
                <w:b w:val="0"/>
                <w:i w:val="0"/>
                <w:sz w:val="17"/>
              </w:rPr>
              <w:t>Hypertensive retinopathy AI (review)</w:t>
            </w:r>
          </w:p>
        </w:tc>
        <w:tc>
          <w:tcPr>
            <w:tcW w:type="dxa" w:w="1661"/>
          </w:tcPr>
          <w:p>
            <w:pPr>
              <w:jc w:val="center"/>
            </w:pPr>
            <w:r/>
            <w:r>
              <w:rPr>
                <w:rFonts w:ascii="Times New Roman" w:hAnsi="Times New Roman" w:eastAsia="Times New Roman"/>
                <w:b w:val="0"/>
                <w:i w:val="0"/>
                <w:sz w:val="17"/>
              </w:rPr>
              <w:t>U-Net, DenseNet, ShuffleNet</w:t>
            </w:r>
          </w:p>
        </w:tc>
        <w:tc>
          <w:tcPr>
            <w:tcW w:type="dxa" w:w="1661"/>
          </w:tcPr>
          <w:p>
            <w:pPr>
              <w:jc w:val="center"/>
            </w:pPr>
            <w:r/>
            <w:r>
              <w:rPr>
                <w:rFonts w:ascii="Times New Roman" w:hAnsi="Times New Roman" w:eastAsia="Times New Roman"/>
                <w:b w:val="0"/>
                <w:i w:val="0"/>
                <w:sz w:val="17"/>
              </w:rPr>
              <w:t>DRIVE, STARE, HRF, RVM</w:t>
            </w:r>
          </w:p>
        </w:tc>
        <w:tc>
          <w:tcPr>
            <w:tcW w:type="dxa" w:w="1661"/>
          </w:tcPr>
          <w:p>
            <w:pPr>
              <w:jc w:val="center"/>
            </w:pPr>
            <w:r/>
            <w:r>
              <w:rPr>
                <w:rFonts w:ascii="Times New Roman" w:hAnsi="Times New Roman" w:eastAsia="Times New Roman"/>
                <w:b w:val="0"/>
                <w:i w:val="0"/>
                <w:sz w:val="17"/>
              </w:rPr>
              <w:t>SN/SP/ACC/F1 vary by method</w:t>
            </w:r>
          </w:p>
        </w:tc>
      </w:tr>
      <w:tr>
        <w:tc>
          <w:tcPr>
            <w:tcW w:type="dxa" w:w="1661"/>
          </w:tcPr>
          <w:p>
            <w:pPr>
              <w:jc w:val="left"/>
            </w:pPr>
            <w:r/>
            <w:r>
              <w:rPr>
                <w:rFonts w:ascii="Times New Roman" w:hAnsi="Times New Roman" w:eastAsia="Times New Roman"/>
                <w:b/>
                <w:i w:val="0"/>
                <w:sz w:val="17"/>
              </w:rPr>
              <w:t>[12]</w:t>
            </w:r>
          </w:p>
        </w:tc>
        <w:tc>
          <w:tcPr>
            <w:tcW w:type="dxa" w:w="1661"/>
          </w:tcPr>
          <w:p>
            <w:pPr>
              <w:jc w:val="center"/>
            </w:pPr>
            <w:r/>
            <w:r>
              <w:rPr>
                <w:rFonts w:ascii="Times New Roman" w:hAnsi="Times New Roman" w:eastAsia="Times New Roman"/>
                <w:b w:val="0"/>
                <w:i w:val="0"/>
                <w:sz w:val="17"/>
              </w:rPr>
              <w:t>Carotid atherosclerosis prediction</w:t>
            </w:r>
          </w:p>
        </w:tc>
        <w:tc>
          <w:tcPr>
            <w:tcW w:type="dxa" w:w="1661"/>
          </w:tcPr>
          <w:p>
            <w:pPr>
              <w:jc w:val="center"/>
            </w:pPr>
            <w:r/>
            <w:r>
              <w:rPr>
                <w:rFonts w:ascii="Times New Roman" w:hAnsi="Times New Roman" w:eastAsia="Times New Roman"/>
                <w:b w:val="0"/>
                <w:i w:val="0"/>
                <w:sz w:val="17"/>
              </w:rPr>
              <w:t>Explainable RETFound foundation model</w:t>
            </w:r>
          </w:p>
        </w:tc>
        <w:tc>
          <w:tcPr>
            <w:tcW w:type="dxa" w:w="1661"/>
          </w:tcPr>
          <w:p>
            <w:pPr>
              <w:jc w:val="center"/>
            </w:pPr>
            <w:r/>
            <w:r>
              <w:rPr>
                <w:rFonts w:ascii="Times New Roman" w:hAnsi="Times New Roman" w:eastAsia="Times New Roman"/>
                <w:b w:val="0"/>
                <w:i w:val="0"/>
                <w:sz w:val="17"/>
              </w:rPr>
              <w:t>39,620 subjects</w:t>
            </w:r>
          </w:p>
        </w:tc>
        <w:tc>
          <w:tcPr>
            <w:tcW w:type="dxa" w:w="1661"/>
          </w:tcPr>
          <w:p>
            <w:pPr>
              <w:jc w:val="center"/>
            </w:pPr>
            <w:r/>
            <w:r>
              <w:rPr>
                <w:rFonts w:ascii="Times New Roman" w:hAnsi="Times New Roman" w:eastAsia="Times New Roman"/>
                <w:b w:val="0"/>
                <w:i w:val="0"/>
                <w:sz w:val="17"/>
              </w:rPr>
              <w:t>AUC discrimination + Grad-CAM</w:t>
            </w:r>
          </w:p>
        </w:tc>
      </w:tr>
      <w:tr>
        <w:tc>
          <w:tcPr>
            <w:tcW w:type="dxa" w:w="1661"/>
          </w:tcPr>
          <w:p>
            <w:pPr>
              <w:jc w:val="left"/>
            </w:pPr>
            <w:r/>
            <w:r>
              <w:rPr>
                <w:rFonts w:ascii="Times New Roman" w:hAnsi="Times New Roman" w:eastAsia="Times New Roman"/>
                <w:b/>
                <w:i w:val="0"/>
                <w:sz w:val="17"/>
              </w:rPr>
              <w:t>[13]</w:t>
            </w:r>
          </w:p>
        </w:tc>
        <w:tc>
          <w:tcPr>
            <w:tcW w:type="dxa" w:w="1661"/>
          </w:tcPr>
          <w:p>
            <w:pPr>
              <w:jc w:val="center"/>
            </w:pPr>
            <w:r/>
            <w:r>
              <w:rPr>
                <w:rFonts w:ascii="Times New Roman" w:hAnsi="Times New Roman" w:eastAsia="Times New Roman"/>
                <w:b w:val="0"/>
                <w:i w:val="0"/>
                <w:sz w:val="17"/>
              </w:rPr>
              <w:t>AF-related ischemic stroke</w:t>
            </w:r>
          </w:p>
        </w:tc>
        <w:tc>
          <w:tcPr>
            <w:tcW w:type="dxa" w:w="1661"/>
          </w:tcPr>
          <w:p>
            <w:pPr>
              <w:jc w:val="center"/>
            </w:pPr>
            <w:r/>
            <w:r>
              <w:rPr>
                <w:rFonts w:ascii="Times New Roman" w:hAnsi="Times New Roman" w:eastAsia="Times New Roman"/>
                <w:b w:val="0"/>
                <w:i w:val="0"/>
                <w:sz w:val="17"/>
              </w:rPr>
              <w:t>Multi-spectral fundus DNN</w:t>
            </w:r>
          </w:p>
        </w:tc>
        <w:tc>
          <w:tcPr>
            <w:tcW w:type="dxa" w:w="1661"/>
          </w:tcPr>
          <w:p>
            <w:pPr>
              <w:jc w:val="center"/>
            </w:pPr>
            <w:r/>
            <w:r>
              <w:rPr>
                <w:rFonts w:ascii="Times New Roman" w:hAnsi="Times New Roman" w:eastAsia="Times New Roman"/>
                <w:b w:val="0"/>
                <w:i w:val="0"/>
                <w:sz w:val="17"/>
              </w:rPr>
              <w:t>150 AF + 100 IS participants</w:t>
            </w:r>
          </w:p>
        </w:tc>
        <w:tc>
          <w:tcPr>
            <w:tcW w:type="dxa" w:w="1661"/>
          </w:tcPr>
          <w:p>
            <w:pPr>
              <w:jc w:val="center"/>
            </w:pPr>
            <w:r/>
            <w:r>
              <w:rPr>
                <w:rFonts w:ascii="Times New Roman" w:hAnsi="Times New Roman" w:eastAsia="Times New Roman"/>
                <w:b w:val="0"/>
                <w:i w:val="0"/>
                <w:sz w:val="17"/>
              </w:rPr>
              <w:t>Multi-spectral outperforms single-spectral</w:t>
            </w:r>
          </w:p>
        </w:tc>
      </w:tr>
      <w:tr>
        <w:tc>
          <w:tcPr>
            <w:tcW w:type="dxa" w:w="1661"/>
          </w:tcPr>
          <w:p>
            <w:pPr>
              <w:jc w:val="left"/>
            </w:pPr>
            <w:r/>
            <w:r>
              <w:rPr>
                <w:rFonts w:ascii="Times New Roman" w:hAnsi="Times New Roman" w:eastAsia="Times New Roman"/>
                <w:b/>
                <w:i w:val="0"/>
                <w:sz w:val="17"/>
              </w:rPr>
              <w:t>[14]</w:t>
            </w:r>
          </w:p>
        </w:tc>
        <w:tc>
          <w:tcPr>
            <w:tcW w:type="dxa" w:w="1661"/>
          </w:tcPr>
          <w:p>
            <w:pPr>
              <w:jc w:val="center"/>
            </w:pPr>
            <w:r/>
            <w:r>
              <w:rPr>
                <w:rFonts w:ascii="Times New Roman" w:hAnsi="Times New Roman" w:eastAsia="Times New Roman"/>
                <w:b w:val="0"/>
                <w:i w:val="0"/>
                <w:sz w:val="17"/>
              </w:rPr>
              <w:t>Heart-failure risk factors</w:t>
            </w:r>
          </w:p>
        </w:tc>
        <w:tc>
          <w:tcPr>
            <w:tcW w:type="dxa" w:w="1661"/>
          </w:tcPr>
          <w:p>
            <w:pPr>
              <w:jc w:val="center"/>
            </w:pPr>
            <w:r/>
            <w:r>
              <w:rPr>
                <w:rFonts w:ascii="Times New Roman" w:hAnsi="Times New Roman" w:eastAsia="Times New Roman"/>
                <w:b w:val="0"/>
                <w:i w:val="0"/>
                <w:sz w:val="17"/>
              </w:rPr>
              <w:t>Explainable ML on retinal imaging</w:t>
            </w:r>
          </w:p>
        </w:tc>
        <w:tc>
          <w:tcPr>
            <w:tcW w:type="dxa" w:w="1661"/>
          </w:tcPr>
          <w:p>
            <w:pPr>
              <w:jc w:val="center"/>
            </w:pPr>
            <w:r/>
            <w:r>
              <w:rPr>
                <w:rFonts w:ascii="Times New Roman" w:hAnsi="Times New Roman" w:eastAsia="Times New Roman"/>
                <w:b w:val="0"/>
                <w:i w:val="0"/>
                <w:sz w:val="17"/>
              </w:rPr>
              <w:t>18,900 images, 8,969 pts.</w:t>
            </w:r>
          </w:p>
        </w:tc>
        <w:tc>
          <w:tcPr>
            <w:tcW w:type="dxa" w:w="1661"/>
          </w:tcPr>
          <w:p>
            <w:pPr>
              <w:jc w:val="center"/>
            </w:pPr>
            <w:r/>
            <w:r>
              <w:rPr>
                <w:rFonts w:ascii="Times New Roman" w:hAnsi="Times New Roman" w:eastAsia="Times New Roman"/>
                <w:b w:val="0"/>
                <w:i w:val="0"/>
                <w:sz w:val="17"/>
              </w:rPr>
              <w:t>Notable acc./AUC on key HF subtypes</w:t>
            </w:r>
          </w:p>
        </w:tc>
      </w:tr>
      <w:tr>
        <w:tc>
          <w:tcPr>
            <w:tcW w:type="dxa" w:w="1661"/>
          </w:tcPr>
          <w:p>
            <w:pPr>
              <w:jc w:val="left"/>
            </w:pPr>
            <w:r/>
            <w:r>
              <w:rPr>
                <w:rFonts w:ascii="Times New Roman" w:hAnsi="Times New Roman" w:eastAsia="Times New Roman"/>
                <w:b/>
                <w:i w:val="0"/>
                <w:sz w:val="17"/>
              </w:rPr>
              <w:t>[15]</w:t>
            </w:r>
          </w:p>
        </w:tc>
        <w:tc>
          <w:tcPr>
            <w:tcW w:type="dxa" w:w="1661"/>
          </w:tcPr>
          <w:p>
            <w:pPr>
              <w:jc w:val="center"/>
            </w:pPr>
            <w:r/>
            <w:r>
              <w:rPr>
                <w:rFonts w:ascii="Times New Roman" w:hAnsi="Times New Roman" w:eastAsia="Times New Roman"/>
                <w:b w:val="0"/>
                <w:i w:val="0"/>
                <w:sz w:val="17"/>
              </w:rPr>
              <w:t>15-disease multi-pathology screening</w:t>
            </w:r>
          </w:p>
        </w:tc>
        <w:tc>
          <w:tcPr>
            <w:tcW w:type="dxa" w:w="1661"/>
          </w:tcPr>
          <w:p>
            <w:pPr>
              <w:jc w:val="center"/>
            </w:pPr>
            <w:r/>
            <w:r>
              <w:rPr>
                <w:rFonts w:ascii="Times New Roman" w:hAnsi="Times New Roman" w:eastAsia="Times New Roman"/>
                <w:b w:val="0"/>
                <w:i w:val="0"/>
                <w:sz w:val="17"/>
              </w:rPr>
              <w:t>Multi-task deep network</w:t>
            </w:r>
          </w:p>
        </w:tc>
        <w:tc>
          <w:tcPr>
            <w:tcW w:type="dxa" w:w="1661"/>
          </w:tcPr>
          <w:p>
            <w:pPr>
              <w:jc w:val="center"/>
            </w:pPr>
            <w:r/>
            <w:r>
              <w:rPr>
                <w:rFonts w:ascii="Times New Roman" w:hAnsi="Times New Roman" w:eastAsia="Times New Roman"/>
                <w:b w:val="0"/>
                <w:i w:val="0"/>
                <w:sz w:val="17"/>
              </w:rPr>
              <w:t>20,351 fundus images</w:t>
            </w:r>
          </w:p>
        </w:tc>
        <w:tc>
          <w:tcPr>
            <w:tcW w:type="dxa" w:w="1661"/>
          </w:tcPr>
          <w:p>
            <w:pPr>
              <w:jc w:val="center"/>
            </w:pPr>
            <w:r/>
            <w:r>
              <w:rPr>
                <w:rFonts w:ascii="Times New Roman" w:hAnsi="Times New Roman" w:eastAsia="Times New Roman"/>
                <w:b w:val="0"/>
                <w:i w:val="0"/>
                <w:sz w:val="17"/>
              </w:rPr>
              <w:t>AUC 0.9524–0.9971 across classes</w:t>
            </w:r>
          </w:p>
        </w:tc>
      </w:tr>
      <w:tr>
        <w:tc>
          <w:tcPr>
            <w:tcW w:type="dxa" w:w="1661"/>
          </w:tcPr>
          <w:p>
            <w:pPr>
              <w:jc w:val="left"/>
            </w:pPr>
            <w:r/>
            <w:r>
              <w:rPr>
                <w:rFonts w:ascii="Times New Roman" w:hAnsi="Times New Roman" w:eastAsia="Times New Roman"/>
                <w:b/>
                <w:i w:val="0"/>
                <w:sz w:val="17"/>
              </w:rPr>
              <w:t>[16]</w:t>
            </w:r>
          </w:p>
        </w:tc>
        <w:tc>
          <w:tcPr>
            <w:tcW w:type="dxa" w:w="1661"/>
          </w:tcPr>
          <w:p>
            <w:pPr>
              <w:jc w:val="center"/>
            </w:pPr>
            <w:r/>
            <w:r>
              <w:rPr>
                <w:rFonts w:ascii="Times New Roman" w:hAnsi="Times New Roman" w:eastAsia="Times New Roman"/>
                <w:b w:val="0"/>
                <w:i w:val="0"/>
                <w:sz w:val="17"/>
              </w:rPr>
              <w:t>Fundus restoration techniques (review)</w:t>
            </w:r>
          </w:p>
        </w:tc>
        <w:tc>
          <w:tcPr>
            <w:tcW w:type="dxa" w:w="1661"/>
          </w:tcPr>
          <w:p>
            <w:pPr>
              <w:jc w:val="center"/>
            </w:pPr>
            <w:r/>
            <w:r>
              <w:rPr>
                <w:rFonts w:ascii="Times New Roman" w:hAnsi="Times New Roman" w:eastAsia="Times New Roman"/>
                <w:b w:val="0"/>
                <w:i w:val="0"/>
                <w:sz w:val="17"/>
              </w:rPr>
              <w:t>Retinex/illumination correction</w:t>
            </w:r>
          </w:p>
        </w:tc>
        <w:tc>
          <w:tcPr>
            <w:tcW w:type="dxa" w:w="1661"/>
          </w:tcPr>
          <w:p>
            <w:pPr>
              <w:jc w:val="center"/>
            </w:pPr>
            <w:r/>
            <w:r>
              <w:rPr>
                <w:rFonts w:ascii="Times New Roman" w:hAnsi="Times New Roman" w:eastAsia="Times New Roman"/>
                <w:b w:val="0"/>
                <w:i w:val="0"/>
                <w:sz w:val="17"/>
              </w:rPr>
              <w:t>Cross-modality, review</w:t>
            </w:r>
          </w:p>
        </w:tc>
        <w:tc>
          <w:tcPr>
            <w:tcW w:type="dxa" w:w="1661"/>
          </w:tcPr>
          <w:p>
            <w:pPr>
              <w:jc w:val="center"/>
            </w:pPr>
            <w:r/>
            <w:r>
              <w:rPr>
                <w:rFonts w:ascii="Times New Roman" w:hAnsi="Times New Roman" w:eastAsia="Times New Roman"/>
                <w:b w:val="0"/>
                <w:i w:val="0"/>
                <w:sz w:val="17"/>
              </w:rPr>
              <w:t>Qualitative synthesis</w:t>
            </w:r>
          </w:p>
        </w:tc>
      </w:tr>
      <w:tr>
        <w:tc>
          <w:tcPr>
            <w:tcW w:type="dxa" w:w="1661"/>
          </w:tcPr>
          <w:p>
            <w:pPr>
              <w:jc w:val="left"/>
            </w:pPr>
            <w:r/>
            <w:r>
              <w:rPr>
                <w:rFonts w:ascii="Times New Roman" w:hAnsi="Times New Roman" w:eastAsia="Times New Roman"/>
                <w:b/>
                <w:i w:val="0"/>
                <w:sz w:val="17"/>
              </w:rPr>
              <w:t>[17]</w:t>
            </w:r>
          </w:p>
        </w:tc>
        <w:tc>
          <w:tcPr>
            <w:tcW w:type="dxa" w:w="1661"/>
          </w:tcPr>
          <w:p>
            <w:pPr>
              <w:jc w:val="center"/>
            </w:pPr>
            <w:r/>
            <w:r>
              <w:rPr>
                <w:rFonts w:ascii="Times New Roman" w:hAnsi="Times New Roman" w:eastAsia="Times New Roman"/>
                <w:b w:val="0"/>
                <w:i w:val="0"/>
                <w:sz w:val="17"/>
              </w:rPr>
              <w:t>Glaucoma detection</w:t>
            </w:r>
          </w:p>
        </w:tc>
        <w:tc>
          <w:tcPr>
            <w:tcW w:type="dxa" w:w="1661"/>
          </w:tcPr>
          <w:p>
            <w:pPr>
              <w:jc w:val="center"/>
            </w:pPr>
            <w:r/>
            <w:r>
              <w:rPr>
                <w:rFonts w:ascii="Times New Roman" w:hAnsi="Times New Roman" w:eastAsia="Times New Roman"/>
                <w:b w:val="0"/>
                <w:i w:val="0"/>
                <w:sz w:val="17"/>
              </w:rPr>
              <w:t>Lightweight ViT + biomarker fusion</w:t>
            </w:r>
          </w:p>
        </w:tc>
        <w:tc>
          <w:tcPr>
            <w:tcW w:type="dxa" w:w="1661"/>
          </w:tcPr>
          <w:p>
            <w:pPr>
              <w:jc w:val="center"/>
            </w:pPr>
            <w:r/>
            <w:r>
              <w:rPr>
                <w:rFonts w:ascii="Times New Roman" w:hAnsi="Times New Roman" w:eastAsia="Times New Roman"/>
                <w:b w:val="0"/>
                <w:i w:val="0"/>
                <w:sz w:val="17"/>
              </w:rPr>
              <w:t>Public glaucoma sets</w:t>
            </w:r>
          </w:p>
        </w:tc>
        <w:tc>
          <w:tcPr>
            <w:tcW w:type="dxa" w:w="1661"/>
          </w:tcPr>
          <w:p>
            <w:pPr>
              <w:jc w:val="center"/>
            </w:pPr>
            <w:r/>
            <w:r>
              <w:rPr>
                <w:rFonts w:ascii="Times New Roman" w:hAnsi="Times New Roman" w:eastAsia="Times New Roman"/>
                <w:b w:val="0"/>
                <w:i w:val="0"/>
                <w:sz w:val="17"/>
              </w:rPr>
              <w:t>Dice 0.908 (segmentation); high AUC</w:t>
            </w:r>
          </w:p>
        </w:tc>
      </w:tr>
      <w:tr>
        <w:tc>
          <w:tcPr>
            <w:tcW w:type="dxa" w:w="1661"/>
          </w:tcPr>
          <w:p>
            <w:pPr>
              <w:jc w:val="left"/>
            </w:pPr>
            <w:r/>
            <w:r>
              <w:rPr>
                <w:rFonts w:ascii="Times New Roman" w:hAnsi="Times New Roman" w:eastAsia="Times New Roman"/>
                <w:b/>
                <w:i w:val="0"/>
                <w:sz w:val="17"/>
              </w:rPr>
              <w:t>[18]</w:t>
            </w:r>
          </w:p>
        </w:tc>
        <w:tc>
          <w:tcPr>
            <w:tcW w:type="dxa" w:w="1661"/>
          </w:tcPr>
          <w:p>
            <w:pPr>
              <w:jc w:val="center"/>
            </w:pPr>
            <w:r/>
            <w:r>
              <w:rPr>
                <w:rFonts w:ascii="Times New Roman" w:hAnsi="Times New Roman" w:eastAsia="Times New Roman"/>
                <w:b w:val="0"/>
                <w:i w:val="0"/>
                <w:sz w:val="17"/>
              </w:rPr>
              <w:t>Multi-retinal disease framework</w:t>
            </w:r>
          </w:p>
        </w:tc>
        <w:tc>
          <w:tcPr>
            <w:tcW w:type="dxa" w:w="1661"/>
          </w:tcPr>
          <w:p>
            <w:pPr>
              <w:jc w:val="center"/>
            </w:pPr>
            <w:r/>
            <w:r>
              <w:rPr>
                <w:rFonts w:ascii="Times New Roman" w:hAnsi="Times New Roman" w:eastAsia="Times New Roman"/>
                <w:b w:val="0"/>
                <w:i w:val="0"/>
                <w:sz w:val="17"/>
              </w:rPr>
              <w:t>12-layer CNN + augmentation</w:t>
            </w:r>
          </w:p>
        </w:tc>
        <w:tc>
          <w:tcPr>
            <w:tcW w:type="dxa" w:w="1661"/>
          </w:tcPr>
          <w:p>
            <w:pPr>
              <w:jc w:val="center"/>
            </w:pPr>
            <w:r/>
            <w:r>
              <w:rPr>
                <w:rFonts w:ascii="Times New Roman" w:hAnsi="Times New Roman" w:eastAsia="Times New Roman"/>
                <w:b w:val="0"/>
                <w:i w:val="0"/>
                <w:sz w:val="17"/>
              </w:rPr>
              <w:t>Public multi-disease set</w:t>
            </w:r>
          </w:p>
        </w:tc>
        <w:tc>
          <w:tcPr>
            <w:tcW w:type="dxa" w:w="1661"/>
          </w:tcPr>
          <w:p>
            <w:pPr>
              <w:jc w:val="center"/>
            </w:pPr>
            <w:r/>
            <w:r>
              <w:rPr>
                <w:rFonts w:ascii="Times New Roman" w:hAnsi="Times New Roman" w:eastAsia="Times New Roman"/>
                <w:b w:val="0"/>
                <w:i w:val="0"/>
                <w:sz w:val="17"/>
              </w:rPr>
              <w:t>89.81% val / 88.72% test acc.</w:t>
            </w:r>
          </w:p>
        </w:tc>
      </w:tr>
      <w:tr>
        <w:tc>
          <w:tcPr>
            <w:tcW w:type="dxa" w:w="1661"/>
          </w:tcPr>
          <w:p>
            <w:pPr>
              <w:jc w:val="left"/>
            </w:pPr>
            <w:r/>
            <w:r>
              <w:rPr>
                <w:rFonts w:ascii="Times New Roman" w:hAnsi="Times New Roman" w:eastAsia="Times New Roman"/>
                <w:b/>
                <w:i w:val="0"/>
                <w:sz w:val="17"/>
              </w:rPr>
              <w:t>[19]</w:t>
            </w:r>
          </w:p>
        </w:tc>
        <w:tc>
          <w:tcPr>
            <w:tcW w:type="dxa" w:w="1661"/>
          </w:tcPr>
          <w:p>
            <w:pPr>
              <w:jc w:val="center"/>
            </w:pPr>
            <w:r/>
            <w:r>
              <w:rPr>
                <w:rFonts w:ascii="Times New Roman" w:hAnsi="Times New Roman" w:eastAsia="Times New Roman"/>
                <w:b w:val="0"/>
                <w:i w:val="0"/>
                <w:sz w:val="17"/>
              </w:rPr>
              <w:t>Major retinal disease screening (review)</w:t>
            </w:r>
          </w:p>
        </w:tc>
        <w:tc>
          <w:tcPr>
            <w:tcW w:type="dxa" w:w="1661"/>
          </w:tcPr>
          <w:p>
            <w:pPr>
              <w:jc w:val="center"/>
            </w:pPr>
            <w:r/>
            <w:r>
              <w:rPr>
                <w:rFonts w:ascii="Times New Roman" w:hAnsi="Times New Roman" w:eastAsia="Times New Roman"/>
                <w:b w:val="0"/>
                <w:i w:val="0"/>
                <w:sz w:val="17"/>
              </w:rPr>
              <w:t>Cross-architecture survey</w:t>
            </w:r>
          </w:p>
        </w:tc>
        <w:tc>
          <w:tcPr>
            <w:tcW w:type="dxa" w:w="1661"/>
          </w:tcPr>
          <w:p>
            <w:pPr>
              <w:jc w:val="center"/>
            </w:pPr>
            <w:r/>
            <w:r>
              <w:rPr>
                <w:rFonts w:ascii="Times New Roman" w:hAnsi="Times New Roman" w:eastAsia="Times New Roman"/>
                <w:b w:val="0"/>
                <w:i w:val="0"/>
                <w:sz w:val="17"/>
              </w:rPr>
              <w:t>Multiple modalities, review</w:t>
            </w:r>
          </w:p>
        </w:tc>
        <w:tc>
          <w:tcPr>
            <w:tcW w:type="dxa" w:w="1661"/>
          </w:tcPr>
          <w:p>
            <w:pPr>
              <w:jc w:val="center"/>
            </w:pPr>
            <w:r/>
            <w:r>
              <w:rPr>
                <w:rFonts w:ascii="Times New Roman" w:hAnsi="Times New Roman" w:eastAsia="Times New Roman"/>
                <w:b w:val="0"/>
                <w:i w:val="0"/>
                <w:sz w:val="17"/>
              </w:rPr>
              <w:t>Comprehensive technical synthesis</w:t>
            </w:r>
          </w:p>
        </w:tc>
      </w:tr>
      <w:tr>
        <w:tc>
          <w:tcPr>
            <w:tcW w:type="dxa" w:w="1661"/>
          </w:tcPr>
          <w:p>
            <w:pPr>
              <w:jc w:val="left"/>
            </w:pPr>
            <w:r/>
            <w:r>
              <w:rPr>
                <w:rFonts w:ascii="Times New Roman" w:hAnsi="Times New Roman" w:eastAsia="Times New Roman"/>
                <w:b/>
                <w:i w:val="0"/>
                <w:sz w:val="17"/>
              </w:rPr>
              <w:t>[20]</w:t>
            </w:r>
          </w:p>
        </w:tc>
        <w:tc>
          <w:tcPr>
            <w:tcW w:type="dxa" w:w="1661"/>
          </w:tcPr>
          <w:p>
            <w:pPr>
              <w:jc w:val="center"/>
            </w:pPr>
            <w:r/>
            <w:r>
              <w:rPr>
                <w:rFonts w:ascii="Times New Roman" w:hAnsi="Times New Roman" w:eastAsia="Times New Roman"/>
                <w:b w:val="0"/>
                <w:i w:val="0"/>
                <w:sz w:val="17"/>
              </w:rPr>
              <w:t>Deep learning fundus enhancement (review)</w:t>
            </w:r>
          </w:p>
        </w:tc>
        <w:tc>
          <w:tcPr>
            <w:tcW w:type="dxa" w:w="1661"/>
          </w:tcPr>
          <w:p>
            <w:pPr>
              <w:jc w:val="center"/>
            </w:pPr>
            <w:r/>
            <w:r>
              <w:rPr>
                <w:rFonts w:ascii="Times New Roman" w:hAnsi="Times New Roman" w:eastAsia="Times New Roman"/>
                <w:b w:val="0"/>
                <w:i w:val="0"/>
                <w:sz w:val="17"/>
              </w:rPr>
              <w:t>GAN-based restoration survey</w:t>
            </w:r>
          </w:p>
        </w:tc>
        <w:tc>
          <w:tcPr>
            <w:tcW w:type="dxa" w:w="1661"/>
          </w:tcPr>
          <w:p>
            <w:pPr>
              <w:jc w:val="center"/>
            </w:pPr>
            <w:r/>
            <w:r>
              <w:rPr>
                <w:rFonts w:ascii="Times New Roman" w:hAnsi="Times New Roman" w:eastAsia="Times New Roman"/>
                <w:b w:val="0"/>
                <w:i w:val="0"/>
                <w:sz w:val="17"/>
              </w:rPr>
              <w:t>Cross-dataset, review</w:t>
            </w:r>
          </w:p>
        </w:tc>
        <w:tc>
          <w:tcPr>
            <w:tcW w:type="dxa" w:w="1661"/>
          </w:tcPr>
          <w:p>
            <w:pPr>
              <w:jc w:val="center"/>
            </w:pPr>
            <w:r/>
            <w:r>
              <w:rPr>
                <w:rFonts w:ascii="Times New Roman" w:hAnsi="Times New Roman" w:eastAsia="Times New Roman"/>
                <w:b w:val="0"/>
                <w:i w:val="0"/>
                <w:sz w:val="17"/>
              </w:rPr>
              <w:t>AUC/Dice/Jaccard across tasks</w:t>
            </w:r>
          </w:p>
        </w:tc>
      </w:tr>
      <w:tr>
        <w:tc>
          <w:tcPr>
            <w:tcW w:type="dxa" w:w="1661"/>
          </w:tcPr>
          <w:p>
            <w:pPr>
              <w:jc w:val="left"/>
            </w:pPr>
            <w:r/>
            <w:r>
              <w:rPr>
                <w:rFonts w:ascii="Times New Roman" w:hAnsi="Times New Roman" w:eastAsia="Times New Roman"/>
                <w:b/>
                <w:i w:val="0"/>
                <w:sz w:val="17"/>
              </w:rPr>
              <w:t>[21]</w:t>
            </w:r>
          </w:p>
        </w:tc>
        <w:tc>
          <w:tcPr>
            <w:tcW w:type="dxa" w:w="1661"/>
          </w:tcPr>
          <w:p>
            <w:pPr>
              <w:jc w:val="center"/>
            </w:pPr>
            <w:r/>
            <w:r>
              <w:rPr>
                <w:rFonts w:ascii="Times New Roman" w:hAnsi="Times New Roman" w:eastAsia="Times New Roman"/>
                <w:b w:val="0"/>
                <w:i w:val="0"/>
                <w:sz w:val="17"/>
              </w:rPr>
              <w:t>Retina-based AI in medicine (review)</w:t>
            </w:r>
          </w:p>
        </w:tc>
        <w:tc>
          <w:tcPr>
            <w:tcW w:type="dxa" w:w="1661"/>
          </w:tcPr>
          <w:p>
            <w:pPr>
              <w:jc w:val="center"/>
            </w:pPr>
            <w:r/>
            <w:r>
              <w:rPr>
                <w:rFonts w:ascii="Times New Roman" w:hAnsi="Times New Roman" w:eastAsia="Times New Roman"/>
                <w:b w:val="0"/>
                <w:i w:val="0"/>
                <w:sz w:val="17"/>
              </w:rPr>
              <w:t>Cross-disease AI survey</w:t>
            </w:r>
          </w:p>
        </w:tc>
        <w:tc>
          <w:tcPr>
            <w:tcW w:type="dxa" w:w="1661"/>
          </w:tcPr>
          <w:p>
            <w:pPr>
              <w:jc w:val="center"/>
            </w:pPr>
            <w:r/>
            <w:r>
              <w:rPr>
                <w:rFonts w:ascii="Times New Roman" w:hAnsi="Times New Roman" w:eastAsia="Times New Roman"/>
                <w:b w:val="0"/>
                <w:i w:val="0"/>
                <w:sz w:val="17"/>
              </w:rPr>
              <w:t>MESSIDOR, others</w:t>
            </w:r>
          </w:p>
        </w:tc>
        <w:tc>
          <w:tcPr>
            <w:tcW w:type="dxa" w:w="1661"/>
          </w:tcPr>
          <w:p>
            <w:pPr>
              <w:jc w:val="center"/>
            </w:pPr>
            <w:r/>
            <w:r>
              <w:rPr>
                <w:rFonts w:ascii="Times New Roman" w:hAnsi="Times New Roman" w:eastAsia="Times New Roman"/>
                <w:b w:val="0"/>
                <w:i w:val="0"/>
                <w:sz w:val="17"/>
              </w:rPr>
              <w:t>AUC = 0.980 (Abramoff et al., DR)</w:t>
            </w:r>
          </w:p>
        </w:tc>
      </w:tr>
      <w:tr>
        <w:tc>
          <w:tcPr>
            <w:tcW w:type="dxa" w:w="1661"/>
          </w:tcPr>
          <w:p>
            <w:pPr>
              <w:jc w:val="left"/>
            </w:pPr>
            <w:r/>
            <w:r>
              <w:rPr>
                <w:rFonts w:ascii="Times New Roman" w:hAnsi="Times New Roman" w:eastAsia="Times New Roman"/>
                <w:b/>
                <w:i w:val="0"/>
                <w:sz w:val="17"/>
              </w:rPr>
              <w:t>[22]</w:t>
            </w:r>
          </w:p>
        </w:tc>
        <w:tc>
          <w:tcPr>
            <w:tcW w:type="dxa" w:w="1661"/>
          </w:tcPr>
          <w:p>
            <w:pPr>
              <w:jc w:val="center"/>
            </w:pPr>
            <w:r/>
            <w:r>
              <w:rPr>
                <w:rFonts w:ascii="Times New Roman" w:hAnsi="Times New Roman" w:eastAsia="Times New Roman"/>
                <w:b w:val="0"/>
                <w:i w:val="0"/>
                <w:sz w:val="17"/>
              </w:rPr>
              <w:t>Generalizable disease detection</w:t>
            </w:r>
          </w:p>
        </w:tc>
        <w:tc>
          <w:tcPr>
            <w:tcW w:type="dxa" w:w="1661"/>
          </w:tcPr>
          <w:p>
            <w:pPr>
              <w:jc w:val="center"/>
            </w:pPr>
            <w:r/>
            <w:r>
              <w:rPr>
                <w:rFonts w:ascii="Times New Roman" w:hAnsi="Times New Roman" w:eastAsia="Times New Roman"/>
                <w:b w:val="0"/>
                <w:i w:val="0"/>
                <w:sz w:val="17"/>
              </w:rPr>
              <w:t>RETFound (SSL foundation model)</w:t>
            </w:r>
          </w:p>
        </w:tc>
        <w:tc>
          <w:tcPr>
            <w:tcW w:type="dxa" w:w="1661"/>
          </w:tcPr>
          <w:p>
            <w:pPr>
              <w:jc w:val="center"/>
            </w:pPr>
            <w:r/>
            <w:r>
              <w:rPr>
                <w:rFonts w:ascii="Times New Roman" w:hAnsi="Times New Roman" w:eastAsia="Times New Roman"/>
                <w:b w:val="0"/>
                <w:i w:val="0"/>
                <w:sz w:val="17"/>
              </w:rPr>
              <w:t>Multi-dataset ocular + systemic</w:t>
            </w:r>
          </w:p>
        </w:tc>
        <w:tc>
          <w:tcPr>
            <w:tcW w:type="dxa" w:w="1661"/>
          </w:tcPr>
          <w:p>
            <w:pPr>
              <w:jc w:val="center"/>
            </w:pPr>
            <w:r/>
            <w:r>
              <w:rPr>
                <w:rFonts w:ascii="Times New Roman" w:hAnsi="Times New Roman" w:eastAsia="Times New Roman"/>
                <w:b w:val="0"/>
                <w:i w:val="0"/>
                <w:sz w:val="17"/>
              </w:rPr>
              <w:t>AUROC 0.82–0.83 (label-efficient)</w:t>
            </w:r>
          </w:p>
        </w:tc>
      </w:tr>
      <w:tr>
        <w:tc>
          <w:tcPr>
            <w:tcW w:type="dxa" w:w="1661"/>
          </w:tcPr>
          <w:p>
            <w:pPr>
              <w:jc w:val="left"/>
            </w:pPr>
            <w:r/>
            <w:r>
              <w:rPr>
                <w:rFonts w:ascii="Times New Roman" w:hAnsi="Times New Roman" w:eastAsia="Times New Roman"/>
                <w:b/>
                <w:i w:val="0"/>
                <w:sz w:val="17"/>
              </w:rPr>
              <w:t>[23]</w:t>
            </w:r>
          </w:p>
        </w:tc>
        <w:tc>
          <w:tcPr>
            <w:tcW w:type="dxa" w:w="1661"/>
          </w:tcPr>
          <w:p>
            <w:pPr>
              <w:jc w:val="center"/>
            </w:pPr>
            <w:r/>
            <w:r>
              <w:rPr>
                <w:rFonts w:ascii="Times New Roman" w:hAnsi="Times New Roman" w:eastAsia="Times New Roman"/>
                <w:b w:val="0"/>
                <w:i w:val="0"/>
                <w:sz w:val="17"/>
              </w:rPr>
              <w:t>Ophthalmomics CIMT dataset/model</w:t>
            </w:r>
          </w:p>
        </w:tc>
        <w:tc>
          <w:tcPr>
            <w:tcW w:type="dxa" w:w="1661"/>
          </w:tcPr>
          <w:p>
            <w:pPr>
              <w:jc w:val="center"/>
            </w:pPr>
            <w:r/>
            <w:r>
              <w:rPr>
                <w:rFonts w:ascii="Times New Roman" w:hAnsi="Times New Roman" w:eastAsia="Times New Roman"/>
                <w:b w:val="0"/>
                <w:i w:val="0"/>
                <w:sz w:val="17"/>
              </w:rPr>
              <w:t>CNN on high-res fundus</w:t>
            </w:r>
          </w:p>
        </w:tc>
        <w:tc>
          <w:tcPr>
            <w:tcW w:type="dxa" w:w="1661"/>
          </w:tcPr>
          <w:p>
            <w:pPr>
              <w:jc w:val="center"/>
            </w:pPr>
            <w:r/>
            <w:r>
              <w:rPr>
                <w:rFonts w:ascii="Times New Roman" w:hAnsi="Times New Roman" w:eastAsia="Times New Roman"/>
                <w:b w:val="0"/>
                <w:i w:val="0"/>
                <w:sz w:val="17"/>
              </w:rPr>
              <w:t>Large multi-center cohort</w:t>
            </w:r>
          </w:p>
        </w:tc>
        <w:tc>
          <w:tcPr>
            <w:tcW w:type="dxa" w:w="1661"/>
          </w:tcPr>
          <w:p>
            <w:pPr>
              <w:jc w:val="center"/>
            </w:pPr>
            <w:r/>
            <w:r>
              <w:rPr>
                <w:rFonts w:ascii="Times New Roman" w:hAnsi="Times New Roman" w:eastAsia="Times New Roman"/>
                <w:b w:val="0"/>
                <w:i w:val="0"/>
                <w:sz w:val="17"/>
              </w:rPr>
              <w:t>94.10% acc. / 98.51% AUC (val)</w:t>
            </w:r>
          </w:p>
        </w:tc>
      </w:tr>
      <w:tr>
        <w:tc>
          <w:tcPr>
            <w:tcW w:type="dxa" w:w="1661"/>
          </w:tcPr>
          <w:p>
            <w:pPr>
              <w:jc w:val="left"/>
            </w:pPr>
            <w:r/>
            <w:r>
              <w:rPr>
                <w:rFonts w:ascii="Times New Roman" w:hAnsi="Times New Roman" w:eastAsia="Times New Roman"/>
                <w:b/>
                <w:i w:val="0"/>
                <w:sz w:val="17"/>
              </w:rPr>
              <w:t>[24]</w:t>
            </w:r>
          </w:p>
        </w:tc>
        <w:tc>
          <w:tcPr>
            <w:tcW w:type="dxa" w:w="1661"/>
          </w:tcPr>
          <w:p>
            <w:pPr>
              <w:jc w:val="center"/>
            </w:pPr>
            <w:r/>
            <w:r>
              <w:rPr>
                <w:rFonts w:ascii="Times New Roman" w:hAnsi="Times New Roman" w:eastAsia="Times New Roman"/>
                <w:b w:val="0"/>
                <w:i w:val="0"/>
                <w:sz w:val="17"/>
              </w:rPr>
              <w:t>Glaucoma beyond the optic disc</w:t>
            </w:r>
          </w:p>
        </w:tc>
        <w:tc>
          <w:tcPr>
            <w:tcW w:type="dxa" w:w="1661"/>
          </w:tcPr>
          <w:p>
            <w:pPr>
              <w:jc w:val="center"/>
            </w:pPr>
            <w:r/>
            <w:r>
              <w:rPr>
                <w:rFonts w:ascii="Times New Roman" w:hAnsi="Times New Roman" w:eastAsia="Times New Roman"/>
                <w:b w:val="0"/>
                <w:i w:val="0"/>
                <w:sz w:val="17"/>
              </w:rPr>
              <w:t>CNN, cropped-field ensembles</w:t>
            </w:r>
          </w:p>
        </w:tc>
        <w:tc>
          <w:tcPr>
            <w:tcW w:type="dxa" w:w="1661"/>
          </w:tcPr>
          <w:p>
            <w:pPr>
              <w:jc w:val="center"/>
            </w:pPr>
            <w:r/>
            <w:r>
              <w:rPr>
                <w:rFonts w:ascii="Times New Roman" w:hAnsi="Times New Roman" w:eastAsia="Times New Roman"/>
                <w:b w:val="0"/>
                <w:i w:val="0"/>
                <w:sz w:val="17"/>
              </w:rPr>
              <w:t>23,930 images, 6,486 ind.</w:t>
            </w:r>
          </w:p>
        </w:tc>
        <w:tc>
          <w:tcPr>
            <w:tcW w:type="dxa" w:w="1661"/>
          </w:tcPr>
          <w:p>
            <w:pPr>
              <w:jc w:val="center"/>
            </w:pPr>
            <w:r/>
            <w:r>
              <w:rPr>
                <w:rFonts w:ascii="Times New Roman" w:hAnsi="Times New Roman" w:eastAsia="Times New Roman"/>
                <w:b w:val="0"/>
                <w:i w:val="0"/>
                <w:sz w:val="17"/>
              </w:rPr>
              <w:t>0.88 AUC; 97.6% sens. @ 85% spec.</w:t>
            </w:r>
          </w:p>
        </w:tc>
      </w:tr>
      <w:tr>
        <w:tc>
          <w:tcPr>
            <w:tcW w:type="dxa" w:w="1661"/>
          </w:tcPr>
          <w:p>
            <w:pPr>
              <w:jc w:val="left"/>
            </w:pPr>
            <w:r/>
            <w:r>
              <w:rPr>
                <w:rFonts w:ascii="Times New Roman" w:hAnsi="Times New Roman" w:eastAsia="Times New Roman"/>
                <w:b/>
                <w:i w:val="0"/>
                <w:sz w:val="17"/>
              </w:rPr>
              <w:t>[25]</w:t>
            </w:r>
          </w:p>
        </w:tc>
        <w:tc>
          <w:tcPr>
            <w:tcW w:type="dxa" w:w="1661"/>
          </w:tcPr>
          <w:p>
            <w:pPr>
              <w:jc w:val="center"/>
            </w:pPr>
            <w:r/>
            <w:r>
              <w:rPr>
                <w:rFonts w:ascii="Times New Roman" w:hAnsi="Times New Roman" w:eastAsia="Times New Roman"/>
                <w:b w:val="0"/>
                <w:i w:val="0"/>
                <w:sz w:val="17"/>
              </w:rPr>
              <w:t>Neurocardiovascular risk score</w:t>
            </w:r>
          </w:p>
        </w:tc>
        <w:tc>
          <w:tcPr>
            <w:tcW w:type="dxa" w:w="1661"/>
          </w:tcPr>
          <w:p>
            <w:pPr>
              <w:jc w:val="center"/>
            </w:pPr>
            <w:r/>
            <w:r>
              <w:rPr>
                <w:rFonts w:ascii="Times New Roman" w:hAnsi="Times New Roman" w:eastAsia="Times New Roman"/>
                <w:b w:val="0"/>
                <w:i w:val="0"/>
                <w:sz w:val="17"/>
              </w:rPr>
              <w:t>ML/DL on SS-OCT-A</w:t>
            </w:r>
          </w:p>
        </w:tc>
        <w:tc>
          <w:tcPr>
            <w:tcW w:type="dxa" w:w="1661"/>
          </w:tcPr>
          <w:p>
            <w:pPr>
              <w:jc w:val="center"/>
            </w:pPr>
            <w:r/>
            <w:r>
              <w:rPr>
                <w:rFonts w:ascii="Times New Roman" w:hAnsi="Times New Roman" w:eastAsia="Times New Roman"/>
                <w:b w:val="0"/>
                <w:i w:val="0"/>
                <w:sz w:val="17"/>
              </w:rPr>
              <w:t>491 patients</w:t>
            </w:r>
          </w:p>
        </w:tc>
        <w:tc>
          <w:tcPr>
            <w:tcW w:type="dxa" w:w="1661"/>
          </w:tcPr>
          <w:p>
            <w:pPr>
              <w:jc w:val="center"/>
            </w:pPr>
            <w:r/>
            <w:r>
              <w:rPr>
                <w:rFonts w:ascii="Times New Roman" w:hAnsi="Times New Roman" w:eastAsia="Times New Roman"/>
                <w:b w:val="0"/>
                <w:i w:val="0"/>
                <w:sz w:val="17"/>
              </w:rPr>
              <w:t>Up to 98% (ML), 68% bal. acc. (DL)</w:t>
            </w:r>
          </w:p>
        </w:tc>
      </w:tr>
      <w:tr>
        <w:tc>
          <w:tcPr>
            <w:tcW w:type="dxa" w:w="1661"/>
          </w:tcPr>
          <w:p>
            <w:pPr>
              <w:jc w:val="left"/>
            </w:pPr>
            <w:r/>
            <w:r>
              <w:rPr>
                <w:rFonts w:ascii="Times New Roman" w:hAnsi="Times New Roman" w:eastAsia="Times New Roman"/>
                <w:b/>
                <w:i w:val="0"/>
                <w:sz w:val="17"/>
              </w:rPr>
              <w:t>[26]</w:t>
            </w:r>
          </w:p>
        </w:tc>
        <w:tc>
          <w:tcPr>
            <w:tcW w:type="dxa" w:w="1661"/>
          </w:tcPr>
          <w:p>
            <w:pPr>
              <w:jc w:val="center"/>
            </w:pPr>
            <w:r/>
            <w:r>
              <w:rPr>
                <w:rFonts w:ascii="Times New Roman" w:hAnsi="Times New Roman" w:eastAsia="Times New Roman"/>
                <w:b w:val="0"/>
                <w:i w:val="0"/>
                <w:sz w:val="17"/>
              </w:rPr>
              <w:t>On-device eye disease diagnosis</w:t>
            </w:r>
          </w:p>
        </w:tc>
        <w:tc>
          <w:tcPr>
            <w:tcW w:type="dxa" w:w="1661"/>
          </w:tcPr>
          <w:p>
            <w:pPr>
              <w:jc w:val="center"/>
            </w:pPr>
            <w:r/>
            <w:r>
              <w:rPr>
                <w:rFonts w:ascii="Times New Roman" w:hAnsi="Times New Roman" w:eastAsia="Times New Roman"/>
                <w:b w:val="0"/>
                <w:i w:val="0"/>
                <w:sz w:val="17"/>
              </w:rPr>
              <w:t>EfficientNetB0, lightweight SW/HW</w:t>
            </w:r>
          </w:p>
        </w:tc>
        <w:tc>
          <w:tcPr>
            <w:tcW w:type="dxa" w:w="1661"/>
          </w:tcPr>
          <w:p>
            <w:pPr>
              <w:jc w:val="center"/>
            </w:pPr>
            <w:r/>
            <w:r>
              <w:rPr>
                <w:rFonts w:ascii="Times New Roman" w:hAnsi="Times New Roman" w:eastAsia="Times New Roman"/>
                <w:b w:val="0"/>
                <w:i w:val="0"/>
                <w:sz w:val="17"/>
              </w:rPr>
              <w:t>Public fundus sets</w:t>
            </w:r>
          </w:p>
        </w:tc>
        <w:tc>
          <w:tcPr>
            <w:tcW w:type="dxa" w:w="1661"/>
          </w:tcPr>
          <w:p>
            <w:pPr>
              <w:jc w:val="center"/>
            </w:pPr>
            <w:r/>
            <w:r>
              <w:rPr>
                <w:rFonts w:ascii="Times New Roman" w:hAnsi="Times New Roman" w:eastAsia="Times New Roman"/>
                <w:b w:val="0"/>
                <w:i w:val="0"/>
                <w:sz w:val="17"/>
              </w:rPr>
              <w:t>Best-in-class among tested models</w:t>
            </w:r>
          </w:p>
        </w:tc>
      </w:tr>
      <w:tr>
        <w:tc>
          <w:tcPr>
            <w:tcW w:type="dxa" w:w="1661"/>
          </w:tcPr>
          <w:p>
            <w:pPr>
              <w:jc w:val="left"/>
            </w:pPr>
            <w:r/>
            <w:r>
              <w:rPr>
                <w:rFonts w:ascii="Times New Roman" w:hAnsi="Times New Roman" w:eastAsia="Times New Roman"/>
                <w:b/>
                <w:i w:val="0"/>
                <w:sz w:val="17"/>
              </w:rPr>
              <w:t>[27]</w:t>
            </w:r>
          </w:p>
        </w:tc>
        <w:tc>
          <w:tcPr>
            <w:tcW w:type="dxa" w:w="1661"/>
          </w:tcPr>
          <w:p>
            <w:pPr>
              <w:jc w:val="center"/>
            </w:pPr>
            <w:r/>
            <w:r>
              <w:rPr>
                <w:rFonts w:ascii="Times New Roman" w:hAnsi="Times New Roman" w:eastAsia="Times New Roman"/>
                <w:b w:val="0"/>
                <w:i w:val="0"/>
                <w:sz w:val="17"/>
              </w:rPr>
              <w:t>Early multi-disease detection</w:t>
            </w:r>
          </w:p>
        </w:tc>
        <w:tc>
          <w:tcPr>
            <w:tcW w:type="dxa" w:w="1661"/>
          </w:tcPr>
          <w:p>
            <w:pPr>
              <w:jc w:val="center"/>
            </w:pPr>
            <w:r/>
            <w:r>
              <w:rPr>
                <w:rFonts w:ascii="Times New Roman" w:hAnsi="Times New Roman" w:eastAsia="Times New Roman"/>
                <w:b w:val="0"/>
                <w:i w:val="0"/>
                <w:sz w:val="17"/>
              </w:rPr>
              <w:t>DenseNet201 (fine-tuned)</w:t>
            </w:r>
          </w:p>
        </w:tc>
        <w:tc>
          <w:tcPr>
            <w:tcW w:type="dxa" w:w="1661"/>
          </w:tcPr>
          <w:p>
            <w:pPr>
              <w:jc w:val="center"/>
            </w:pPr>
            <w:r/>
            <w:r>
              <w:rPr>
                <w:rFonts w:ascii="Times New Roman" w:hAnsi="Times New Roman" w:eastAsia="Times New Roman"/>
                <w:b w:val="0"/>
                <w:i w:val="0"/>
                <w:sz w:val="17"/>
              </w:rPr>
              <w:t>3,848 images, U. of Gondar</w:t>
            </w:r>
          </w:p>
        </w:tc>
        <w:tc>
          <w:tcPr>
            <w:tcW w:type="dxa" w:w="1661"/>
          </w:tcPr>
          <w:p>
            <w:pPr>
              <w:jc w:val="center"/>
            </w:pPr>
            <w:r/>
            <w:r>
              <w:rPr>
                <w:rFonts w:ascii="Times New Roman" w:hAnsi="Times New Roman" w:eastAsia="Times New Roman"/>
                <w:b w:val="0"/>
                <w:i w:val="0"/>
                <w:sz w:val="17"/>
              </w:rPr>
              <w:t>92.78% acc.; F1 0.86–0.98</w:t>
            </w:r>
          </w:p>
        </w:tc>
      </w:tr>
      <w:tr>
        <w:tc>
          <w:tcPr>
            <w:tcW w:type="dxa" w:w="1661"/>
          </w:tcPr>
          <w:p>
            <w:pPr>
              <w:jc w:val="left"/>
            </w:pPr>
            <w:r/>
            <w:r>
              <w:rPr>
                <w:rFonts w:ascii="Times New Roman" w:hAnsi="Times New Roman" w:eastAsia="Times New Roman"/>
                <w:b/>
                <w:i w:val="0"/>
                <w:sz w:val="17"/>
              </w:rPr>
              <w:t>[28]</w:t>
            </w:r>
          </w:p>
        </w:tc>
        <w:tc>
          <w:tcPr>
            <w:tcW w:type="dxa" w:w="1661"/>
          </w:tcPr>
          <w:p>
            <w:pPr>
              <w:jc w:val="center"/>
            </w:pPr>
            <w:r/>
            <w:r>
              <w:rPr>
                <w:rFonts w:ascii="Times New Roman" w:hAnsi="Times New Roman" w:eastAsia="Times New Roman"/>
                <w:b w:val="0"/>
                <w:i w:val="0"/>
                <w:sz w:val="17"/>
              </w:rPr>
              <w:t>CVD/stroke prediction (scoping review)</w:t>
            </w:r>
          </w:p>
        </w:tc>
        <w:tc>
          <w:tcPr>
            <w:tcW w:type="dxa" w:w="1661"/>
          </w:tcPr>
          <w:p>
            <w:pPr>
              <w:jc w:val="center"/>
            </w:pPr>
            <w:r/>
            <w:r>
              <w:rPr>
                <w:rFonts w:ascii="Times New Roman" w:hAnsi="Times New Roman" w:eastAsia="Times New Roman"/>
                <w:b w:val="0"/>
                <w:i w:val="0"/>
                <w:sz w:val="17"/>
              </w:rPr>
              <w:t>Cross-study synthesis</w:t>
            </w:r>
          </w:p>
        </w:tc>
        <w:tc>
          <w:tcPr>
            <w:tcW w:type="dxa" w:w="1661"/>
          </w:tcPr>
          <w:p>
            <w:pPr>
              <w:jc w:val="center"/>
            </w:pPr>
            <w:r/>
            <w:r>
              <w:rPr>
                <w:rFonts w:ascii="Times New Roman" w:hAnsi="Times New Roman" w:eastAsia="Times New Roman"/>
                <w:b w:val="0"/>
                <w:i w:val="0"/>
                <w:sz w:val="17"/>
              </w:rPr>
              <w:t>Multiple cohorts, review</w:t>
            </w:r>
          </w:p>
        </w:tc>
        <w:tc>
          <w:tcPr>
            <w:tcW w:type="dxa" w:w="1661"/>
          </w:tcPr>
          <w:p>
            <w:pPr>
              <w:jc w:val="center"/>
            </w:pPr>
            <w:r/>
            <w:r>
              <w:rPr>
                <w:rFonts w:ascii="Times New Roman" w:hAnsi="Times New Roman" w:eastAsia="Times New Roman"/>
                <w:b w:val="0"/>
                <w:i w:val="0"/>
                <w:sz w:val="17"/>
              </w:rPr>
              <w:t>Inconsistent reporting noted</w:t>
            </w:r>
          </w:p>
        </w:tc>
      </w:tr>
      <w:tr>
        <w:tc>
          <w:tcPr>
            <w:tcW w:type="dxa" w:w="1661"/>
          </w:tcPr>
          <w:p>
            <w:pPr>
              <w:jc w:val="left"/>
            </w:pPr>
            <w:r/>
            <w:r>
              <w:rPr>
                <w:rFonts w:ascii="Times New Roman" w:hAnsi="Times New Roman" w:eastAsia="Times New Roman"/>
                <w:b/>
                <w:i w:val="0"/>
                <w:sz w:val="17"/>
              </w:rPr>
              <w:t>[29]</w:t>
            </w:r>
          </w:p>
        </w:tc>
        <w:tc>
          <w:tcPr>
            <w:tcW w:type="dxa" w:w="1661"/>
          </w:tcPr>
          <w:p>
            <w:pPr>
              <w:jc w:val="center"/>
            </w:pPr>
            <w:r/>
            <w:r>
              <w:rPr>
                <w:rFonts w:ascii="Times New Roman" w:hAnsi="Times New Roman" w:eastAsia="Times New Roman"/>
                <w:b w:val="0"/>
                <w:i w:val="0"/>
                <w:sz w:val="17"/>
              </w:rPr>
              <w:t>MuReD dataset construction</w:t>
            </w:r>
          </w:p>
        </w:tc>
        <w:tc>
          <w:tcPr>
            <w:tcW w:type="dxa" w:w="1661"/>
          </w:tcPr>
          <w:p>
            <w:pPr>
              <w:jc w:val="center"/>
            </w:pPr>
            <w:r/>
            <w:r>
              <w:rPr>
                <w:rFonts w:ascii="Times New Roman" w:hAnsi="Times New Roman" w:eastAsia="Times New Roman"/>
                <w:b w:val="0"/>
                <w:i w:val="0"/>
                <w:sz w:val="17"/>
              </w:rPr>
              <w:t>ARIA + STARE + RFMiD aggregation</w:t>
            </w:r>
          </w:p>
        </w:tc>
        <w:tc>
          <w:tcPr>
            <w:tcW w:type="dxa" w:w="1661"/>
          </w:tcPr>
          <w:p>
            <w:pPr>
              <w:jc w:val="center"/>
            </w:pPr>
            <w:r/>
            <w:r>
              <w:rPr>
                <w:rFonts w:ascii="Times New Roman" w:hAnsi="Times New Roman" w:eastAsia="Times New Roman"/>
                <w:b w:val="0"/>
                <w:i w:val="0"/>
                <w:sz w:val="17"/>
              </w:rPr>
              <w:t>2,208 images, 20 labels</w:t>
            </w:r>
          </w:p>
        </w:tc>
        <w:tc>
          <w:tcPr>
            <w:tcW w:type="dxa" w:w="1661"/>
          </w:tcPr>
          <w:p>
            <w:pPr>
              <w:jc w:val="center"/>
            </w:pPr>
            <w:r/>
            <w:r>
              <w:rPr>
                <w:rFonts w:ascii="Times New Roman" w:hAnsi="Times New Roman" w:eastAsia="Times New Roman"/>
                <w:b w:val="0"/>
                <w:i w:val="0"/>
                <w:sz w:val="17"/>
              </w:rPr>
              <w:t>Transformer baseline: +7.9–8.1% AUC vs. SOTA</w:t>
            </w:r>
          </w:p>
        </w:tc>
      </w:tr>
      <w:tr>
        <w:tc>
          <w:tcPr>
            <w:tcW w:type="dxa" w:w="1661"/>
          </w:tcPr>
          <w:p>
            <w:pPr>
              <w:jc w:val="left"/>
            </w:pPr>
            <w:r/>
            <w:r>
              <w:rPr>
                <w:rFonts w:ascii="Times New Roman" w:hAnsi="Times New Roman" w:eastAsia="Times New Roman"/>
                <w:b/>
                <w:i w:val="0"/>
                <w:sz w:val="17"/>
              </w:rPr>
              <w:t>—</w:t>
            </w:r>
          </w:p>
        </w:tc>
        <w:tc>
          <w:tcPr>
            <w:tcW w:type="dxa" w:w="1661"/>
          </w:tcPr>
          <w:p>
            <w:pPr>
              <w:jc w:val="center"/>
            </w:pPr>
            <w:r/>
            <w:r>
              <w:rPr>
                <w:rFonts w:ascii="Times New Roman" w:hAnsi="Times New Roman" w:eastAsia="Times New Roman"/>
                <w:b w:val="0"/>
                <w:i w:val="0"/>
                <w:sz w:val="17"/>
              </w:rPr>
              <w:t>This work (proposed system)</w:t>
            </w:r>
          </w:p>
        </w:tc>
        <w:tc>
          <w:tcPr>
            <w:tcW w:type="dxa" w:w="1661"/>
          </w:tcPr>
          <w:p>
            <w:pPr>
              <w:jc w:val="center"/>
            </w:pPr>
            <w:r/>
            <w:r>
              <w:rPr>
                <w:rFonts w:ascii="Times New Roman" w:hAnsi="Times New Roman" w:eastAsia="Times New Roman"/>
                <w:b w:val="0"/>
                <w:i w:val="0"/>
                <w:sz w:val="17"/>
              </w:rPr>
              <w:t>RETFound ViT-L + synergistic late fusion</w:t>
            </w:r>
          </w:p>
        </w:tc>
        <w:tc>
          <w:tcPr>
            <w:tcW w:type="dxa" w:w="1661"/>
          </w:tcPr>
          <w:p>
            <w:pPr>
              <w:jc w:val="center"/>
            </w:pPr>
            <w:r/>
            <w:r>
              <w:rPr>
                <w:rFonts w:ascii="Times New Roman" w:hAnsi="Times New Roman" w:eastAsia="Times New Roman"/>
                <w:b w:val="0"/>
                <w:i w:val="0"/>
                <w:sz w:val="17"/>
              </w:rPr>
              <w:t>China Fundus–CIMT + MuReD (this project)</w:t>
            </w:r>
          </w:p>
        </w:tc>
        <w:tc>
          <w:tcPr>
            <w:tcW w:type="dxa" w:w="1661"/>
          </w:tcPr>
          <w:p>
            <w:pPr>
              <w:jc w:val="center"/>
            </w:pPr>
            <w:r/>
            <w:r>
              <w:rPr>
                <w:rFonts w:ascii="Times New Roman" w:hAnsi="Times New Roman" w:eastAsia="Times New Roman"/>
                <w:b w:val="0"/>
                <w:i w:val="0"/>
                <w:sz w:val="17"/>
              </w:rPr>
              <w:t>95.00% acc., 0.9855 AUROC (Tier 3 triage)</w:t>
            </w:r>
          </w:p>
        </w:tc>
      </w:tr>
    </w:tbl>
    <w:p/>
    <w:p>
      <w:pPr>
        <w:spacing w:after="120" w:line="360" w:lineRule="auto"/>
        <w:jc w:val="both"/>
      </w:pPr>
      <w:r>
        <w:rPr>
          <w:rFonts w:ascii="Times New Roman" w:hAnsi="Times New Roman" w:eastAsia="Times New Roman"/>
          <w:b w:val="0"/>
          <w:i w:val="0"/>
          <w:sz w:val="24"/>
        </w:rPr>
        <w:t>Metrics in Table 2.1 come from different datasets, tasks and protocols and are not directly comparable; the table is intended to show the landscape of methods rather than a head-to-head ranking.</w:t>
      </w:r>
    </w:p>
    <w:p>
      <w:pPr>
        <w:spacing w:after="80" w:line="360" w:lineRule="auto"/>
        <w:jc w:val="left"/>
      </w:pPr>
      <w:r>
        <w:rPr>
          <w:rFonts w:ascii="Times New Roman" w:hAnsi="Times New Roman" w:eastAsia="Times New Roman"/>
          <w:b/>
          <w:i w:val="0"/>
          <w:sz w:val="26"/>
        </w:rPr>
        <w:t>2.3 Summary</w:t>
      </w:r>
    </w:p>
    <w:p>
      <w:pPr>
        <w:spacing w:after="120" w:line="360" w:lineRule="auto"/>
        <w:jc w:val="both"/>
      </w:pPr>
      <w:r>
        <w:rPr>
          <w:rFonts w:ascii="Times New Roman" w:hAnsi="Times New Roman" w:eastAsia="Times New Roman"/>
          <w:b w:val="0"/>
          <w:i w:val="0"/>
          <w:sz w:val="24"/>
        </w:rPr>
        <w:t>The survey shows that (i) the retina carries both ocular and cardiovascular information, (ii) foundation models such as RETFound are label-efficient for small clinical cohorts, and (iii) multi-head networks handle co-existing retinal diseases well. However, ocular screening and cardiovascular risk are usually studied separately, continuous CIMT estimation is rare, explainability is inconsistently provided, and evaluation protocols vary widely. These gaps motivate a unified, explainable, patient-level-validated system.</w:t>
      </w:r>
    </w:p>
    <w:p>
      <w:r>
        <w:br w:type="page"/>
      </w:r>
    </w:p>
    <w:p>
      <w:pPr>
        <w:spacing w:after="0" w:line="360" w:lineRule="auto"/>
        <w:jc w:val="center"/>
      </w:pPr>
      <w:r>
        <w:rPr>
          <w:rFonts w:ascii="Times New Roman" w:hAnsi="Times New Roman" w:eastAsia="Times New Roman"/>
          <w:b/>
          <w:i w:val="0"/>
          <w:sz w:val="28"/>
        </w:rPr>
        <w:t>CHAPTER 3</w:t>
      </w:r>
    </w:p>
    <w:p>
      <w:pPr>
        <w:spacing w:after="240" w:line="360" w:lineRule="auto"/>
        <w:jc w:val="center"/>
      </w:pPr>
      <w:r>
        <w:rPr>
          <w:rFonts w:ascii="Times New Roman" w:hAnsi="Times New Roman" w:eastAsia="Times New Roman"/>
          <w:b/>
          <w:i w:val="0"/>
          <w:sz w:val="28"/>
        </w:rPr>
        <w:t>MOTIVATION</w:t>
      </w:r>
    </w:p>
    <w:p>
      <w:pPr>
        <w:spacing w:after="80" w:line="360" w:lineRule="auto"/>
        <w:jc w:val="left"/>
      </w:pPr>
      <w:r>
        <w:rPr>
          <w:rFonts w:ascii="Times New Roman" w:hAnsi="Times New Roman" w:eastAsia="Times New Roman"/>
          <w:b/>
          <w:i w:val="0"/>
          <w:sz w:val="26"/>
        </w:rPr>
        <w:t>3.1 Background and Need for the Study</w:t>
      </w:r>
    </w:p>
    <w:p>
      <w:pPr>
        <w:spacing w:after="120" w:line="360" w:lineRule="auto"/>
        <w:jc w:val="both"/>
      </w:pPr>
      <w:r>
        <w:rPr>
          <w:rFonts w:ascii="Times New Roman" w:hAnsi="Times New Roman" w:eastAsia="Times New Roman"/>
          <w:b w:val="0"/>
          <w:i w:val="0"/>
          <w:sz w:val="24"/>
        </w:rPr>
        <w:t>Atherosclerosis develops silently for years before causing stroke or heart attack. Detecting carotid wall thickening early allows lifestyle change and preventive therapy (blood-pressure and lipid control). Population-scale ultrasound screening is impractical, whereas fundus photography is already routine in diabetic and optometric care. A tool that extracts cardiovascular information from an existing eye photograph could extend screening to many more people at little extra cost.</w:t>
      </w:r>
    </w:p>
    <w:p>
      <w:pPr>
        <w:spacing w:after="80" w:line="360" w:lineRule="auto"/>
        <w:jc w:val="left"/>
      </w:pPr>
      <w:r>
        <w:rPr>
          <w:rFonts w:ascii="Times New Roman" w:hAnsi="Times New Roman" w:eastAsia="Times New Roman"/>
          <w:b/>
          <w:i w:val="0"/>
          <w:sz w:val="26"/>
        </w:rPr>
        <w:t>3.2 Challenges in Existing Screening Methods</w:t>
      </w:r>
    </w:p>
    <w:p>
      <w:pPr>
        <w:spacing w:line="360" w:lineRule="auto" w:after="60"/>
        <w:ind w:left="432" w:hanging="288"/>
        <w:jc w:val="both"/>
      </w:pPr>
      <w:r>
        <w:rPr>
          <w:rFonts w:ascii="Times New Roman" w:hAnsi="Times New Roman" w:eastAsia="Times New Roman"/>
          <w:b w:val="0"/>
          <w:i w:val="0"/>
          <w:sz w:val="24"/>
        </w:rPr>
        <w:t>•  Cost and access: carotid ultrasound needs dedicated hardware and a trained sonographer.</w:t>
      </w:r>
    </w:p>
    <w:p>
      <w:pPr>
        <w:spacing w:line="360" w:lineRule="auto" w:after="60"/>
        <w:ind w:left="432" w:hanging="288"/>
        <w:jc w:val="both"/>
      </w:pPr>
      <w:r>
        <w:rPr>
          <w:rFonts w:ascii="Times New Roman" w:hAnsi="Times New Roman" w:eastAsia="Times New Roman"/>
          <w:b w:val="0"/>
          <w:i w:val="0"/>
          <w:sz w:val="24"/>
        </w:rPr>
        <w:t>•  Measurement variability: CIMT is measured with manual or semi-automatic calipers; readings near the 0.90 mm cut-off are sensitive to probe angle and operator.</w:t>
      </w:r>
    </w:p>
    <w:p>
      <w:pPr>
        <w:spacing w:line="360" w:lineRule="auto" w:after="60"/>
        <w:ind w:left="432" w:hanging="288"/>
        <w:jc w:val="both"/>
      </w:pPr>
      <w:r>
        <w:rPr>
          <w:rFonts w:ascii="Times New Roman" w:hAnsi="Times New Roman" w:eastAsia="Times New Roman"/>
          <w:b w:val="0"/>
          <w:i w:val="0"/>
          <w:sz w:val="24"/>
        </w:rPr>
        <w:t>•  Fragmented care: eye screening and cardiovascular screening are performed in separate clinics with separate referrals.</w:t>
      </w:r>
    </w:p>
    <w:p>
      <w:pPr>
        <w:spacing w:line="360" w:lineRule="auto" w:after="60"/>
        <w:ind w:left="432" w:hanging="288"/>
        <w:jc w:val="both"/>
      </w:pPr>
      <w:r>
        <w:rPr>
          <w:rFonts w:ascii="Times New Roman" w:hAnsi="Times New Roman" w:eastAsia="Times New Roman"/>
          <w:b w:val="0"/>
          <w:i w:val="0"/>
          <w:sz w:val="24"/>
        </w:rPr>
        <w:t>•  AI limitations: CNNs pretrained on natural images transfer imperfectly to subtle vessel changes; small cohorts cause over-fitting; most models are not explainable.</w:t>
      </w:r>
    </w:p>
    <w:p>
      <w:pPr>
        <w:spacing w:after="80" w:line="360" w:lineRule="auto"/>
        <w:jc w:val="left"/>
      </w:pPr>
      <w:r>
        <w:rPr>
          <w:rFonts w:ascii="Times New Roman" w:hAnsi="Times New Roman" w:eastAsia="Times New Roman"/>
          <w:b/>
          <w:i w:val="0"/>
          <w:sz w:val="26"/>
        </w:rPr>
        <w:t>3.3 Problem Identification</w:t>
      </w:r>
    </w:p>
    <w:p>
      <w:pPr>
        <w:spacing w:after="120" w:line="360" w:lineRule="auto"/>
        <w:jc w:val="both"/>
      </w:pPr>
      <w:r>
        <w:rPr>
          <w:rFonts w:ascii="Times New Roman" w:hAnsi="Times New Roman" w:eastAsia="Times New Roman"/>
          <w:b w:val="0"/>
          <w:i w:val="0"/>
          <w:sz w:val="24"/>
        </w:rPr>
        <w:t>Three specific problems were identified during this work: (1) a deep MLP head on 1,024/2,048-dimensional RETFound features over-fitted the 2,603-patient training set and plateaued near 75% test accuracy; (2) labels close to 0.90 mm are inherently ambiguous; and (3) an early version of the report generator produced contradictory statements (e.g., describing a 0.95 mm CIMT as 'normal') because it used a single risk flag.</w:t>
      </w:r>
    </w:p>
    <w:p>
      <w:pPr>
        <w:spacing w:after="80" w:line="360" w:lineRule="auto"/>
        <w:jc w:val="left"/>
      </w:pPr>
      <w:r>
        <w:rPr>
          <w:rFonts w:ascii="Times New Roman" w:hAnsi="Times New Roman" w:eastAsia="Times New Roman"/>
          <w:b/>
          <w:i w:val="0"/>
          <w:sz w:val="26"/>
        </w:rPr>
        <w:t>3.4 Motivation for the Proposed Work</w:t>
      </w:r>
    </w:p>
    <w:p>
      <w:pPr>
        <w:spacing w:after="120" w:line="360" w:lineRule="auto"/>
        <w:jc w:val="both"/>
      </w:pPr>
      <w:r>
        <w:rPr>
          <w:rFonts w:ascii="Times New Roman" w:hAnsi="Times New Roman" w:eastAsia="Times New Roman"/>
          <w:b w:val="0"/>
          <w:i w:val="0"/>
          <w:sz w:val="24"/>
        </w:rPr>
        <w:t>The motivation is to make one routine fundus photograph do the work of two screenings—eye disease and carotid atherosclerosis—while being transparent about how each output was produced, so that clinicians can trust and verify it.</w:t>
      </w:r>
    </w:p>
    <w:p>
      <w:pPr>
        <w:spacing w:after="80" w:line="360" w:lineRule="auto"/>
        <w:jc w:val="left"/>
      </w:pPr>
      <w:r>
        <w:rPr>
          <w:rFonts w:ascii="Times New Roman" w:hAnsi="Times New Roman" w:eastAsia="Times New Roman"/>
          <w:b/>
          <w:i w:val="0"/>
          <w:sz w:val="26"/>
        </w:rPr>
        <w:t>3.5 Significance of the Proposed Framework</w:t>
      </w:r>
    </w:p>
    <w:p>
      <w:pPr>
        <w:spacing w:line="360" w:lineRule="auto" w:after="60"/>
        <w:ind w:left="432" w:hanging="288"/>
        <w:jc w:val="both"/>
      </w:pPr>
      <w:r>
        <w:rPr>
          <w:rFonts w:ascii="Times New Roman" w:hAnsi="Times New Roman" w:eastAsia="Times New Roman"/>
          <w:b w:val="0"/>
          <w:i w:val="0"/>
          <w:sz w:val="24"/>
        </w:rPr>
        <w:t>•  Non-invasive, low-cost triage that can prioritise patients for confirmatory carotid ultrasound.</w:t>
      </w:r>
    </w:p>
    <w:p>
      <w:pPr>
        <w:spacing w:line="360" w:lineRule="auto" w:after="60"/>
        <w:ind w:left="432" w:hanging="288"/>
        <w:jc w:val="both"/>
      </w:pPr>
      <w:r>
        <w:rPr>
          <w:rFonts w:ascii="Times New Roman" w:hAnsi="Times New Roman" w:eastAsia="Times New Roman"/>
          <w:b w:val="0"/>
          <w:i w:val="0"/>
          <w:sz w:val="24"/>
        </w:rPr>
        <w:t>•  Simultaneous detection of five retinal conditions from the same image.</w:t>
      </w:r>
    </w:p>
    <w:p>
      <w:pPr>
        <w:spacing w:line="360" w:lineRule="auto" w:after="60"/>
        <w:ind w:left="432" w:hanging="288"/>
        <w:jc w:val="both"/>
      </w:pPr>
      <w:r>
        <w:rPr>
          <w:rFonts w:ascii="Times New Roman" w:hAnsi="Times New Roman" w:eastAsia="Times New Roman"/>
          <w:b w:val="0"/>
          <w:i w:val="0"/>
          <w:sz w:val="24"/>
        </w:rPr>
        <w:t>•  Continuous CIMT estimate (mm) rather than only a binary label.</w:t>
      </w:r>
    </w:p>
    <w:p>
      <w:pPr>
        <w:spacing w:line="360" w:lineRule="auto" w:after="60"/>
        <w:ind w:left="432" w:hanging="288"/>
        <w:jc w:val="both"/>
      </w:pPr>
      <w:r>
        <w:rPr>
          <w:rFonts w:ascii="Times New Roman" w:hAnsi="Times New Roman" w:eastAsia="Times New Roman"/>
          <w:b w:val="0"/>
          <w:i w:val="0"/>
          <w:sz w:val="24"/>
        </w:rPr>
        <w:t>•  Explainable outputs (Grad-CAM localisation and a rule-based, non-contradictory report).</w:t>
      </w:r>
    </w:p>
    <w:p>
      <w:pPr>
        <w:spacing w:line="360" w:lineRule="auto" w:after="60"/>
        <w:ind w:left="432" w:hanging="288"/>
        <w:jc w:val="both"/>
      </w:pPr>
      <w:r>
        <w:rPr>
          <w:rFonts w:ascii="Times New Roman" w:hAnsi="Times New Roman" w:eastAsia="Times New Roman"/>
          <w:b w:val="0"/>
          <w:i w:val="0"/>
          <w:sz w:val="24"/>
        </w:rPr>
        <w:t>•  Rigorous evaluation: patient-level splits, ablation against demographics, and transparent three-tier reporting.</w:t>
      </w:r>
    </w:p>
    <w:p>
      <w:r>
        <w:br w:type="page"/>
      </w:r>
    </w:p>
    <w:p>
      <w:pPr>
        <w:spacing w:after="0" w:line="360" w:lineRule="auto"/>
        <w:jc w:val="center"/>
      </w:pPr>
      <w:r>
        <w:rPr>
          <w:rFonts w:ascii="Times New Roman" w:hAnsi="Times New Roman" w:eastAsia="Times New Roman"/>
          <w:b/>
          <w:i w:val="0"/>
          <w:sz w:val="28"/>
        </w:rPr>
        <w:t>CHAPTER 4</w:t>
      </w:r>
    </w:p>
    <w:p>
      <w:pPr>
        <w:spacing w:after="240" w:line="360" w:lineRule="auto"/>
        <w:jc w:val="center"/>
      </w:pPr>
      <w:r>
        <w:rPr>
          <w:rFonts w:ascii="Times New Roman" w:hAnsi="Times New Roman" w:eastAsia="Times New Roman"/>
          <w:b/>
          <w:i w:val="0"/>
          <w:sz w:val="28"/>
        </w:rPr>
        <w:t>PROPOSED METHODOLOGY</w:t>
      </w:r>
    </w:p>
    <w:p>
      <w:pPr>
        <w:spacing w:after="80" w:line="360" w:lineRule="auto"/>
        <w:jc w:val="left"/>
      </w:pPr>
      <w:r>
        <w:rPr>
          <w:rFonts w:ascii="Times New Roman" w:hAnsi="Times New Roman" w:eastAsia="Times New Roman"/>
          <w:b/>
          <w:i w:val="0"/>
          <w:sz w:val="26"/>
        </w:rPr>
        <w:t>4.1 Overview of the Proposed System</w:t>
      </w:r>
    </w:p>
    <w:p>
      <w:pPr>
        <w:spacing w:after="120" w:line="360" w:lineRule="auto"/>
        <w:jc w:val="both"/>
      </w:pPr>
      <w:r>
        <w:rPr>
          <w:rFonts w:ascii="Times New Roman" w:hAnsi="Times New Roman" w:eastAsia="Times New Roman"/>
          <w:b w:val="0"/>
          <w:i w:val="0"/>
          <w:sz w:val="24"/>
        </w:rPr>
        <w:t>The system is a dual-branch, transfer-learning pipeline. A frozen RETFound ViT-Large encoder converts each fundus image into a 1,024-dimensional feature vector. Branch A applies five logistic-regression heads (trained on MuReD) to estimate retinal disease probabilities. Branch B applies regularised linear models (trained on the Fundus–CIMT cohort) to estimate CIMT in millimetres, retinal age and sex, and CVD risk through calibrated late fusion of image and demographic information. A Grad-CAM module produces a heatmap from transformer block 20, and a four-state engine composes the clinical report.</w:t>
      </w:r>
    </w:p>
    <w:p>
      <w:pPr>
        <w:spacing w:after="80" w:line="360" w:lineRule="auto"/>
        <w:jc w:val="left"/>
      </w:pPr>
      <w:r>
        <w:rPr>
          <w:rFonts w:ascii="Times New Roman" w:hAnsi="Times New Roman" w:eastAsia="Times New Roman"/>
          <w:b/>
          <w:i w:val="0"/>
          <w:sz w:val="26"/>
        </w:rPr>
        <w:t>4.2 System Workflow</w:t>
      </w:r>
    </w:p>
    <w:p>
      <w:pPr>
        <w:jc w:val="center"/>
      </w:pPr>
      <w:r>
        <w:drawing>
          <wp:inline xmlns:a="http://schemas.openxmlformats.org/drawingml/2006/main" xmlns:pic="http://schemas.openxmlformats.org/drawingml/2006/picture">
            <wp:extent cx="5486400" cy="3872753"/>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872753"/>
                    </a:xfrm>
                    <a:prstGeom prst="rect"/>
                  </pic:spPr>
                </pic:pic>
              </a:graphicData>
            </a:graphic>
          </wp:inline>
        </w:drawing>
      </w:r>
    </w:p>
    <w:p>
      <w:pPr>
        <w:spacing w:after="200" w:line="360" w:lineRule="auto"/>
        <w:jc w:val="center"/>
      </w:pPr>
      <w:r>
        <w:rPr>
          <w:rFonts w:ascii="Times New Roman" w:hAnsi="Times New Roman" w:eastAsia="Times New Roman"/>
          <w:b/>
          <w:i w:val="0"/>
          <w:sz w:val="20"/>
        </w:rPr>
        <w:t>Figure 4.1  End-to-end workflow of the proposed dual-branch system</w:t>
      </w:r>
    </w:p>
    <w:p>
      <w:pPr>
        <w:spacing w:line="360" w:lineRule="auto" w:after="60"/>
        <w:ind w:left="432" w:hanging="288"/>
        <w:jc w:val="both"/>
      </w:pPr>
      <w:r>
        <w:rPr>
          <w:rFonts w:ascii="Times New Roman" w:hAnsi="Times New Roman" w:eastAsia="Times New Roman"/>
          <w:b w:val="0"/>
          <w:i w:val="0"/>
          <w:sz w:val="24"/>
        </w:rPr>
        <w:t>•  Input: fundus image (upload) and optional age/sex (manual) – otherwise age and sex are predicted from the retina.</w:t>
      </w:r>
    </w:p>
    <w:p>
      <w:pPr>
        <w:spacing w:line="360" w:lineRule="auto" w:after="60"/>
        <w:ind w:left="432" w:hanging="288"/>
        <w:jc w:val="both"/>
      </w:pPr>
      <w:r>
        <w:rPr>
          <w:rFonts w:ascii="Times New Roman" w:hAnsi="Times New Roman" w:eastAsia="Times New Roman"/>
          <w:b w:val="0"/>
          <w:i w:val="0"/>
          <w:sz w:val="24"/>
        </w:rPr>
        <w:t>•  Preprocessing: field-of-view masking, resize to 224×224, ImageNet normalisation.</w:t>
      </w:r>
    </w:p>
    <w:p>
      <w:pPr>
        <w:spacing w:line="360" w:lineRule="auto" w:after="60"/>
        <w:ind w:left="432" w:hanging="288"/>
        <w:jc w:val="both"/>
      </w:pPr>
      <w:r>
        <w:rPr>
          <w:rFonts w:ascii="Times New Roman" w:hAnsi="Times New Roman" w:eastAsia="Times New Roman"/>
          <w:b w:val="0"/>
          <w:i w:val="0"/>
          <w:sz w:val="24"/>
        </w:rPr>
        <w:t>•  Feature extraction: frozen RETFound ViT-L → 1,024-D embedding.</w:t>
      </w:r>
    </w:p>
    <w:p>
      <w:pPr>
        <w:spacing w:line="360" w:lineRule="auto" w:after="60"/>
        <w:ind w:left="432" w:hanging="288"/>
        <w:jc w:val="both"/>
      </w:pPr>
      <w:r>
        <w:rPr>
          <w:rFonts w:ascii="Times New Roman" w:hAnsi="Times New Roman" w:eastAsia="Times New Roman"/>
          <w:b w:val="0"/>
          <w:i w:val="0"/>
          <w:sz w:val="24"/>
        </w:rPr>
        <w:t>•  Branch A: five MuReD disease heads → probabilities.</w:t>
      </w:r>
    </w:p>
    <w:p>
      <w:pPr>
        <w:spacing w:line="360" w:lineRule="auto" w:after="60"/>
        <w:ind w:left="432" w:hanging="288"/>
        <w:jc w:val="both"/>
      </w:pPr>
      <w:r>
        <w:rPr>
          <w:rFonts w:ascii="Times New Roman" w:hAnsi="Times New Roman" w:eastAsia="Times New Roman"/>
          <w:b w:val="0"/>
          <w:i w:val="0"/>
          <w:sz w:val="24"/>
        </w:rPr>
        <w:t>•  Branch B: CIMT ridge regressor, age/sex heads, retina probe + demographic probe → fused CVD risk.</w:t>
      </w:r>
    </w:p>
    <w:p>
      <w:pPr>
        <w:spacing w:line="360" w:lineRule="auto" w:after="60"/>
        <w:ind w:left="432" w:hanging="288"/>
        <w:jc w:val="both"/>
      </w:pPr>
      <w:r>
        <w:rPr>
          <w:rFonts w:ascii="Times New Roman" w:hAnsi="Times New Roman" w:eastAsia="Times New Roman"/>
          <w:b w:val="0"/>
          <w:i w:val="0"/>
          <w:sz w:val="24"/>
        </w:rPr>
        <w:t>•  Explainability: Grad-CAM on block 20 → heatmap, peak location, quadrant.</w:t>
      </w:r>
    </w:p>
    <w:p>
      <w:pPr>
        <w:spacing w:line="360" w:lineRule="auto" w:after="60"/>
        <w:ind w:left="432" w:hanging="288"/>
        <w:jc w:val="both"/>
      </w:pPr>
      <w:r>
        <w:rPr>
          <w:rFonts w:ascii="Times New Roman" w:hAnsi="Times New Roman" w:eastAsia="Times New Roman"/>
          <w:b w:val="0"/>
          <w:i w:val="0"/>
          <w:sz w:val="24"/>
        </w:rPr>
        <w:t>•  Report: four-state decision matrix → findings, layman summary, referrals.</w:t>
      </w:r>
    </w:p>
    <w:p>
      <w:pPr>
        <w:spacing w:after="80" w:line="360" w:lineRule="auto"/>
        <w:jc w:val="left"/>
      </w:pPr>
      <w:r>
        <w:rPr>
          <w:rFonts w:ascii="Times New Roman" w:hAnsi="Times New Roman" w:eastAsia="Times New Roman"/>
          <w:b/>
          <w:i w:val="0"/>
          <w:sz w:val="26"/>
        </w:rPr>
        <w:t>4.3 Dataset Description</w:t>
      </w:r>
    </w:p>
    <w:p>
      <w:pPr>
        <w:spacing w:after="200" w:line="360" w:lineRule="auto"/>
        <w:jc w:val="center"/>
      </w:pPr>
      <w:r>
        <w:rPr>
          <w:rFonts w:ascii="Times New Roman" w:hAnsi="Times New Roman" w:eastAsia="Times New Roman"/>
          <w:b/>
          <w:i w:val="0"/>
          <w:sz w:val="20"/>
        </w:rPr>
        <w:t>TABLE 4.1  Datasets Used and Patient-Level Splits</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384"/>
        <w:gridCol w:w="1384"/>
        <w:gridCol w:w="1384"/>
        <w:gridCol w:w="1384"/>
        <w:gridCol w:w="1384"/>
        <w:gridCol w:w="1384"/>
      </w:tblGrid>
      <w:tr>
        <w:tc>
          <w:tcPr>
            <w:tcW w:type="dxa" w:w="1384"/>
            <w:shd w:val="clear" w:fill="D9E2F3"/>
          </w:tcPr>
          <w:p>
            <w:pPr>
              <w:jc w:val="center"/>
            </w:pPr>
            <w:r/>
            <w:r>
              <w:rPr>
                <w:rFonts w:ascii="Times New Roman" w:hAnsi="Times New Roman" w:eastAsia="Times New Roman"/>
                <w:b/>
                <w:i w:val="0"/>
                <w:sz w:val="19"/>
              </w:rPr>
              <w:t>Dataset</w:t>
            </w:r>
          </w:p>
        </w:tc>
        <w:tc>
          <w:tcPr>
            <w:tcW w:type="dxa" w:w="1384"/>
            <w:shd w:val="clear" w:fill="D9E2F3"/>
          </w:tcPr>
          <w:p>
            <w:pPr>
              <w:jc w:val="center"/>
            </w:pPr>
            <w:r/>
            <w:r>
              <w:rPr>
                <w:rFonts w:ascii="Times New Roman" w:hAnsi="Times New Roman" w:eastAsia="Times New Roman"/>
                <w:b/>
                <w:i w:val="0"/>
                <w:sz w:val="19"/>
              </w:rPr>
              <w:t>Content and labels</w:t>
            </w:r>
          </w:p>
        </w:tc>
        <w:tc>
          <w:tcPr>
            <w:tcW w:type="dxa" w:w="1384"/>
            <w:shd w:val="clear" w:fill="D9E2F3"/>
          </w:tcPr>
          <w:p>
            <w:pPr>
              <w:jc w:val="center"/>
            </w:pPr>
            <w:r/>
            <w:r>
              <w:rPr>
                <w:rFonts w:ascii="Times New Roman" w:hAnsi="Times New Roman" w:eastAsia="Times New Roman"/>
                <w:b/>
                <w:i w:val="0"/>
                <w:sz w:val="19"/>
              </w:rPr>
              <w:t>Train</w:t>
            </w:r>
          </w:p>
        </w:tc>
        <w:tc>
          <w:tcPr>
            <w:tcW w:type="dxa" w:w="1384"/>
            <w:shd w:val="clear" w:fill="D9E2F3"/>
          </w:tcPr>
          <w:p>
            <w:pPr>
              <w:jc w:val="center"/>
            </w:pPr>
            <w:r/>
            <w:r>
              <w:rPr>
                <w:rFonts w:ascii="Times New Roman" w:hAnsi="Times New Roman" w:eastAsia="Times New Roman"/>
                <w:b/>
                <w:i w:val="0"/>
                <w:sz w:val="19"/>
              </w:rPr>
              <w:t>Validation</w:t>
            </w:r>
          </w:p>
        </w:tc>
        <w:tc>
          <w:tcPr>
            <w:tcW w:type="dxa" w:w="1384"/>
            <w:shd w:val="clear" w:fill="D9E2F3"/>
          </w:tcPr>
          <w:p>
            <w:pPr>
              <w:jc w:val="center"/>
            </w:pPr>
            <w:r/>
            <w:r>
              <w:rPr>
                <w:rFonts w:ascii="Times New Roman" w:hAnsi="Times New Roman" w:eastAsia="Times New Roman"/>
                <w:b/>
                <w:i w:val="0"/>
                <w:sz w:val="19"/>
              </w:rPr>
              <w:t>Test</w:t>
            </w:r>
          </w:p>
        </w:tc>
        <w:tc>
          <w:tcPr>
            <w:tcW w:type="dxa" w:w="1384"/>
            <w:shd w:val="clear" w:fill="D9E2F3"/>
          </w:tcPr>
          <w:p>
            <w:pPr>
              <w:jc w:val="center"/>
            </w:pPr>
            <w:r/>
            <w:r>
              <w:rPr>
                <w:rFonts w:ascii="Times New Roman" w:hAnsi="Times New Roman" w:eastAsia="Times New Roman"/>
                <w:b/>
                <w:i w:val="0"/>
                <w:sz w:val="19"/>
              </w:rPr>
              <w:t>Total</w:t>
            </w:r>
          </w:p>
        </w:tc>
      </w:tr>
      <w:tr>
        <w:tc>
          <w:tcPr>
            <w:tcW w:type="dxa" w:w="1384"/>
          </w:tcPr>
          <w:p>
            <w:pPr>
              <w:jc w:val="left"/>
            </w:pPr>
            <w:r/>
            <w:r>
              <w:rPr>
                <w:rFonts w:ascii="Times New Roman" w:hAnsi="Times New Roman" w:eastAsia="Times New Roman"/>
                <w:b/>
                <w:i w:val="0"/>
                <w:sz w:val="19"/>
              </w:rPr>
              <w:t>Fundus–CIMT cohort [23]</w:t>
            </w:r>
          </w:p>
        </w:tc>
        <w:tc>
          <w:tcPr>
            <w:tcW w:type="dxa" w:w="1384"/>
          </w:tcPr>
          <w:p>
            <w:pPr>
              <w:jc w:val="center"/>
            </w:pPr>
            <w:r/>
            <w:r>
              <w:rPr>
                <w:rFonts w:ascii="Times New Roman" w:hAnsi="Times New Roman" w:eastAsia="Times New Roman"/>
                <w:b w:val="0"/>
                <w:i w:val="0"/>
                <w:sz w:val="19"/>
              </w:rPr>
              <w:t>Bilateral fundus images with carotid ultrasound CIMT (mm), label CIMT ≥ 0.90 mm, age, sex</w:t>
            </w:r>
          </w:p>
        </w:tc>
        <w:tc>
          <w:tcPr>
            <w:tcW w:type="dxa" w:w="1384"/>
          </w:tcPr>
          <w:p>
            <w:pPr>
              <w:jc w:val="center"/>
            </w:pPr>
            <w:r/>
            <w:r>
              <w:rPr>
                <w:rFonts w:ascii="Times New Roman" w:hAnsi="Times New Roman" w:eastAsia="Times New Roman"/>
                <w:b w:val="0"/>
                <w:i w:val="0"/>
                <w:sz w:val="19"/>
              </w:rPr>
              <w:t>2,603 pts (5,206 img)</w:t>
            </w:r>
          </w:p>
        </w:tc>
        <w:tc>
          <w:tcPr>
            <w:tcW w:type="dxa" w:w="1384"/>
          </w:tcPr>
          <w:p>
            <w:pPr>
              <w:jc w:val="center"/>
            </w:pPr>
            <w:r/>
            <w:r>
              <w:rPr>
                <w:rFonts w:ascii="Times New Roman" w:hAnsi="Times New Roman" w:eastAsia="Times New Roman"/>
                <w:b w:val="0"/>
                <w:i w:val="0"/>
                <w:sz w:val="19"/>
              </w:rPr>
              <w:t>200 pts (400 img)</w:t>
            </w:r>
          </w:p>
        </w:tc>
        <w:tc>
          <w:tcPr>
            <w:tcW w:type="dxa" w:w="1384"/>
          </w:tcPr>
          <w:p>
            <w:pPr>
              <w:jc w:val="center"/>
            </w:pPr>
            <w:r/>
            <w:r>
              <w:rPr>
                <w:rFonts w:ascii="Times New Roman" w:hAnsi="Times New Roman" w:eastAsia="Times New Roman"/>
                <w:b w:val="0"/>
                <w:i w:val="0"/>
                <w:sz w:val="19"/>
              </w:rPr>
              <w:t>100 pts (200 img)</w:t>
            </w:r>
          </w:p>
        </w:tc>
        <w:tc>
          <w:tcPr>
            <w:tcW w:type="dxa" w:w="1384"/>
          </w:tcPr>
          <w:p>
            <w:pPr>
              <w:jc w:val="center"/>
            </w:pPr>
            <w:r/>
            <w:r>
              <w:rPr>
                <w:rFonts w:ascii="Times New Roman" w:hAnsi="Times New Roman" w:eastAsia="Times New Roman"/>
                <w:b w:val="0"/>
                <w:i w:val="0"/>
                <w:sz w:val="19"/>
              </w:rPr>
              <w:t>2,903 pts (5,806 img)</w:t>
            </w:r>
          </w:p>
        </w:tc>
      </w:tr>
      <w:tr>
        <w:tc>
          <w:tcPr>
            <w:tcW w:type="dxa" w:w="1384"/>
          </w:tcPr>
          <w:p>
            <w:pPr>
              <w:jc w:val="left"/>
            </w:pPr>
            <w:r/>
            <w:r>
              <w:rPr>
                <w:rFonts w:ascii="Times New Roman" w:hAnsi="Times New Roman" w:eastAsia="Times New Roman"/>
                <w:b/>
                <w:i w:val="0"/>
                <w:sz w:val="19"/>
              </w:rPr>
              <w:t>MuReD [29]</w:t>
            </w:r>
          </w:p>
        </w:tc>
        <w:tc>
          <w:tcPr>
            <w:tcW w:type="dxa" w:w="1384"/>
          </w:tcPr>
          <w:p>
            <w:pPr>
              <w:jc w:val="center"/>
            </w:pPr>
            <w:r/>
            <w:r>
              <w:rPr>
                <w:rFonts w:ascii="Times New Roman" w:hAnsi="Times New Roman" w:eastAsia="Times New Roman"/>
                <w:b w:val="0"/>
                <w:i w:val="0"/>
                <w:sz w:val="19"/>
              </w:rPr>
              <w:t>Multi-label fundus images; labels used: DR, MYA, ODC, TSLN, BRVO</w:t>
            </w:r>
          </w:p>
        </w:tc>
        <w:tc>
          <w:tcPr>
            <w:tcW w:type="dxa" w:w="1384"/>
          </w:tcPr>
          <w:p>
            <w:pPr>
              <w:jc w:val="center"/>
            </w:pPr>
            <w:r/>
            <w:r>
              <w:rPr>
                <w:rFonts w:ascii="Times New Roman" w:hAnsi="Times New Roman" w:eastAsia="Times New Roman"/>
                <w:b w:val="0"/>
                <w:i w:val="0"/>
                <w:sz w:val="19"/>
              </w:rPr>
              <w:t>1,588 img</w:t>
            </w:r>
          </w:p>
        </w:tc>
        <w:tc>
          <w:tcPr>
            <w:tcW w:type="dxa" w:w="1384"/>
          </w:tcPr>
          <w:p>
            <w:pPr>
              <w:jc w:val="center"/>
            </w:pPr>
            <w:r/>
            <w:r>
              <w:rPr>
                <w:rFonts w:ascii="Times New Roman" w:hAnsi="Times New Roman" w:eastAsia="Times New Roman"/>
                <w:b w:val="0"/>
                <w:i w:val="0"/>
                <w:sz w:val="19"/>
              </w:rPr>
              <w:t>176 img</w:t>
            </w:r>
          </w:p>
        </w:tc>
        <w:tc>
          <w:tcPr>
            <w:tcW w:type="dxa" w:w="1384"/>
          </w:tcPr>
          <w:p>
            <w:pPr>
              <w:jc w:val="center"/>
            </w:pPr>
            <w:r/>
            <w:r>
              <w:rPr>
                <w:rFonts w:ascii="Times New Roman" w:hAnsi="Times New Roman" w:eastAsia="Times New Roman"/>
                <w:b w:val="0"/>
                <w:i w:val="0"/>
                <w:sz w:val="19"/>
              </w:rPr>
              <w:t>444 img</w:t>
            </w:r>
          </w:p>
        </w:tc>
        <w:tc>
          <w:tcPr>
            <w:tcW w:type="dxa" w:w="1384"/>
          </w:tcPr>
          <w:p>
            <w:pPr>
              <w:jc w:val="center"/>
            </w:pPr>
            <w:r/>
            <w:r>
              <w:rPr>
                <w:rFonts w:ascii="Times New Roman" w:hAnsi="Times New Roman" w:eastAsia="Times New Roman"/>
                <w:b w:val="0"/>
                <w:i w:val="0"/>
                <w:sz w:val="19"/>
              </w:rPr>
              <w:t>2,208 img</w:t>
            </w:r>
          </w:p>
        </w:tc>
      </w:tr>
    </w:tbl>
    <w:p/>
    <w:p>
      <w:pPr>
        <w:spacing w:after="120" w:line="360" w:lineRule="auto"/>
        <w:jc w:val="both"/>
      </w:pPr>
      <w:r>
        <w:rPr>
          <w:rFonts w:ascii="Times New Roman" w:hAnsi="Times New Roman" w:eastAsia="Times New Roman"/>
          <w:b w:val="0"/>
          <w:i w:val="0"/>
          <w:sz w:val="24"/>
        </w:rPr>
        <w:t>All CIMT splits were made at patient level with a fixed random seed (42), so the left and right eyes of a patient always fall in the same split. The CIMT validation (100/100) and test (50/50) sets are class-balanced, whereas the training set is about 73% positive.</w:t>
      </w:r>
    </w:p>
    <w:p>
      <w:pPr>
        <w:spacing w:after="80" w:line="360" w:lineRule="auto"/>
        <w:jc w:val="left"/>
      </w:pPr>
      <w:r>
        <w:rPr>
          <w:rFonts w:ascii="Times New Roman" w:hAnsi="Times New Roman" w:eastAsia="Times New Roman"/>
          <w:b/>
          <w:i w:val="0"/>
          <w:sz w:val="26"/>
        </w:rPr>
        <w:t>4.4 Parameter Extraction and Feature Representation</w:t>
      </w:r>
    </w:p>
    <w:p>
      <w:pPr>
        <w:spacing w:after="120" w:line="360" w:lineRule="auto"/>
        <w:jc w:val="both"/>
      </w:pPr>
      <w:r>
        <w:rPr>
          <w:rFonts w:ascii="Times New Roman" w:hAnsi="Times New Roman" w:eastAsia="Times New Roman"/>
          <w:b w:val="0"/>
          <w:i w:val="0"/>
          <w:sz w:val="24"/>
        </w:rPr>
        <w:t>Each image is split into 14×14 = 196 patches of 16×16 pixels, linearly projected and passed through 24 transformer blocks. The resulting 1,024-D global representation z (per eye; 2,048-D when both eyes are concatenated) is standardised with training-set statistics. The demographic vector is x = [age, sex]. Extracted parameters per image are: five disease probabilities, CIMT (mm), retinal age, sex probability, retina-only CVD probability, demographic CVD probability, fused CVD probability, and Grad-CAM spatial metrics (peak coordinates, intensity, focal ratio, quadrant).</w:t>
      </w:r>
    </w:p>
    <w:p>
      <w:pPr>
        <w:spacing w:after="120"/>
        <w:jc w:val="center"/>
      </w:pPr>
      <w:r>
        <w:rPr>
          <w:rFonts w:ascii="Times New Roman" w:hAnsi="Times New Roman" w:eastAsia="Times New Roman"/>
          <w:b w:val="0"/>
          <w:i/>
          <w:sz w:val="24"/>
        </w:rPr>
        <w:t>z̃ = (z − μ_train) / σ_train</w:t>
      </w:r>
    </w:p>
    <w:p>
      <w:pPr>
        <w:spacing w:after="80" w:line="360" w:lineRule="auto"/>
        <w:jc w:val="left"/>
      </w:pPr>
      <w:r>
        <w:rPr>
          <w:rFonts w:ascii="Times New Roman" w:hAnsi="Times New Roman" w:eastAsia="Times New Roman"/>
          <w:b/>
          <w:i w:val="0"/>
          <w:sz w:val="26"/>
        </w:rPr>
        <w:t>4.5 Multi-Disease Classification Using MuReD Dataset</w:t>
      </w:r>
    </w:p>
    <w:p>
      <w:pPr>
        <w:spacing w:after="120" w:line="360" w:lineRule="auto"/>
        <w:jc w:val="both"/>
      </w:pPr>
      <w:r>
        <w:rPr>
          <w:rFonts w:ascii="Times New Roman" w:hAnsi="Times New Roman" w:eastAsia="Times New Roman"/>
          <w:b w:val="0"/>
          <w:i w:val="0"/>
          <w:sz w:val="24"/>
        </w:rPr>
        <w:t>For each disease k ∈ {DR, MYA, ODC, TSLN, BRVO}, an independent logistic-regression head is trained on standardised MuReD embeddings (binary relevance formulation of multi-label classification):</w:t>
      </w:r>
    </w:p>
    <w:p>
      <w:pPr>
        <w:spacing w:after="120"/>
        <w:jc w:val="center"/>
      </w:pPr>
      <w:r>
        <w:rPr>
          <w:rFonts w:ascii="Times New Roman" w:hAnsi="Times New Roman" w:eastAsia="Times New Roman"/>
          <w:b w:val="0"/>
          <w:i/>
          <w:sz w:val="24"/>
        </w:rPr>
        <w:t>P(disease_k | image) = σ(w_kᵀ z̃ + b_k),   σ(t) = 1 / (1 + e^(−t))</w:t>
      </w:r>
    </w:p>
    <w:p>
      <w:pPr>
        <w:spacing w:after="120" w:line="360" w:lineRule="auto"/>
        <w:jc w:val="both"/>
      </w:pPr>
      <w:r>
        <w:rPr>
          <w:rFonts w:ascii="Times New Roman" w:hAnsi="Times New Roman" w:eastAsia="Times New Roman"/>
          <w:b w:val="0"/>
          <w:i w:val="0"/>
          <w:sz w:val="24"/>
        </w:rPr>
        <w:t>A default threshold of 0.5 is used to compute accuracy, sensitivity and specificity; AUROC is threshold-independent.</w:t>
      </w:r>
    </w:p>
    <w:p>
      <w:pPr>
        <w:spacing w:after="80" w:line="360" w:lineRule="auto"/>
        <w:jc w:val="left"/>
      </w:pPr>
      <w:r>
        <w:rPr>
          <w:rFonts w:ascii="Times New Roman" w:hAnsi="Times New Roman" w:eastAsia="Times New Roman"/>
          <w:b/>
          <w:i w:val="0"/>
          <w:sz w:val="26"/>
        </w:rPr>
        <w:t>4.6 Retinal Feature Extraction Using ResNet50</w:t>
      </w:r>
    </w:p>
    <w:p>
      <w:pPr>
        <w:spacing w:after="120" w:line="360" w:lineRule="auto"/>
        <w:jc w:val="both"/>
      </w:pPr>
      <w:r>
        <w:rPr>
          <w:rFonts w:ascii="Times New Roman" w:hAnsi="Times New Roman" w:eastAsia="Times New Roman"/>
          <w:b w:val="0"/>
          <w:i w:val="0"/>
          <w:sz w:val="24"/>
        </w:rPr>
        <w:t>As a baseline, an ImageNet-pretrained ResNet-50 (~25.6 M parameters) extracts a 2,048-D global-average-pooled feature vector from each image. The same standardisation and logistic-regression heads are applied, so that the only difference from the proposed branch is the feature extractor. ResNet-50 relies on stacked local convolutions and natural-image pretraining.</w:t>
      </w:r>
    </w:p>
    <w:p>
      <w:pPr>
        <w:spacing w:after="80" w:line="360" w:lineRule="auto"/>
        <w:jc w:val="left"/>
      </w:pPr>
      <w:r>
        <w:rPr>
          <w:rFonts w:ascii="Times New Roman" w:hAnsi="Times New Roman" w:eastAsia="Times New Roman"/>
          <w:b/>
          <w:i w:val="0"/>
          <w:sz w:val="26"/>
        </w:rPr>
        <w:t>4.7 Retinal Feature Extraction Using RETFound</w:t>
      </w:r>
    </w:p>
    <w:p>
      <w:pPr>
        <w:spacing w:after="120" w:line="360" w:lineRule="auto"/>
        <w:jc w:val="both"/>
      </w:pPr>
      <w:r>
        <w:rPr>
          <w:rFonts w:ascii="Times New Roman" w:hAnsi="Times New Roman" w:eastAsia="Times New Roman"/>
          <w:b w:val="0"/>
          <w:i w:val="0"/>
          <w:sz w:val="24"/>
        </w:rPr>
        <w:t>RETFound [22] is a ViT-Large encoder (24 blocks, 16 heads, embedding dimension 1,024) pretrained by masked autoencoding: most image patches are hidden and the model learns to reconstruct them, which forces it to learn retinal anatomy—vessel paths, optic disc, macula. Multi-head self-attention relates every patch to every other patch:</w:t>
      </w:r>
    </w:p>
    <w:p>
      <w:pPr>
        <w:spacing w:after="120"/>
        <w:jc w:val="center"/>
      </w:pPr>
      <w:r>
        <w:rPr>
          <w:rFonts w:ascii="Times New Roman" w:hAnsi="Times New Roman" w:eastAsia="Times New Roman"/>
          <w:b w:val="0"/>
          <w:i/>
          <w:sz w:val="24"/>
        </w:rPr>
        <w:t>Attention(Q, K, V) = softmax(QKᵀ / √d_k) V</w:t>
      </w:r>
    </w:p>
    <w:p>
      <w:pPr>
        <w:spacing w:after="120" w:line="360" w:lineRule="auto"/>
        <w:jc w:val="both"/>
      </w:pPr>
      <w:r>
        <w:rPr>
          <w:rFonts w:ascii="Times New Roman" w:hAnsi="Times New Roman" w:eastAsia="Times New Roman"/>
          <w:b w:val="0"/>
          <w:i w:val="0"/>
          <w:sz w:val="24"/>
        </w:rPr>
        <w:t>The encoder is kept frozen; only the lightweight heads are trained (linear probing). This avoids over-fitting and catastrophic forgetting on small cohorts.</w:t>
      </w:r>
    </w:p>
    <w:p>
      <w:pPr>
        <w:spacing w:after="80" w:line="360" w:lineRule="auto"/>
        <w:jc w:val="left"/>
      </w:pPr>
      <w:r>
        <w:rPr>
          <w:rFonts w:ascii="Times New Roman" w:hAnsi="Times New Roman" w:eastAsia="Times New Roman"/>
          <w:b/>
          <w:i w:val="0"/>
          <w:sz w:val="26"/>
        </w:rPr>
        <w:t>4.8 Unified Dual-Branch Script Framework</w:t>
      </w:r>
    </w:p>
    <w:p>
      <w:pPr>
        <w:spacing w:after="120" w:line="360" w:lineRule="auto"/>
        <w:jc w:val="both"/>
      </w:pPr>
      <w:r>
        <w:rPr>
          <w:rFonts w:ascii="Times New Roman" w:hAnsi="Times New Roman" w:eastAsia="Times New Roman"/>
          <w:b w:val="0"/>
          <w:i w:val="0"/>
          <w:sz w:val="24"/>
        </w:rPr>
        <w:t>A single script (unified_web_gui.py) loads the RETFound encoder and a serialised cache of all trained heads (models_cache.pkl). For every input image one forward pass produces the embedding, which is passed to both branches. The 5 MuReD heads are thus transferred onto images from the CIMT domain (cross-task knowledge transfer), yielding a combined ocular-plus-cardiovascular report.</w:t>
      </w:r>
    </w:p>
    <w:p>
      <w:pPr>
        <w:spacing w:after="80" w:line="360" w:lineRule="auto"/>
        <w:jc w:val="left"/>
      </w:pPr>
      <w:r>
        <w:rPr>
          <w:rFonts w:ascii="Times New Roman" w:hAnsi="Times New Roman" w:eastAsia="Times New Roman"/>
          <w:b/>
          <w:i w:val="0"/>
          <w:sz w:val="26"/>
        </w:rPr>
        <w:t>4.9 Expected Outcomes</w:t>
      </w:r>
    </w:p>
    <w:p>
      <w:pPr>
        <w:spacing w:line="360" w:lineRule="auto" w:after="60"/>
        <w:ind w:left="432" w:hanging="288"/>
        <w:jc w:val="both"/>
      </w:pPr>
      <w:r>
        <w:rPr>
          <w:rFonts w:ascii="Times New Roman" w:hAnsi="Times New Roman" w:eastAsia="Times New Roman"/>
          <w:b w:val="0"/>
          <w:i w:val="0"/>
          <w:sz w:val="24"/>
        </w:rPr>
        <w:t>•  Probabilities for five retinal diseases.</w:t>
      </w:r>
    </w:p>
    <w:p>
      <w:pPr>
        <w:spacing w:line="360" w:lineRule="auto" w:after="60"/>
        <w:ind w:left="432" w:hanging="288"/>
        <w:jc w:val="both"/>
      </w:pPr>
      <w:r>
        <w:rPr>
          <w:rFonts w:ascii="Times New Roman" w:hAnsi="Times New Roman" w:eastAsia="Times New Roman"/>
          <w:b w:val="0"/>
          <w:i w:val="0"/>
          <w:sz w:val="24"/>
        </w:rPr>
        <w:t>•  Continuous CIMT estimate (mm) and CIMT status (≥ / &lt; 0.90 mm).</w:t>
      </w:r>
    </w:p>
    <w:p>
      <w:pPr>
        <w:spacing w:line="360" w:lineRule="auto" w:after="60"/>
        <w:ind w:left="432" w:hanging="288"/>
        <w:jc w:val="both"/>
      </w:pPr>
      <w:r>
        <w:rPr>
          <w:rFonts w:ascii="Times New Roman" w:hAnsi="Times New Roman" w:eastAsia="Times New Roman"/>
          <w:b w:val="0"/>
          <w:i w:val="0"/>
          <w:sz w:val="24"/>
        </w:rPr>
        <w:t>•  Fused CVD risk probability and categorical status.</w:t>
      </w:r>
    </w:p>
    <w:p>
      <w:pPr>
        <w:spacing w:line="360" w:lineRule="auto" w:after="60"/>
        <w:ind w:left="432" w:hanging="288"/>
        <w:jc w:val="both"/>
      </w:pPr>
      <w:r>
        <w:rPr>
          <w:rFonts w:ascii="Times New Roman" w:hAnsi="Times New Roman" w:eastAsia="Times New Roman"/>
          <w:b w:val="0"/>
          <w:i w:val="0"/>
          <w:sz w:val="24"/>
        </w:rPr>
        <w:t>•  Predicted retinal age, sex, and retinal age gap.</w:t>
      </w:r>
    </w:p>
    <w:p>
      <w:pPr>
        <w:spacing w:line="360" w:lineRule="auto" w:after="60"/>
        <w:ind w:left="432" w:hanging="288"/>
        <w:jc w:val="both"/>
      </w:pPr>
      <w:r>
        <w:rPr>
          <w:rFonts w:ascii="Times New Roman" w:hAnsi="Times New Roman" w:eastAsia="Times New Roman"/>
          <w:b w:val="0"/>
          <w:i w:val="0"/>
          <w:sz w:val="24"/>
        </w:rPr>
        <w:t>•  Grad-CAM heatmap with anatomical localisation.</w:t>
      </w:r>
    </w:p>
    <w:p>
      <w:pPr>
        <w:spacing w:line="360" w:lineRule="auto" w:after="60"/>
        <w:ind w:left="432" w:hanging="288"/>
        <w:jc w:val="both"/>
      </w:pPr>
      <w:r>
        <w:rPr>
          <w:rFonts w:ascii="Times New Roman" w:hAnsi="Times New Roman" w:eastAsia="Times New Roman"/>
          <w:b w:val="0"/>
          <w:i w:val="0"/>
          <w:sz w:val="24"/>
        </w:rPr>
        <w:t>•  Structured report with cardiology and ophthalmology recommendations.</w:t>
      </w:r>
    </w:p>
    <w:p>
      <w:pPr>
        <w:spacing w:after="80" w:line="360" w:lineRule="auto"/>
        <w:jc w:val="left"/>
      </w:pPr>
      <w:r>
        <w:rPr>
          <w:rFonts w:ascii="Times New Roman" w:hAnsi="Times New Roman" w:eastAsia="Times New Roman"/>
          <w:b/>
          <w:i w:val="0"/>
          <w:sz w:val="26"/>
        </w:rPr>
        <w:t>4.10 Model Training and Optimization</w:t>
      </w:r>
    </w:p>
    <w:p>
      <w:pPr>
        <w:spacing w:after="120" w:line="360" w:lineRule="auto"/>
        <w:jc w:val="both"/>
      </w:pPr>
      <w:r>
        <w:rPr>
          <w:rFonts w:ascii="Times New Roman" w:hAnsi="Times New Roman" w:eastAsia="Times New Roman"/>
          <w:b w:val="0"/>
          <w:i w:val="0"/>
          <w:sz w:val="24"/>
        </w:rPr>
        <w:t>All heads are L2-regularised linear models fitted on the training split only:</w:t>
      </w:r>
    </w:p>
    <w:p>
      <w:pPr>
        <w:spacing w:after="120"/>
        <w:jc w:val="center"/>
      </w:pPr>
      <w:r>
        <w:rPr>
          <w:rFonts w:ascii="Times New Roman" w:hAnsi="Times New Roman" w:eastAsia="Times New Roman"/>
          <w:b w:val="0"/>
          <w:i/>
          <w:sz w:val="24"/>
        </w:rPr>
        <w:t>min_w  ½‖w‖² + C Σ_i log(1 + exp(−y_i (wᵀx_i + b)))</w:t>
      </w:r>
    </w:p>
    <w:p>
      <w:pPr>
        <w:spacing w:after="120" w:line="360" w:lineRule="auto"/>
        <w:jc w:val="both"/>
      </w:pPr>
      <w:r>
        <w:rPr>
          <w:rFonts w:ascii="Times New Roman" w:hAnsi="Times New Roman" w:eastAsia="Times New Roman"/>
          <w:b w:val="0"/>
          <w:i w:val="0"/>
          <w:sz w:val="24"/>
        </w:rPr>
        <w:t>The retina CVD probe uses strong regularisation (C = 0.005) and the demographic probe C = 1.0. CIMT and retinal age use ridge regression; CIMT output is clipped to the physiological range 0.60–1.60 mm. The CVD probability is a weighted late fusion:</w:t>
      </w:r>
    </w:p>
    <w:p>
      <w:pPr>
        <w:spacing w:after="120"/>
        <w:jc w:val="center"/>
      </w:pPr>
      <w:r>
        <w:rPr>
          <w:rFonts w:ascii="Times New Roman" w:hAnsi="Times New Roman" w:eastAsia="Times New Roman"/>
          <w:b w:val="0"/>
          <w:i/>
          <w:sz w:val="24"/>
        </w:rPr>
        <w:t>P(CVD) = w · P_demo + (1 − w) · P_retina,   w = 0.83</w:t>
      </w:r>
    </w:p>
    <w:p>
      <w:pPr>
        <w:spacing w:after="120" w:line="360" w:lineRule="auto"/>
        <w:jc w:val="both"/>
      </w:pPr>
      <w:r>
        <w:rPr>
          <w:rFonts w:ascii="Times New Roman" w:hAnsi="Times New Roman" w:eastAsia="Times New Roman"/>
          <w:b w:val="0"/>
          <w:i w:val="0"/>
          <w:sz w:val="24"/>
        </w:rPr>
        <w:t>The fusion weight and the decision threshold were selected on the validation set. The threshold maximises Youden's J statistic, giving τ = 0.80:</w:t>
      </w:r>
    </w:p>
    <w:p>
      <w:pPr>
        <w:spacing w:after="120"/>
        <w:jc w:val="center"/>
      </w:pPr>
      <w:r>
        <w:rPr>
          <w:rFonts w:ascii="Times New Roman" w:hAnsi="Times New Roman" w:eastAsia="Times New Roman"/>
          <w:b w:val="0"/>
          <w:i/>
          <w:sz w:val="24"/>
        </w:rPr>
        <w:t>τ* = argmax_τ [ Sensitivity(τ) + Specificity(τ) − 1 ]</w:t>
      </w:r>
    </w:p>
    <w:p>
      <w:pPr>
        <w:spacing w:after="120" w:line="360" w:lineRule="auto"/>
        <w:jc w:val="both"/>
      </w:pPr>
      <w:r>
        <w:rPr>
          <w:rFonts w:ascii="Times New Roman" w:hAnsi="Times New Roman" w:eastAsia="Times New Roman"/>
          <w:b w:val="0"/>
          <w:i w:val="0"/>
          <w:sz w:val="24"/>
        </w:rPr>
        <w:t>Replacing the deep MLP head with these regularised linear heads removed the over-fitting observed earlier and raised raw test accuracy from about 75% to 88–89%.</w:t>
      </w:r>
    </w:p>
    <w:p>
      <w:pPr>
        <w:spacing w:after="80" w:line="360" w:lineRule="auto"/>
        <w:jc w:val="left"/>
      </w:pPr>
      <w:r>
        <w:rPr>
          <w:rFonts w:ascii="Times New Roman" w:hAnsi="Times New Roman" w:eastAsia="Times New Roman"/>
          <w:b/>
          <w:i w:val="0"/>
          <w:sz w:val="26"/>
        </w:rPr>
        <w:t>4.11 Explainability and Feature Interpretation</w:t>
      </w:r>
    </w:p>
    <w:p>
      <w:pPr>
        <w:spacing w:after="120" w:line="360" w:lineRule="auto"/>
        <w:jc w:val="both"/>
      </w:pPr>
      <w:r>
        <w:rPr>
          <w:rFonts w:ascii="Times New Roman" w:hAnsi="Times New Roman" w:eastAsia="Times New Roman"/>
          <w:b w:val="0"/>
          <w:i w:val="0"/>
          <w:sz w:val="24"/>
        </w:rPr>
        <w:t>Gradient-weighted Class Activation Mapping (Grad-CAM) is computed on transformer block 20 of 24 (blocks[−4]). Gradients of the output with respect to the block's patch tokens are averaged to weight the token channels; the weighted sum is passed through ReLU, reshaped to 14×14, upsampled, and masked by the eroded field-of-view so the black border cannot attract attention. From the map, the system extracts the normalised peak (y, x), peak intensity, the focal-vs-diffuse ratio, and the retinal quadrant (superior/inferior × temporal/nasal, or peripapillary/macular). Grad-CAM shows where the model attended; it does not by itself prove the presence of a specific lesion.</w:t>
      </w:r>
    </w:p>
    <w:p>
      <w:pPr>
        <w:spacing w:after="80" w:line="360" w:lineRule="auto"/>
        <w:jc w:val="left"/>
      </w:pPr>
      <w:r>
        <w:rPr>
          <w:rFonts w:ascii="Times New Roman" w:hAnsi="Times New Roman" w:eastAsia="Times New Roman"/>
          <w:b/>
          <w:i w:val="0"/>
          <w:sz w:val="26"/>
        </w:rPr>
        <w:t>4.12 Advantages of the Proposed Method</w:t>
      </w:r>
    </w:p>
    <w:p>
      <w:pPr>
        <w:spacing w:line="360" w:lineRule="auto" w:after="60"/>
        <w:ind w:left="432" w:hanging="288"/>
        <w:jc w:val="both"/>
      </w:pPr>
      <w:r>
        <w:rPr>
          <w:rFonts w:ascii="Times New Roman" w:hAnsi="Times New Roman" w:eastAsia="Times New Roman"/>
          <w:b w:val="0"/>
          <w:i w:val="0"/>
          <w:sz w:val="24"/>
        </w:rPr>
        <w:t>•  Single image, single forward pass, two clinical specialties.</w:t>
      </w:r>
    </w:p>
    <w:p>
      <w:pPr>
        <w:spacing w:line="360" w:lineRule="auto" w:after="60"/>
        <w:ind w:left="432" w:hanging="288"/>
        <w:jc w:val="both"/>
      </w:pPr>
      <w:r>
        <w:rPr>
          <w:rFonts w:ascii="Times New Roman" w:hAnsi="Times New Roman" w:eastAsia="Times New Roman"/>
          <w:b w:val="0"/>
          <w:i w:val="0"/>
          <w:sz w:val="24"/>
        </w:rPr>
        <w:t>•  Label-efficient: frozen foundation model + linear heads suit small cohorts.</w:t>
      </w:r>
    </w:p>
    <w:p>
      <w:pPr>
        <w:spacing w:line="360" w:lineRule="auto" w:after="60"/>
        <w:ind w:left="432" w:hanging="288"/>
        <w:jc w:val="both"/>
      </w:pPr>
      <w:r>
        <w:rPr>
          <w:rFonts w:ascii="Times New Roman" w:hAnsi="Times New Roman" w:eastAsia="Times New Roman"/>
          <w:b w:val="0"/>
          <w:i w:val="0"/>
          <w:sz w:val="24"/>
        </w:rPr>
        <w:t>•  Continuous CIMT output with MAE ≈ 0.113 mm on the test set.</w:t>
      </w:r>
    </w:p>
    <w:p>
      <w:pPr>
        <w:spacing w:line="360" w:lineRule="auto" w:after="60"/>
        <w:ind w:left="432" w:hanging="288"/>
        <w:jc w:val="both"/>
      </w:pPr>
      <w:r>
        <w:rPr>
          <w:rFonts w:ascii="Times New Roman" w:hAnsi="Times New Roman" w:eastAsia="Times New Roman"/>
          <w:b w:val="0"/>
          <w:i w:val="0"/>
          <w:sz w:val="24"/>
        </w:rPr>
        <w:t>•  Strict patient-level evaluation and a demographic ablation.</w:t>
      </w:r>
    </w:p>
    <w:p>
      <w:pPr>
        <w:spacing w:line="360" w:lineRule="auto" w:after="60"/>
        <w:ind w:left="432" w:hanging="288"/>
        <w:jc w:val="both"/>
      </w:pPr>
      <w:r>
        <w:rPr>
          <w:rFonts w:ascii="Times New Roman" w:hAnsi="Times New Roman" w:eastAsia="Times New Roman"/>
          <w:b w:val="0"/>
          <w:i w:val="0"/>
          <w:sz w:val="24"/>
        </w:rPr>
        <w:t>•  Decoupled four-state report logic prevents contradictory statements.</w:t>
      </w:r>
    </w:p>
    <w:p>
      <w:pPr>
        <w:spacing w:line="360" w:lineRule="auto" w:after="60"/>
        <w:ind w:left="432" w:hanging="288"/>
        <w:jc w:val="both"/>
      </w:pPr>
      <w:r>
        <w:rPr>
          <w:rFonts w:ascii="Times New Roman" w:hAnsi="Times New Roman" w:eastAsia="Times New Roman"/>
          <w:b w:val="0"/>
          <w:i w:val="0"/>
          <w:sz w:val="24"/>
        </w:rPr>
        <w:t>•  Runs locally; patient images are not sent to external servers.</w:t>
      </w:r>
    </w:p>
    <w:p>
      <w:pPr>
        <w:spacing w:after="80" w:line="360" w:lineRule="auto"/>
        <w:jc w:val="left"/>
      </w:pPr>
      <w:r>
        <w:rPr>
          <w:rFonts w:ascii="Times New Roman" w:hAnsi="Times New Roman" w:eastAsia="Times New Roman"/>
          <w:b/>
          <w:i w:val="0"/>
          <w:sz w:val="26"/>
        </w:rPr>
        <w:t>4.13 Limitations</w:t>
      </w:r>
    </w:p>
    <w:p>
      <w:pPr>
        <w:spacing w:line="360" w:lineRule="auto" w:after="60"/>
        <w:ind w:left="432" w:hanging="288"/>
        <w:jc w:val="both"/>
      </w:pPr>
      <w:r>
        <w:rPr>
          <w:rFonts w:ascii="Times New Roman" w:hAnsi="Times New Roman" w:eastAsia="Times New Roman"/>
          <w:b w:val="0"/>
          <w:i w:val="0"/>
          <w:sz w:val="24"/>
        </w:rPr>
        <w:t>•  Age is the dominant predictor of CIMT. The fused CVD score is weighted 0.83 toward demographics, and adding the retina to age and sex did not significantly increase test AUROC (ΔAUROC = +0.001, 95% CI −0.004 to +0.006). The retina alone, however, reaches AUROC 0.850.</w:t>
      </w:r>
    </w:p>
    <w:p>
      <w:pPr>
        <w:spacing w:line="360" w:lineRule="auto" w:after="60"/>
        <w:ind w:left="432" w:hanging="288"/>
        <w:jc w:val="both"/>
      </w:pPr>
      <w:r>
        <w:rPr>
          <w:rFonts w:ascii="Times New Roman" w:hAnsi="Times New Roman" w:eastAsia="Times New Roman"/>
          <w:b w:val="0"/>
          <w:i w:val="0"/>
          <w:sz w:val="24"/>
        </w:rPr>
        <w:t>•  The CIMT cohort is single-source; no external validation has yet been performed.</w:t>
      </w:r>
    </w:p>
    <w:p>
      <w:pPr>
        <w:spacing w:line="360" w:lineRule="auto" w:after="60"/>
        <w:ind w:left="432" w:hanging="288"/>
        <w:jc w:val="both"/>
      </w:pPr>
      <w:r>
        <w:rPr>
          <w:rFonts w:ascii="Times New Roman" w:hAnsi="Times New Roman" w:eastAsia="Times New Roman"/>
          <w:b w:val="0"/>
          <w:i w:val="0"/>
          <w:sz w:val="24"/>
        </w:rPr>
        <w:t>•  MuReD heads were trained on a different population; their outputs on CIMT images have no ground truth and should be treated as exploratory.</w:t>
      </w:r>
    </w:p>
    <w:p>
      <w:pPr>
        <w:spacing w:line="360" w:lineRule="auto" w:after="60"/>
        <w:ind w:left="432" w:hanging="288"/>
        <w:jc w:val="both"/>
      </w:pPr>
      <w:r>
        <w:rPr>
          <w:rFonts w:ascii="Times New Roman" w:hAnsi="Times New Roman" w:eastAsia="Times New Roman"/>
          <w:b w:val="0"/>
          <w:i w:val="0"/>
          <w:sz w:val="24"/>
        </w:rPr>
        <w:t>•  Rare MuReD classes (ODC, TSLN, BRVO) have low sensitivity at the default 0.5 threshold.</w:t>
      </w:r>
    </w:p>
    <w:p>
      <w:pPr>
        <w:spacing w:line="360" w:lineRule="auto" w:after="60"/>
        <w:ind w:left="432" w:hanging="288"/>
        <w:jc w:val="both"/>
      </w:pPr>
      <w:r>
        <w:rPr>
          <w:rFonts w:ascii="Times New Roman" w:hAnsi="Times New Roman" w:eastAsia="Times New Roman"/>
          <w:b w:val="0"/>
          <w:i w:val="0"/>
          <w:sz w:val="24"/>
        </w:rPr>
        <w:t>•  The system is a research prototype and is not a certified medical device.</w:t>
      </w:r>
    </w:p>
    <w:p>
      <w:r>
        <w:br w:type="page"/>
      </w:r>
    </w:p>
    <w:p>
      <w:pPr>
        <w:spacing w:after="0" w:line="360" w:lineRule="auto"/>
        <w:jc w:val="center"/>
      </w:pPr>
      <w:r>
        <w:rPr>
          <w:rFonts w:ascii="Times New Roman" w:hAnsi="Times New Roman" w:eastAsia="Times New Roman"/>
          <w:b/>
          <w:i w:val="0"/>
          <w:sz w:val="28"/>
        </w:rPr>
        <w:t>CHAPTER 5</w:t>
      </w:r>
    </w:p>
    <w:p>
      <w:pPr>
        <w:spacing w:after="240" w:line="360" w:lineRule="auto"/>
        <w:jc w:val="center"/>
      </w:pPr>
      <w:r>
        <w:rPr>
          <w:rFonts w:ascii="Times New Roman" w:hAnsi="Times New Roman" w:eastAsia="Times New Roman"/>
          <w:b/>
          <w:i w:val="0"/>
          <w:sz w:val="28"/>
        </w:rPr>
        <w:t>SYSTEM ARCHITECTURE AND IMPLEMENTATION</w:t>
      </w:r>
    </w:p>
    <w:p>
      <w:pPr>
        <w:spacing w:after="80" w:line="360" w:lineRule="auto"/>
        <w:jc w:val="left"/>
      </w:pPr>
      <w:r>
        <w:rPr>
          <w:rFonts w:ascii="Times New Roman" w:hAnsi="Times New Roman" w:eastAsia="Times New Roman"/>
          <w:b/>
          <w:i w:val="0"/>
          <w:sz w:val="26"/>
        </w:rPr>
        <w:t>5.1 Overall System Architecture</w:t>
      </w:r>
    </w:p>
    <w:p>
      <w:pPr>
        <w:spacing w:after="120" w:line="360" w:lineRule="auto"/>
        <w:jc w:val="both"/>
      </w:pPr>
      <w:r>
        <w:rPr>
          <w:rFonts w:ascii="Times New Roman" w:hAnsi="Times New Roman" w:eastAsia="Times New Roman"/>
          <w:b w:val="0"/>
          <w:i w:val="0"/>
          <w:sz w:val="24"/>
        </w:rPr>
        <w:t>The implementation has three layers: (1) a presentation layer – an HTML/Tailwind/JavaScript web page served on http://127.0.0.1:5050 with image upload, demographic-mode toggle and result panels; (2) an application layer – a Flask server exposing the /analyze endpoint, the Grad-CAM engine and the report generator; and (3) a model layer – the frozen RETFound encoder (RETFound_cfp_weights.pth) and the trained heads (models_cache.pkl). A background watchdog (keep_alive_service.pyw), registered in Windows Startup, restarts the server automatically.</w:t>
      </w:r>
    </w:p>
    <w:p>
      <w:pPr>
        <w:spacing w:after="80" w:line="360" w:lineRule="auto"/>
        <w:jc w:val="left"/>
      </w:pPr>
      <w:r>
        <w:rPr>
          <w:rFonts w:ascii="Times New Roman" w:hAnsi="Times New Roman" w:eastAsia="Times New Roman"/>
          <w:b/>
          <w:i w:val="0"/>
          <w:sz w:val="26"/>
        </w:rPr>
        <w:t>5.2 Software and Computational Requirements</w:t>
      </w:r>
    </w:p>
    <w:p>
      <w:pPr>
        <w:spacing w:after="200" w:line="360" w:lineRule="auto"/>
        <w:jc w:val="center"/>
      </w:pPr>
      <w:r>
        <w:rPr>
          <w:rFonts w:ascii="Times New Roman" w:hAnsi="Times New Roman" w:eastAsia="Times New Roman"/>
          <w:b/>
          <w:i w:val="0"/>
          <w:sz w:val="20"/>
        </w:rPr>
        <w:t>TABLE 5.1  Software and Hardware Requirements</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4153"/>
        <w:gridCol w:w="4153"/>
      </w:tblGrid>
      <w:tr>
        <w:tc>
          <w:tcPr>
            <w:tcW w:type="dxa" w:w="4153"/>
            <w:shd w:val="clear" w:fill="D9E2F3"/>
          </w:tcPr>
          <w:p>
            <w:pPr>
              <w:jc w:val="center"/>
            </w:pPr>
            <w:r/>
            <w:r>
              <w:rPr>
                <w:rFonts w:ascii="Times New Roman" w:hAnsi="Times New Roman" w:eastAsia="Times New Roman"/>
                <w:b/>
                <w:i w:val="0"/>
                <w:sz w:val="19"/>
              </w:rPr>
              <w:t>Component</w:t>
            </w:r>
          </w:p>
        </w:tc>
        <w:tc>
          <w:tcPr>
            <w:tcW w:type="dxa" w:w="4153"/>
            <w:shd w:val="clear" w:fill="D9E2F3"/>
          </w:tcPr>
          <w:p>
            <w:pPr>
              <w:jc w:val="center"/>
            </w:pPr>
            <w:r/>
            <w:r>
              <w:rPr>
                <w:rFonts w:ascii="Times New Roman" w:hAnsi="Times New Roman" w:eastAsia="Times New Roman"/>
                <w:b/>
                <w:i w:val="0"/>
                <w:sz w:val="19"/>
              </w:rPr>
              <w:t>Specification</w:t>
            </w:r>
          </w:p>
        </w:tc>
      </w:tr>
      <w:tr>
        <w:tc>
          <w:tcPr>
            <w:tcW w:type="dxa" w:w="4153"/>
          </w:tcPr>
          <w:p>
            <w:pPr>
              <w:jc w:val="left"/>
            </w:pPr>
            <w:r/>
            <w:r>
              <w:rPr>
                <w:rFonts w:ascii="Times New Roman" w:hAnsi="Times New Roman" w:eastAsia="Times New Roman"/>
                <w:b/>
                <w:i w:val="0"/>
                <w:sz w:val="19"/>
              </w:rPr>
              <w:t>Operating system</w:t>
            </w:r>
          </w:p>
        </w:tc>
        <w:tc>
          <w:tcPr>
            <w:tcW w:type="dxa" w:w="4153"/>
          </w:tcPr>
          <w:p>
            <w:pPr>
              <w:jc w:val="center"/>
            </w:pPr>
            <w:r/>
            <w:r>
              <w:rPr>
                <w:rFonts w:ascii="Times New Roman" w:hAnsi="Times New Roman" w:eastAsia="Times New Roman"/>
                <w:b w:val="0"/>
                <w:i w:val="0"/>
                <w:sz w:val="19"/>
              </w:rPr>
              <w:t>Windows 10/11 (64-bit) or Linux</w:t>
            </w:r>
          </w:p>
        </w:tc>
      </w:tr>
      <w:tr>
        <w:tc>
          <w:tcPr>
            <w:tcW w:type="dxa" w:w="4153"/>
          </w:tcPr>
          <w:p>
            <w:pPr>
              <w:jc w:val="left"/>
            </w:pPr>
            <w:r/>
            <w:r>
              <w:rPr>
                <w:rFonts w:ascii="Times New Roman" w:hAnsi="Times New Roman" w:eastAsia="Times New Roman"/>
                <w:b/>
                <w:i w:val="0"/>
                <w:sz w:val="19"/>
              </w:rPr>
              <w:t>Language</w:t>
            </w:r>
          </w:p>
        </w:tc>
        <w:tc>
          <w:tcPr>
            <w:tcW w:type="dxa" w:w="4153"/>
          </w:tcPr>
          <w:p>
            <w:pPr>
              <w:jc w:val="center"/>
            </w:pPr>
            <w:r/>
            <w:r>
              <w:rPr>
                <w:rFonts w:ascii="Times New Roman" w:hAnsi="Times New Roman" w:eastAsia="Times New Roman"/>
                <w:b w:val="0"/>
                <w:i w:val="0"/>
                <w:sz w:val="19"/>
              </w:rPr>
              <w:t>Python 3.10 – 3.13</w:t>
            </w:r>
          </w:p>
        </w:tc>
      </w:tr>
      <w:tr>
        <w:tc>
          <w:tcPr>
            <w:tcW w:type="dxa" w:w="4153"/>
          </w:tcPr>
          <w:p>
            <w:pPr>
              <w:jc w:val="left"/>
            </w:pPr>
            <w:r/>
            <w:r>
              <w:rPr>
                <w:rFonts w:ascii="Times New Roman" w:hAnsi="Times New Roman" w:eastAsia="Times New Roman"/>
                <w:b/>
                <w:i w:val="0"/>
                <w:sz w:val="19"/>
              </w:rPr>
              <w:t>Deep learning</w:t>
            </w:r>
          </w:p>
        </w:tc>
        <w:tc>
          <w:tcPr>
            <w:tcW w:type="dxa" w:w="4153"/>
          </w:tcPr>
          <w:p>
            <w:pPr>
              <w:jc w:val="center"/>
            </w:pPr>
            <w:r/>
            <w:r>
              <w:rPr>
                <w:rFonts w:ascii="Times New Roman" w:hAnsi="Times New Roman" w:eastAsia="Times New Roman"/>
                <w:b w:val="0"/>
                <w:i w:val="0"/>
                <w:sz w:val="19"/>
              </w:rPr>
              <w:t>PyTorch, timm (ViT), torchvision</w:t>
            </w:r>
          </w:p>
        </w:tc>
      </w:tr>
      <w:tr>
        <w:tc>
          <w:tcPr>
            <w:tcW w:type="dxa" w:w="4153"/>
          </w:tcPr>
          <w:p>
            <w:pPr>
              <w:jc w:val="left"/>
            </w:pPr>
            <w:r/>
            <w:r>
              <w:rPr>
                <w:rFonts w:ascii="Times New Roman" w:hAnsi="Times New Roman" w:eastAsia="Times New Roman"/>
                <w:b/>
                <w:i w:val="0"/>
                <w:sz w:val="19"/>
              </w:rPr>
              <w:t>ML / statistics</w:t>
            </w:r>
          </w:p>
        </w:tc>
        <w:tc>
          <w:tcPr>
            <w:tcW w:type="dxa" w:w="4153"/>
          </w:tcPr>
          <w:p>
            <w:pPr>
              <w:jc w:val="center"/>
            </w:pPr>
            <w:r/>
            <w:r>
              <w:rPr>
                <w:rFonts w:ascii="Times New Roman" w:hAnsi="Times New Roman" w:eastAsia="Times New Roman"/>
                <w:b w:val="0"/>
                <w:i w:val="0"/>
                <w:sz w:val="19"/>
              </w:rPr>
              <w:t>scikit-learn, NumPy, pandas, SciPy</w:t>
            </w:r>
          </w:p>
        </w:tc>
      </w:tr>
      <w:tr>
        <w:tc>
          <w:tcPr>
            <w:tcW w:type="dxa" w:w="4153"/>
          </w:tcPr>
          <w:p>
            <w:pPr>
              <w:jc w:val="left"/>
            </w:pPr>
            <w:r/>
            <w:r>
              <w:rPr>
                <w:rFonts w:ascii="Times New Roman" w:hAnsi="Times New Roman" w:eastAsia="Times New Roman"/>
                <w:b/>
                <w:i w:val="0"/>
                <w:sz w:val="19"/>
              </w:rPr>
              <w:t>Imaging / plots</w:t>
            </w:r>
          </w:p>
        </w:tc>
        <w:tc>
          <w:tcPr>
            <w:tcW w:type="dxa" w:w="4153"/>
          </w:tcPr>
          <w:p>
            <w:pPr>
              <w:jc w:val="center"/>
            </w:pPr>
            <w:r/>
            <w:r>
              <w:rPr>
                <w:rFonts w:ascii="Times New Roman" w:hAnsi="Times New Roman" w:eastAsia="Times New Roman"/>
                <w:b w:val="0"/>
                <w:i w:val="0"/>
                <w:sz w:val="19"/>
              </w:rPr>
              <w:t>OpenCV, Pillow, Matplotlib, Seaborn</w:t>
            </w:r>
          </w:p>
        </w:tc>
      </w:tr>
      <w:tr>
        <w:tc>
          <w:tcPr>
            <w:tcW w:type="dxa" w:w="4153"/>
          </w:tcPr>
          <w:p>
            <w:pPr>
              <w:jc w:val="left"/>
            </w:pPr>
            <w:r/>
            <w:r>
              <w:rPr>
                <w:rFonts w:ascii="Times New Roman" w:hAnsi="Times New Roman" w:eastAsia="Times New Roman"/>
                <w:b/>
                <w:i w:val="0"/>
                <w:sz w:val="19"/>
              </w:rPr>
              <w:t>Web</w:t>
            </w:r>
          </w:p>
        </w:tc>
        <w:tc>
          <w:tcPr>
            <w:tcW w:type="dxa" w:w="4153"/>
          </w:tcPr>
          <w:p>
            <w:pPr>
              <w:jc w:val="center"/>
            </w:pPr>
            <w:r/>
            <w:r>
              <w:rPr>
                <w:rFonts w:ascii="Times New Roman" w:hAnsi="Times New Roman" w:eastAsia="Times New Roman"/>
                <w:b w:val="0"/>
                <w:i w:val="0"/>
                <w:sz w:val="19"/>
              </w:rPr>
              <w:t>Flask (local server, port 5050)</w:t>
            </w:r>
          </w:p>
        </w:tc>
      </w:tr>
      <w:tr>
        <w:tc>
          <w:tcPr>
            <w:tcW w:type="dxa" w:w="4153"/>
          </w:tcPr>
          <w:p>
            <w:pPr>
              <w:jc w:val="left"/>
            </w:pPr>
            <w:r/>
            <w:r>
              <w:rPr>
                <w:rFonts w:ascii="Times New Roman" w:hAnsi="Times New Roman" w:eastAsia="Times New Roman"/>
                <w:b/>
                <w:i w:val="0"/>
                <w:sz w:val="19"/>
              </w:rPr>
              <w:t>GPU (benchmark)</w:t>
            </w:r>
          </w:p>
        </w:tc>
        <w:tc>
          <w:tcPr>
            <w:tcW w:type="dxa" w:w="4153"/>
          </w:tcPr>
          <w:p>
            <w:pPr>
              <w:jc w:val="center"/>
            </w:pPr>
            <w:r/>
            <w:r>
              <w:rPr>
                <w:rFonts w:ascii="Times New Roman" w:hAnsi="Times New Roman" w:eastAsia="Times New Roman"/>
                <w:b w:val="0"/>
                <w:i w:val="0"/>
                <w:sz w:val="19"/>
              </w:rPr>
              <w:t>NVIDIA Tesla T4 16 GB (Kaggle) for feature extraction / re-run</w:t>
            </w:r>
          </w:p>
        </w:tc>
      </w:tr>
      <w:tr>
        <w:tc>
          <w:tcPr>
            <w:tcW w:type="dxa" w:w="4153"/>
          </w:tcPr>
          <w:p>
            <w:pPr>
              <w:jc w:val="left"/>
            </w:pPr>
            <w:r/>
            <w:r>
              <w:rPr>
                <w:rFonts w:ascii="Times New Roman" w:hAnsi="Times New Roman" w:eastAsia="Times New Roman"/>
                <w:b/>
                <w:i w:val="0"/>
                <w:sz w:val="19"/>
              </w:rPr>
              <w:t>Local inference</w:t>
            </w:r>
          </w:p>
        </w:tc>
        <w:tc>
          <w:tcPr>
            <w:tcW w:type="dxa" w:w="4153"/>
          </w:tcPr>
          <w:p>
            <w:pPr>
              <w:jc w:val="center"/>
            </w:pPr>
            <w:r/>
            <w:r>
              <w:rPr>
                <w:rFonts w:ascii="Times New Roman" w:hAnsi="Times New Roman" w:eastAsia="Times New Roman"/>
                <w:b w:val="0"/>
                <w:i w:val="0"/>
                <w:sz w:val="19"/>
              </w:rPr>
              <w:t>Standard laptop CPU (GPU optional), ≥ 8 GB RAM</w:t>
            </w:r>
          </w:p>
        </w:tc>
      </w:tr>
    </w:tbl>
    <w:p/>
    <w:p>
      <w:pPr>
        <w:spacing w:after="80" w:line="360" w:lineRule="auto"/>
        <w:jc w:val="left"/>
      </w:pPr>
      <w:r>
        <w:rPr>
          <w:rFonts w:ascii="Times New Roman" w:hAnsi="Times New Roman" w:eastAsia="Times New Roman"/>
          <w:b/>
          <w:i w:val="0"/>
          <w:sz w:val="26"/>
        </w:rPr>
        <w:t>5.3 Dataset Organization and Validation</w:t>
      </w:r>
    </w:p>
    <w:p>
      <w:pPr>
        <w:spacing w:after="120" w:line="360" w:lineRule="auto"/>
        <w:jc w:val="both"/>
      </w:pPr>
      <w:r>
        <w:rPr>
          <w:rFonts w:ascii="Times New Roman" w:hAnsi="Times New Roman" w:eastAsia="Times New Roman"/>
          <w:b w:val="0"/>
          <w:i w:val="0"/>
          <w:sz w:val="24"/>
        </w:rPr>
        <w:t>RETFound embeddings were pre-computed once and stored as NumPy archives (cimt_train/val/test_embeds.npz containing left/right embeddings, age, sex, CIMT and label; mured_embeddings.npz with per-split embeddings and labels). Patient IDs were checked to ensure no patient appears in more than one split. Per-patient predictions for every split are stored in audit_split_results/, and the figures and metric tables in paper_results/.</w:t>
      </w:r>
    </w:p>
    <w:p>
      <w:pPr>
        <w:spacing w:after="80" w:line="360" w:lineRule="auto"/>
        <w:jc w:val="left"/>
      </w:pPr>
      <w:r>
        <w:rPr>
          <w:rFonts w:ascii="Times New Roman" w:hAnsi="Times New Roman" w:eastAsia="Times New Roman"/>
          <w:b/>
          <w:i w:val="0"/>
          <w:sz w:val="26"/>
        </w:rPr>
        <w:t>5.4 Model Architecture and Configuration</w:t>
      </w:r>
    </w:p>
    <w:p>
      <w:pPr>
        <w:spacing w:after="200" w:line="360" w:lineRule="auto"/>
        <w:jc w:val="center"/>
      </w:pPr>
      <w:r>
        <w:rPr>
          <w:rFonts w:ascii="Times New Roman" w:hAnsi="Times New Roman" w:eastAsia="Times New Roman"/>
          <w:b/>
          <w:i w:val="0"/>
          <w:sz w:val="20"/>
        </w:rPr>
        <w:t>TABLE 5.2  Model Configuration</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4153"/>
        <w:gridCol w:w="4153"/>
      </w:tblGrid>
      <w:tr>
        <w:tc>
          <w:tcPr>
            <w:tcW w:type="dxa" w:w="4153"/>
            <w:shd w:val="clear" w:fill="D9E2F3"/>
          </w:tcPr>
          <w:p>
            <w:pPr>
              <w:jc w:val="center"/>
            </w:pPr>
            <w:r/>
            <w:r>
              <w:rPr>
                <w:rFonts w:ascii="Times New Roman" w:hAnsi="Times New Roman" w:eastAsia="Times New Roman"/>
                <w:b/>
                <w:i w:val="0"/>
                <w:sz w:val="19"/>
              </w:rPr>
              <w:t>Module</w:t>
            </w:r>
          </w:p>
        </w:tc>
        <w:tc>
          <w:tcPr>
            <w:tcW w:type="dxa" w:w="4153"/>
            <w:shd w:val="clear" w:fill="D9E2F3"/>
          </w:tcPr>
          <w:p>
            <w:pPr>
              <w:jc w:val="center"/>
            </w:pPr>
            <w:r/>
            <w:r>
              <w:rPr>
                <w:rFonts w:ascii="Times New Roman" w:hAnsi="Times New Roman" w:eastAsia="Times New Roman"/>
                <w:b/>
                <w:i w:val="0"/>
                <w:sz w:val="19"/>
              </w:rPr>
              <w:t>Configuration</w:t>
            </w:r>
          </w:p>
        </w:tc>
      </w:tr>
      <w:tr>
        <w:tc>
          <w:tcPr>
            <w:tcW w:type="dxa" w:w="4153"/>
          </w:tcPr>
          <w:p>
            <w:pPr>
              <w:jc w:val="left"/>
            </w:pPr>
            <w:r/>
            <w:r>
              <w:rPr>
                <w:rFonts w:ascii="Times New Roman" w:hAnsi="Times New Roman" w:eastAsia="Times New Roman"/>
                <w:b/>
                <w:i w:val="0"/>
                <w:sz w:val="19"/>
              </w:rPr>
              <w:t>Backbone</w:t>
            </w:r>
          </w:p>
        </w:tc>
        <w:tc>
          <w:tcPr>
            <w:tcW w:type="dxa" w:w="4153"/>
          </w:tcPr>
          <w:p>
            <w:pPr>
              <w:jc w:val="center"/>
            </w:pPr>
            <w:r/>
            <w:r>
              <w:rPr>
                <w:rFonts w:ascii="Times New Roman" w:hAnsi="Times New Roman" w:eastAsia="Times New Roman"/>
                <w:b w:val="0"/>
                <w:i w:val="0"/>
                <w:sz w:val="19"/>
              </w:rPr>
              <w:t>RETFound vit_large_patch16: 224×224 input, patch 16, 24 blocks, 16 heads, dim 1,024, frozen</w:t>
            </w:r>
          </w:p>
        </w:tc>
      </w:tr>
      <w:tr>
        <w:tc>
          <w:tcPr>
            <w:tcW w:type="dxa" w:w="4153"/>
          </w:tcPr>
          <w:p>
            <w:pPr>
              <w:jc w:val="left"/>
            </w:pPr>
            <w:r/>
            <w:r>
              <w:rPr>
                <w:rFonts w:ascii="Times New Roman" w:hAnsi="Times New Roman" w:eastAsia="Times New Roman"/>
                <w:b/>
                <w:i w:val="0"/>
                <w:sz w:val="19"/>
              </w:rPr>
              <w:t>Disease heads (×5)</w:t>
            </w:r>
          </w:p>
        </w:tc>
        <w:tc>
          <w:tcPr>
            <w:tcW w:type="dxa" w:w="4153"/>
          </w:tcPr>
          <w:p>
            <w:pPr>
              <w:jc w:val="center"/>
            </w:pPr>
            <w:r/>
            <w:r>
              <w:rPr>
                <w:rFonts w:ascii="Times New Roman" w:hAnsi="Times New Roman" w:eastAsia="Times New Roman"/>
                <w:b w:val="0"/>
                <w:i w:val="0"/>
                <w:sz w:val="19"/>
              </w:rPr>
              <w:t>Standardisation + logistic regression, threshold 0.5</w:t>
            </w:r>
          </w:p>
        </w:tc>
      </w:tr>
      <w:tr>
        <w:tc>
          <w:tcPr>
            <w:tcW w:type="dxa" w:w="4153"/>
          </w:tcPr>
          <w:p>
            <w:pPr>
              <w:jc w:val="left"/>
            </w:pPr>
            <w:r/>
            <w:r>
              <w:rPr>
                <w:rFonts w:ascii="Times New Roman" w:hAnsi="Times New Roman" w:eastAsia="Times New Roman"/>
                <w:b/>
                <w:i w:val="0"/>
                <w:sz w:val="19"/>
              </w:rPr>
              <w:t>Retina CVD probe</w:t>
            </w:r>
          </w:p>
        </w:tc>
        <w:tc>
          <w:tcPr>
            <w:tcW w:type="dxa" w:w="4153"/>
          </w:tcPr>
          <w:p>
            <w:pPr>
              <w:jc w:val="center"/>
            </w:pPr>
            <w:r/>
            <w:r>
              <w:rPr>
                <w:rFonts w:ascii="Times New Roman" w:hAnsi="Times New Roman" w:eastAsia="Times New Roman"/>
                <w:b w:val="0"/>
                <w:i w:val="0"/>
                <w:sz w:val="19"/>
              </w:rPr>
              <w:t>Logistic regression, L2, C = 0.005</w:t>
            </w:r>
          </w:p>
        </w:tc>
      </w:tr>
      <w:tr>
        <w:tc>
          <w:tcPr>
            <w:tcW w:type="dxa" w:w="4153"/>
          </w:tcPr>
          <w:p>
            <w:pPr>
              <w:jc w:val="left"/>
            </w:pPr>
            <w:r/>
            <w:r>
              <w:rPr>
                <w:rFonts w:ascii="Times New Roman" w:hAnsi="Times New Roman" w:eastAsia="Times New Roman"/>
                <w:b/>
                <w:i w:val="0"/>
                <w:sz w:val="19"/>
              </w:rPr>
              <w:t>Demographic probe</w:t>
            </w:r>
          </w:p>
        </w:tc>
        <w:tc>
          <w:tcPr>
            <w:tcW w:type="dxa" w:w="4153"/>
          </w:tcPr>
          <w:p>
            <w:pPr>
              <w:jc w:val="center"/>
            </w:pPr>
            <w:r/>
            <w:r>
              <w:rPr>
                <w:rFonts w:ascii="Times New Roman" w:hAnsi="Times New Roman" w:eastAsia="Times New Roman"/>
                <w:b w:val="0"/>
                <w:i w:val="0"/>
                <w:sz w:val="19"/>
              </w:rPr>
              <w:t>Logistic regression on [age, sex], C = 1.0</w:t>
            </w:r>
          </w:p>
        </w:tc>
      </w:tr>
      <w:tr>
        <w:tc>
          <w:tcPr>
            <w:tcW w:type="dxa" w:w="4153"/>
          </w:tcPr>
          <w:p>
            <w:pPr>
              <w:jc w:val="left"/>
            </w:pPr>
            <w:r/>
            <w:r>
              <w:rPr>
                <w:rFonts w:ascii="Times New Roman" w:hAnsi="Times New Roman" w:eastAsia="Times New Roman"/>
                <w:b/>
                <w:i w:val="0"/>
                <w:sz w:val="19"/>
              </w:rPr>
              <w:t>Fusion</w:t>
            </w:r>
          </w:p>
        </w:tc>
        <w:tc>
          <w:tcPr>
            <w:tcW w:type="dxa" w:w="4153"/>
          </w:tcPr>
          <w:p>
            <w:pPr>
              <w:jc w:val="center"/>
            </w:pPr>
            <w:r/>
            <w:r>
              <w:rPr>
                <w:rFonts w:ascii="Times New Roman" w:hAnsi="Times New Roman" w:eastAsia="Times New Roman"/>
                <w:b w:val="0"/>
                <w:i w:val="0"/>
                <w:sz w:val="19"/>
              </w:rPr>
              <w:t>P = 0.83·P_demo + 0.17·P_retina, τ = 0.80</w:t>
            </w:r>
          </w:p>
        </w:tc>
      </w:tr>
      <w:tr>
        <w:tc>
          <w:tcPr>
            <w:tcW w:type="dxa" w:w="4153"/>
          </w:tcPr>
          <w:p>
            <w:pPr>
              <w:jc w:val="left"/>
            </w:pPr>
            <w:r/>
            <w:r>
              <w:rPr>
                <w:rFonts w:ascii="Times New Roman" w:hAnsi="Times New Roman" w:eastAsia="Times New Roman"/>
                <w:b/>
                <w:i w:val="0"/>
                <w:sz w:val="19"/>
              </w:rPr>
              <w:t>CIMT regressor</w:t>
            </w:r>
          </w:p>
        </w:tc>
        <w:tc>
          <w:tcPr>
            <w:tcW w:type="dxa" w:w="4153"/>
          </w:tcPr>
          <w:p>
            <w:pPr>
              <w:jc w:val="center"/>
            </w:pPr>
            <w:r/>
            <w:r>
              <w:rPr>
                <w:rFonts w:ascii="Times New Roman" w:hAnsi="Times New Roman" w:eastAsia="Times New Roman"/>
                <w:b w:val="0"/>
                <w:i w:val="0"/>
                <w:sz w:val="19"/>
              </w:rPr>
              <w:t>Ridge regression on [age, sex, embedding], output clipped 0.60–1.60 mm</w:t>
            </w:r>
          </w:p>
        </w:tc>
      </w:tr>
      <w:tr>
        <w:tc>
          <w:tcPr>
            <w:tcW w:type="dxa" w:w="4153"/>
          </w:tcPr>
          <w:p>
            <w:pPr>
              <w:jc w:val="left"/>
            </w:pPr>
            <w:r/>
            <w:r>
              <w:rPr>
                <w:rFonts w:ascii="Times New Roman" w:hAnsi="Times New Roman" w:eastAsia="Times New Roman"/>
                <w:b/>
                <w:i w:val="0"/>
                <w:sz w:val="19"/>
              </w:rPr>
              <w:t>Age / sex heads</w:t>
            </w:r>
          </w:p>
        </w:tc>
        <w:tc>
          <w:tcPr>
            <w:tcW w:type="dxa" w:w="4153"/>
          </w:tcPr>
          <w:p>
            <w:pPr>
              <w:jc w:val="center"/>
            </w:pPr>
            <w:r/>
            <w:r>
              <w:rPr>
                <w:rFonts w:ascii="Times New Roman" w:hAnsi="Times New Roman" w:eastAsia="Times New Roman"/>
                <w:b w:val="0"/>
                <w:i w:val="0"/>
                <w:sz w:val="19"/>
              </w:rPr>
              <w:t>Ridge regression / logistic regression on embedding</w:t>
            </w:r>
          </w:p>
        </w:tc>
      </w:tr>
      <w:tr>
        <w:tc>
          <w:tcPr>
            <w:tcW w:type="dxa" w:w="4153"/>
          </w:tcPr>
          <w:p>
            <w:pPr>
              <w:jc w:val="left"/>
            </w:pPr>
            <w:r/>
            <w:r>
              <w:rPr>
                <w:rFonts w:ascii="Times New Roman" w:hAnsi="Times New Roman" w:eastAsia="Times New Roman"/>
                <w:b/>
                <w:i w:val="0"/>
                <w:sz w:val="19"/>
              </w:rPr>
              <w:t>Explainability</w:t>
            </w:r>
          </w:p>
        </w:tc>
        <w:tc>
          <w:tcPr>
            <w:tcW w:type="dxa" w:w="4153"/>
          </w:tcPr>
          <w:p>
            <w:pPr>
              <w:jc w:val="center"/>
            </w:pPr>
            <w:r/>
            <w:r>
              <w:rPr>
                <w:rFonts w:ascii="Times New Roman" w:hAnsi="Times New Roman" w:eastAsia="Times New Roman"/>
                <w:b w:val="0"/>
                <w:i w:val="0"/>
                <w:sz w:val="19"/>
              </w:rPr>
              <w:t>Grad-CAM on block 20 with FOV mask</w:t>
            </w:r>
          </w:p>
        </w:tc>
      </w:tr>
    </w:tbl>
    <w:p/>
    <w:p>
      <w:pPr>
        <w:spacing w:after="80" w:line="360" w:lineRule="auto"/>
        <w:jc w:val="left"/>
      </w:pPr>
      <w:r>
        <w:rPr>
          <w:rFonts w:ascii="Times New Roman" w:hAnsi="Times New Roman" w:eastAsia="Times New Roman"/>
          <w:b/>
          <w:i w:val="0"/>
          <w:sz w:val="26"/>
        </w:rPr>
        <w:t>5.5 Model Integration and Checkpoint Generation</w:t>
      </w:r>
    </w:p>
    <w:p>
      <w:pPr>
        <w:spacing w:after="120" w:line="360" w:lineRule="auto"/>
        <w:jc w:val="both"/>
      </w:pPr>
      <w:r>
        <w:rPr>
          <w:rFonts w:ascii="Times New Roman" w:hAnsi="Times New Roman" w:eastAsia="Times New Roman"/>
          <w:b w:val="0"/>
          <w:i w:val="0"/>
          <w:sz w:val="24"/>
        </w:rPr>
        <w:t>After training, every scaler mean/scale, coefficient vector and intercept was serialised into a single dictionary, models_cache.pkl (≈170 KB). At start-up the GUI loads this cache together with the RETFound checkpoint, so no retraining is needed at inference time.</w:t>
      </w:r>
    </w:p>
    <w:p>
      <w:pPr>
        <w:spacing w:after="80" w:line="360" w:lineRule="auto"/>
        <w:jc w:val="left"/>
      </w:pPr>
      <w:r>
        <w:rPr>
          <w:rFonts w:ascii="Times New Roman" w:hAnsi="Times New Roman" w:eastAsia="Times New Roman"/>
          <w:b/>
          <w:i w:val="0"/>
          <w:sz w:val="26"/>
        </w:rPr>
        <w:t>5.6 Unified Model Inference Pipeline</w:t>
      </w:r>
    </w:p>
    <w:p>
      <w:pPr>
        <w:spacing w:after="120" w:line="360" w:lineRule="auto"/>
        <w:jc w:val="both"/>
      </w:pPr>
      <w:r>
        <w:rPr>
          <w:rFonts w:ascii="Times New Roman" w:hAnsi="Times New Roman" w:eastAsia="Times New Roman"/>
          <w:b w:val="0"/>
          <w:i w:val="0"/>
          <w:sz w:val="24"/>
        </w:rPr>
        <w:t>For each request: the image is decoded and preprocessed; the RETFound embedding is computed; age and sex are either predicted or taken from manual input; the disease heads, CIMT regressor and fusion are evaluated; Grad-CAM is computed; and the report engine returns a JSON response that the browser renders. For the 100 preset test patients the interface displays the audited, pre-computed values so they match the reported results exactly; uploaded images are processed live.</w:t>
      </w:r>
    </w:p>
    <w:p>
      <w:pPr>
        <w:spacing w:after="80" w:line="360" w:lineRule="auto"/>
        <w:jc w:val="left"/>
      </w:pPr>
      <w:r>
        <w:rPr>
          <w:rFonts w:ascii="Times New Roman" w:hAnsi="Times New Roman" w:eastAsia="Times New Roman"/>
          <w:b/>
          <w:i w:val="0"/>
          <w:sz w:val="26"/>
        </w:rPr>
        <w:t>5.7 Edge AI Deployment Strategy</w:t>
      </w:r>
    </w:p>
    <w:p>
      <w:pPr>
        <w:spacing w:after="120" w:line="360" w:lineRule="auto"/>
        <w:jc w:val="both"/>
      </w:pPr>
      <w:r>
        <w:rPr>
          <w:rFonts w:ascii="Times New Roman" w:hAnsi="Times New Roman" w:eastAsia="Times New Roman"/>
          <w:b w:val="0"/>
          <w:i w:val="0"/>
          <w:sz w:val="24"/>
        </w:rPr>
        <w:t>The current deployment is local and offline: a clinic laptop runs the server, and images never leave the machine. For embedded deployment (e.g., Jetson-class devices or a fundus-camera workstation) the planned strategy is to export the encoder to ONNX, run it with an optimised runtime, and keep the linear heads unchanged since they require negligible compute.</w:t>
      </w:r>
    </w:p>
    <w:p>
      <w:pPr>
        <w:spacing w:after="80" w:line="360" w:lineRule="auto"/>
        <w:jc w:val="left"/>
      </w:pPr>
      <w:r>
        <w:rPr>
          <w:rFonts w:ascii="Times New Roman" w:hAnsi="Times New Roman" w:eastAsia="Times New Roman"/>
          <w:b/>
          <w:i w:val="0"/>
          <w:sz w:val="26"/>
        </w:rPr>
        <w:t>5.8 Model Optimization for Edge Devices</w:t>
      </w:r>
    </w:p>
    <w:p>
      <w:pPr>
        <w:spacing w:after="120" w:line="360" w:lineRule="auto"/>
        <w:jc w:val="both"/>
      </w:pPr>
      <w:r>
        <w:rPr>
          <w:rFonts w:ascii="Times New Roman" w:hAnsi="Times New Roman" w:eastAsia="Times New Roman"/>
          <w:b w:val="0"/>
          <w:i w:val="0"/>
          <w:sz w:val="24"/>
        </w:rPr>
        <w:t>Because all task heads are linear, the dominant cost is the ViT-Large encoder. Candidate optimisations—not yet implemented or benchmarked in this project—are FP16/INT8 quantisation, knowledge distillation into a smaller ViT or CNN student, and token pruning. Their accuracy impact must be re-validated before clinical use.</w:t>
      </w:r>
    </w:p>
    <w:p>
      <w:r>
        <w:br w:type="page"/>
      </w:r>
    </w:p>
    <w:p>
      <w:pPr>
        <w:spacing w:after="0" w:line="360" w:lineRule="auto"/>
        <w:jc w:val="center"/>
      </w:pPr>
      <w:r>
        <w:rPr>
          <w:rFonts w:ascii="Times New Roman" w:hAnsi="Times New Roman" w:eastAsia="Times New Roman"/>
          <w:b/>
          <w:i w:val="0"/>
          <w:sz w:val="28"/>
        </w:rPr>
        <w:t>CHAPTER 6</w:t>
      </w:r>
    </w:p>
    <w:p>
      <w:pPr>
        <w:spacing w:after="240" w:line="360" w:lineRule="auto"/>
        <w:jc w:val="center"/>
      </w:pPr>
      <w:r>
        <w:rPr>
          <w:rFonts w:ascii="Times New Roman" w:hAnsi="Times New Roman" w:eastAsia="Times New Roman"/>
          <w:b/>
          <w:i w:val="0"/>
          <w:sz w:val="28"/>
        </w:rPr>
        <w:t>OUTPUT ACQUISITION</w:t>
      </w:r>
    </w:p>
    <w:p>
      <w:pPr>
        <w:spacing w:after="80" w:line="360" w:lineRule="auto"/>
        <w:jc w:val="left"/>
      </w:pPr>
      <w:r>
        <w:rPr>
          <w:rFonts w:ascii="Times New Roman" w:hAnsi="Times New Roman" w:eastAsia="Times New Roman"/>
          <w:b/>
          <w:i w:val="0"/>
          <w:sz w:val="26"/>
        </w:rPr>
        <w:t>6.1 Retinal Image Input and Preprocessing</w:t>
      </w:r>
    </w:p>
    <w:p>
      <w:pPr>
        <w:spacing w:after="120" w:line="360" w:lineRule="auto"/>
        <w:jc w:val="both"/>
      </w:pPr>
      <w:r>
        <w:rPr>
          <w:rFonts w:ascii="Times New Roman" w:hAnsi="Times New Roman" w:eastAsia="Times New Roman"/>
          <w:b w:val="0"/>
          <w:i w:val="0"/>
          <w:sz w:val="24"/>
        </w:rPr>
        <w:t>The user uploads a fundus image (PNG/JPG, up to 32 MB) or selects a preset test patient. The image is converted to RGB, a field-of-view mask is computed (intensity &gt; 15/255 with erosion), the image is resized to 224×224, and normalised with mean [0.485, 0.456, 0.406] and standard deviation [0.229, 0.224, 0.225].</w:t>
      </w:r>
    </w:p>
    <w:p>
      <w:pPr>
        <w:spacing w:after="80" w:line="360" w:lineRule="auto"/>
        <w:jc w:val="left"/>
      </w:pPr>
      <w:r>
        <w:rPr>
          <w:rFonts w:ascii="Times New Roman" w:hAnsi="Times New Roman" w:eastAsia="Times New Roman"/>
          <w:b/>
          <w:i w:val="0"/>
          <w:sz w:val="26"/>
        </w:rPr>
        <w:t>6.2 Multi-Disease Prediction</w:t>
      </w:r>
    </w:p>
    <w:p>
      <w:pPr>
        <w:spacing w:after="120" w:line="360" w:lineRule="auto"/>
        <w:jc w:val="both"/>
      </w:pPr>
      <w:r>
        <w:rPr>
          <w:rFonts w:ascii="Times New Roman" w:hAnsi="Times New Roman" w:eastAsia="Times New Roman"/>
          <w:b w:val="0"/>
          <w:i w:val="0"/>
          <w:sz w:val="24"/>
        </w:rPr>
        <w:t>The five MuReD heads output probabilities displayed as percentage bars. Values of 20% or more are flagged as 'elevated' in the report so that the clinician's attention is drawn to them.</w:t>
      </w:r>
    </w:p>
    <w:p>
      <w:pPr>
        <w:spacing w:after="80" w:line="360" w:lineRule="auto"/>
        <w:jc w:val="left"/>
      </w:pPr>
      <w:r>
        <w:rPr>
          <w:rFonts w:ascii="Times New Roman" w:hAnsi="Times New Roman" w:eastAsia="Times New Roman"/>
          <w:b/>
          <w:i w:val="0"/>
          <w:sz w:val="26"/>
        </w:rPr>
        <w:t>6.3 CIMT Value Estimation</w:t>
      </w:r>
    </w:p>
    <w:p>
      <w:pPr>
        <w:spacing w:after="120" w:line="360" w:lineRule="auto"/>
        <w:jc w:val="both"/>
      </w:pPr>
      <w:r>
        <w:rPr>
          <w:rFonts w:ascii="Times New Roman" w:hAnsi="Times New Roman" w:eastAsia="Times New Roman"/>
          <w:b w:val="0"/>
          <w:i w:val="0"/>
          <w:sz w:val="24"/>
        </w:rPr>
        <w:t>The ridge regressor outputs CIMT in millimetres (clipped 0.60–1.60 mm), labelled 'Thickened (≥ 0.90 mm)' or 'Normal (&lt; 0.90 mm)'.</w:t>
      </w:r>
    </w:p>
    <w:p>
      <w:pPr>
        <w:spacing w:after="80" w:line="360" w:lineRule="auto"/>
        <w:jc w:val="left"/>
      </w:pPr>
      <w:r>
        <w:rPr>
          <w:rFonts w:ascii="Times New Roman" w:hAnsi="Times New Roman" w:eastAsia="Times New Roman"/>
          <w:b/>
          <w:i w:val="0"/>
          <w:sz w:val="26"/>
        </w:rPr>
        <w:t>6.4 Cardiovascular Status Classification</w:t>
      </w:r>
    </w:p>
    <w:p>
      <w:pPr>
        <w:spacing w:after="120" w:line="360" w:lineRule="auto"/>
        <w:jc w:val="both"/>
      </w:pPr>
      <w:r>
        <w:rPr>
          <w:rFonts w:ascii="Times New Roman" w:hAnsi="Times New Roman" w:eastAsia="Times New Roman"/>
          <w:b w:val="0"/>
          <w:i w:val="0"/>
          <w:sz w:val="24"/>
        </w:rPr>
        <w:t>The status combines the anatomical estimate and the fused probability in a four-state matrix (Table 6.1). Separating the two conditions removed the earlier contradiction in which a CIMT ≥ 0.90 mm was described as normal when the probability was moderate.</w:t>
      </w:r>
    </w:p>
    <w:p>
      <w:pPr>
        <w:spacing w:after="200" w:line="360" w:lineRule="auto"/>
        <w:jc w:val="center"/>
      </w:pPr>
      <w:r>
        <w:rPr>
          <w:rFonts w:ascii="Times New Roman" w:hAnsi="Times New Roman" w:eastAsia="Times New Roman"/>
          <w:b/>
          <w:i w:val="0"/>
          <w:sz w:val="20"/>
        </w:rPr>
        <w:t>TABLE 6.1  Four-State Diagnostic Decision Matrix</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769"/>
        <w:gridCol w:w="2769"/>
        <w:gridCol w:w="2769"/>
      </w:tblGrid>
      <w:tr>
        <w:tc>
          <w:tcPr>
            <w:tcW w:type="dxa" w:w="2769"/>
            <w:shd w:val="clear" w:fill="D9E2F3"/>
          </w:tcPr>
          <w:p>
            <w:pPr>
              <w:jc w:val="center"/>
            </w:pPr>
            <w:r/>
            <w:r>
              <w:rPr>
                <w:rFonts w:ascii="Times New Roman" w:hAnsi="Times New Roman" w:eastAsia="Times New Roman"/>
                <w:b/>
                <w:i w:val="0"/>
                <w:sz w:val="19"/>
              </w:rPr>
              <w:t>CIMT ≥ 0.90 mm</w:t>
            </w:r>
          </w:p>
        </w:tc>
        <w:tc>
          <w:tcPr>
            <w:tcW w:type="dxa" w:w="2769"/>
            <w:shd w:val="clear" w:fill="D9E2F3"/>
          </w:tcPr>
          <w:p>
            <w:pPr>
              <w:jc w:val="center"/>
            </w:pPr>
            <w:r/>
            <w:r>
              <w:rPr>
                <w:rFonts w:ascii="Times New Roman" w:hAnsi="Times New Roman" w:eastAsia="Times New Roman"/>
                <w:b/>
                <w:i w:val="0"/>
                <w:sz w:val="19"/>
              </w:rPr>
              <w:t>P(CVD) ≥ 0.80</w:t>
            </w:r>
          </w:p>
        </w:tc>
        <w:tc>
          <w:tcPr>
            <w:tcW w:type="dxa" w:w="2769"/>
            <w:shd w:val="clear" w:fill="D9E2F3"/>
          </w:tcPr>
          <w:p>
            <w:pPr>
              <w:jc w:val="center"/>
            </w:pPr>
            <w:r/>
            <w:r>
              <w:rPr>
                <w:rFonts w:ascii="Times New Roman" w:hAnsi="Times New Roman" w:eastAsia="Times New Roman"/>
                <w:b/>
                <w:i w:val="0"/>
                <w:sz w:val="19"/>
              </w:rPr>
              <w:t>Reported status</w:t>
            </w:r>
          </w:p>
        </w:tc>
      </w:tr>
      <w:tr>
        <w:tc>
          <w:tcPr>
            <w:tcW w:type="dxa" w:w="2769"/>
          </w:tcPr>
          <w:p>
            <w:pPr>
              <w:jc w:val="left"/>
            </w:pPr>
            <w:r/>
            <w:r>
              <w:rPr>
                <w:rFonts w:ascii="Times New Roman" w:hAnsi="Times New Roman" w:eastAsia="Times New Roman"/>
                <w:b/>
                <w:i w:val="0"/>
                <w:sz w:val="19"/>
              </w:rPr>
              <w:t>Yes</w:t>
            </w:r>
          </w:p>
        </w:tc>
        <w:tc>
          <w:tcPr>
            <w:tcW w:type="dxa" w:w="2769"/>
          </w:tcPr>
          <w:p>
            <w:pPr>
              <w:jc w:val="center"/>
            </w:pPr>
            <w:r/>
            <w:r>
              <w:rPr>
                <w:rFonts w:ascii="Times New Roman" w:hAnsi="Times New Roman" w:eastAsia="Times New Roman"/>
                <w:b w:val="0"/>
                <w:i w:val="0"/>
                <w:sz w:val="19"/>
              </w:rPr>
              <w:t>Yes</w:t>
            </w:r>
          </w:p>
        </w:tc>
        <w:tc>
          <w:tcPr>
            <w:tcW w:type="dxa" w:w="2769"/>
          </w:tcPr>
          <w:p>
            <w:pPr>
              <w:jc w:val="center"/>
            </w:pPr>
            <w:r/>
            <w:r>
              <w:rPr>
                <w:rFonts w:ascii="Times New Roman" w:hAnsi="Times New Roman" w:eastAsia="Times New Roman"/>
                <w:b w:val="0"/>
                <w:i w:val="0"/>
                <w:sz w:val="19"/>
              </w:rPr>
              <w:t>High risk – thickened wall and elevated score</w:t>
            </w:r>
          </w:p>
        </w:tc>
      </w:tr>
      <w:tr>
        <w:tc>
          <w:tcPr>
            <w:tcW w:type="dxa" w:w="2769"/>
          </w:tcPr>
          <w:p>
            <w:pPr>
              <w:jc w:val="left"/>
            </w:pPr>
            <w:r/>
            <w:r>
              <w:rPr>
                <w:rFonts w:ascii="Times New Roman" w:hAnsi="Times New Roman" w:eastAsia="Times New Roman"/>
                <w:b/>
                <w:i w:val="0"/>
                <w:sz w:val="19"/>
              </w:rPr>
              <w:t>Yes</w:t>
            </w:r>
          </w:p>
        </w:tc>
        <w:tc>
          <w:tcPr>
            <w:tcW w:type="dxa" w:w="2769"/>
          </w:tcPr>
          <w:p>
            <w:pPr>
              <w:jc w:val="center"/>
            </w:pPr>
            <w:r/>
            <w:r>
              <w:rPr>
                <w:rFonts w:ascii="Times New Roman" w:hAnsi="Times New Roman" w:eastAsia="Times New Roman"/>
                <w:b w:val="0"/>
                <w:i w:val="0"/>
                <w:sz w:val="19"/>
              </w:rPr>
              <w:t>No</w:t>
            </w:r>
          </w:p>
        </w:tc>
        <w:tc>
          <w:tcPr>
            <w:tcW w:type="dxa" w:w="2769"/>
          </w:tcPr>
          <w:p>
            <w:pPr>
              <w:jc w:val="center"/>
            </w:pPr>
            <w:r/>
            <w:r>
              <w:rPr>
                <w:rFonts w:ascii="Times New Roman" w:hAnsi="Times New Roman" w:eastAsia="Times New Roman"/>
                <w:b w:val="0"/>
                <w:i w:val="0"/>
                <w:sz w:val="19"/>
              </w:rPr>
              <w:t>Borderline – early / subclinical thickening</w:t>
            </w:r>
          </w:p>
        </w:tc>
      </w:tr>
      <w:tr>
        <w:tc>
          <w:tcPr>
            <w:tcW w:type="dxa" w:w="2769"/>
          </w:tcPr>
          <w:p>
            <w:pPr>
              <w:jc w:val="left"/>
            </w:pPr>
            <w:r/>
            <w:r>
              <w:rPr>
                <w:rFonts w:ascii="Times New Roman" w:hAnsi="Times New Roman" w:eastAsia="Times New Roman"/>
                <w:b/>
                <w:i w:val="0"/>
                <w:sz w:val="19"/>
              </w:rPr>
              <w:t>No</w:t>
            </w:r>
          </w:p>
        </w:tc>
        <w:tc>
          <w:tcPr>
            <w:tcW w:type="dxa" w:w="2769"/>
          </w:tcPr>
          <w:p>
            <w:pPr>
              <w:jc w:val="center"/>
            </w:pPr>
            <w:r/>
            <w:r>
              <w:rPr>
                <w:rFonts w:ascii="Times New Roman" w:hAnsi="Times New Roman" w:eastAsia="Times New Roman"/>
                <w:b w:val="0"/>
                <w:i w:val="0"/>
                <w:sz w:val="19"/>
              </w:rPr>
              <w:t>Yes</w:t>
            </w:r>
          </w:p>
        </w:tc>
        <w:tc>
          <w:tcPr>
            <w:tcW w:type="dxa" w:w="2769"/>
          </w:tcPr>
          <w:p>
            <w:pPr>
              <w:jc w:val="center"/>
            </w:pPr>
            <w:r/>
            <w:r>
              <w:rPr>
                <w:rFonts w:ascii="Times New Roman" w:hAnsi="Times New Roman" w:eastAsia="Times New Roman"/>
                <w:b w:val="0"/>
                <w:i w:val="0"/>
                <w:sz w:val="19"/>
              </w:rPr>
              <w:t>High risk – elevated score without measurable thickening</w:t>
            </w:r>
          </w:p>
        </w:tc>
      </w:tr>
      <w:tr>
        <w:tc>
          <w:tcPr>
            <w:tcW w:type="dxa" w:w="2769"/>
          </w:tcPr>
          <w:p>
            <w:pPr>
              <w:jc w:val="left"/>
            </w:pPr>
            <w:r/>
            <w:r>
              <w:rPr>
                <w:rFonts w:ascii="Times New Roman" w:hAnsi="Times New Roman" w:eastAsia="Times New Roman"/>
                <w:b/>
                <w:i w:val="0"/>
                <w:sz w:val="19"/>
              </w:rPr>
              <w:t>No</w:t>
            </w:r>
          </w:p>
        </w:tc>
        <w:tc>
          <w:tcPr>
            <w:tcW w:type="dxa" w:w="2769"/>
          </w:tcPr>
          <w:p>
            <w:pPr>
              <w:jc w:val="center"/>
            </w:pPr>
            <w:r/>
            <w:r>
              <w:rPr>
                <w:rFonts w:ascii="Times New Roman" w:hAnsi="Times New Roman" w:eastAsia="Times New Roman"/>
                <w:b w:val="0"/>
                <w:i w:val="0"/>
                <w:sz w:val="19"/>
              </w:rPr>
              <w:t>No</w:t>
            </w:r>
          </w:p>
        </w:tc>
        <w:tc>
          <w:tcPr>
            <w:tcW w:type="dxa" w:w="2769"/>
          </w:tcPr>
          <w:p>
            <w:pPr>
              <w:jc w:val="center"/>
            </w:pPr>
            <w:r/>
            <w:r>
              <w:rPr>
                <w:rFonts w:ascii="Times New Roman" w:hAnsi="Times New Roman" w:eastAsia="Times New Roman"/>
                <w:b w:val="0"/>
                <w:i w:val="0"/>
                <w:sz w:val="19"/>
              </w:rPr>
              <w:t>Normal / low risk</w:t>
            </w:r>
          </w:p>
        </w:tc>
      </w:tr>
    </w:tbl>
    <w:p/>
    <w:p>
      <w:pPr>
        <w:spacing w:after="80" w:line="360" w:lineRule="auto"/>
        <w:jc w:val="left"/>
      </w:pPr>
      <w:r>
        <w:rPr>
          <w:rFonts w:ascii="Times New Roman" w:hAnsi="Times New Roman" w:eastAsia="Times New Roman"/>
          <w:b/>
          <w:i w:val="0"/>
          <w:sz w:val="26"/>
        </w:rPr>
        <w:t>6.5 Probability and Prediction Generation</w:t>
      </w:r>
    </w:p>
    <w:p>
      <w:pPr>
        <w:spacing w:after="120" w:line="360" w:lineRule="auto"/>
        <w:jc w:val="both"/>
      </w:pPr>
      <w:r>
        <w:rPr>
          <w:rFonts w:ascii="Times New Roman" w:hAnsi="Times New Roman" w:eastAsia="Times New Roman"/>
          <w:b w:val="0"/>
          <w:i w:val="0"/>
          <w:sz w:val="24"/>
        </w:rPr>
        <w:t>Each analysis returns: five disease probabilities, CIMT (mm), retina-only and fused CVD probability, predicted retinal age, sex and its confidence, the retinal age gap (retinal age − chronological age, when age is entered manually), and Grad-CAM spatial metrics.</w:t>
      </w:r>
    </w:p>
    <w:p>
      <w:pPr>
        <w:spacing w:after="80" w:line="360" w:lineRule="auto"/>
        <w:jc w:val="left"/>
      </w:pPr>
      <w:r>
        <w:rPr>
          <w:rFonts w:ascii="Times New Roman" w:hAnsi="Times New Roman" w:eastAsia="Times New Roman"/>
          <w:b/>
          <w:i w:val="0"/>
          <w:sz w:val="26"/>
        </w:rPr>
        <w:t>6.6 Output Visualization</w:t>
      </w:r>
    </w:p>
    <w:p>
      <w:pPr>
        <w:spacing w:after="120" w:line="360" w:lineRule="auto"/>
        <w:jc w:val="both"/>
      </w:pPr>
      <w:r>
        <w:rPr>
          <w:rFonts w:ascii="Times New Roman" w:hAnsi="Times New Roman" w:eastAsia="Times New Roman"/>
          <w:b w:val="0"/>
          <w:i w:val="0"/>
          <w:sz w:val="24"/>
        </w:rPr>
        <w:t>Results are shown on a dark-themed dashboard with colour-coded badges (green = normal, amber = borderline, red = high risk), progress bars for each disease and risk score, and a demographics panel indicating whether values were auto-predicted or manually entered.</w:t>
      </w:r>
    </w:p>
    <w:p>
      <w:pPr>
        <w:spacing w:after="80" w:line="360" w:lineRule="auto"/>
        <w:jc w:val="left"/>
      </w:pPr>
      <w:r>
        <w:rPr>
          <w:rFonts w:ascii="Times New Roman" w:hAnsi="Times New Roman" w:eastAsia="Times New Roman"/>
          <w:b/>
          <w:i w:val="0"/>
          <w:sz w:val="26"/>
        </w:rPr>
        <w:t>6.7 Explainable AI Outputs</w:t>
      </w:r>
    </w:p>
    <w:p>
      <w:pPr>
        <w:jc w:val="center"/>
      </w:pPr>
      <w:r>
        <w:drawing>
          <wp:inline xmlns:a="http://schemas.openxmlformats.org/drawingml/2006/main" xmlns:pic="http://schemas.openxmlformats.org/drawingml/2006/picture">
            <wp:extent cx="5486400" cy="2480667"/>
            <wp:docPr id="3" name="Picture 3"/>
            <wp:cNvGraphicFramePr>
              <a:graphicFrameLocks noChangeAspect="1"/>
            </wp:cNvGraphicFramePr>
            <a:graphic>
              <a:graphicData uri="http://schemas.openxmlformats.org/drawingml/2006/picture">
                <pic:pic>
                  <pic:nvPicPr>
                    <pic:cNvPr id="0" name="media_1792573859456_cf169530.png"/>
                    <pic:cNvPicPr/>
                  </pic:nvPicPr>
                  <pic:blipFill>
                    <a:blip r:embed="rId22"/>
                    <a:stretch>
                      <a:fillRect/>
                    </a:stretch>
                  </pic:blipFill>
                  <pic:spPr>
                    <a:xfrm>
                      <a:off x="0" y="0"/>
                      <a:ext cx="5486400" cy="2480667"/>
                    </a:xfrm>
                    <a:prstGeom prst="rect"/>
                  </pic:spPr>
                </pic:pic>
              </a:graphicData>
            </a:graphic>
          </wp:inline>
        </w:drawing>
      </w:r>
    </w:p>
    <w:p>
      <w:pPr>
        <w:spacing w:after="200" w:line="360" w:lineRule="auto"/>
        <w:jc w:val="center"/>
      </w:pPr>
      <w:r>
        <w:rPr>
          <w:rFonts w:ascii="Times New Roman" w:hAnsi="Times New Roman" w:eastAsia="Times New Roman"/>
          <w:b/>
          <w:i w:val="0"/>
          <w:sz w:val="20"/>
        </w:rPr>
        <w:t>Figure 6.1  Grad-CAM panel of the GUI: input fundus, block-20 attention heatmap, and anatomical overlay</w:t>
      </w:r>
    </w:p>
    <w:p>
      <w:pPr>
        <w:spacing w:after="120" w:line="360" w:lineRule="auto"/>
        <w:jc w:val="both"/>
      </w:pPr>
      <w:r>
        <w:rPr>
          <w:rFonts w:ascii="Times New Roman" w:hAnsi="Times New Roman" w:eastAsia="Times New Roman"/>
          <w:b w:val="0"/>
          <w:i w:val="0"/>
          <w:sz w:val="24"/>
        </w:rPr>
        <w:t>The three-panel view shows the original image, the normalised attention heatmap (red = highest attention), and the overlay. In the example of Figure 6.1, attention concentrates on the superior-temporal vascular arcade (upper right), the region bordering hard exudates (upper left), and the peripapillary area near the optic disc (lower left).</w:t>
      </w:r>
    </w:p>
    <w:p>
      <w:pPr>
        <w:spacing w:after="80" w:line="360" w:lineRule="auto"/>
        <w:jc w:val="left"/>
      </w:pPr>
      <w:r>
        <w:rPr>
          <w:rFonts w:ascii="Times New Roman" w:hAnsi="Times New Roman" w:eastAsia="Times New Roman"/>
          <w:b/>
          <w:i w:val="0"/>
          <w:sz w:val="26"/>
        </w:rPr>
        <w:t>6.8 Result Storage and Report Generation</w:t>
      </w:r>
    </w:p>
    <w:p>
      <w:pPr>
        <w:spacing w:after="120" w:line="360" w:lineRule="auto"/>
        <w:jc w:val="both"/>
      </w:pPr>
      <w:r>
        <w:rPr>
          <w:rFonts w:ascii="Times New Roman" w:hAnsi="Times New Roman" w:eastAsia="Times New Roman"/>
          <w:b w:val="0"/>
          <w:i w:val="0"/>
          <w:sz w:val="24"/>
        </w:rPr>
        <w:t>The report has three sections: (1) microvascular finding – Grad-CAM quadrant and coordinates plus any elevated diseases; (2) plain-language summary – CIMT status, risk, retinal age and disease findings in lay terms; and (3) recommendations – separate cardiology (e.g., confirmatory carotid ultrasound, lipid profile) and ophthalmology (e.g., dilated examination/OCT) actions. Batch evaluation outputs are saved as CSV files for audit.</w:t>
      </w:r>
    </w:p>
    <w:p>
      <w:r>
        <w:br w:type="page"/>
      </w:r>
    </w:p>
    <w:p>
      <w:pPr>
        <w:spacing w:after="0" w:line="360" w:lineRule="auto"/>
        <w:jc w:val="center"/>
      </w:pPr>
      <w:r>
        <w:rPr>
          <w:rFonts w:ascii="Times New Roman" w:hAnsi="Times New Roman" w:eastAsia="Times New Roman"/>
          <w:b/>
          <w:i w:val="0"/>
          <w:sz w:val="28"/>
        </w:rPr>
        <w:t>CHAPTER 7</w:t>
      </w:r>
    </w:p>
    <w:p>
      <w:pPr>
        <w:spacing w:after="240" w:line="360" w:lineRule="auto"/>
        <w:jc w:val="center"/>
      </w:pPr>
      <w:r>
        <w:rPr>
          <w:rFonts w:ascii="Times New Roman" w:hAnsi="Times New Roman" w:eastAsia="Times New Roman"/>
          <w:b/>
          <w:i w:val="0"/>
          <w:sz w:val="28"/>
        </w:rPr>
        <w:t>EXPERIMENTAL STUDY AND EVALUATION</w:t>
      </w:r>
    </w:p>
    <w:p>
      <w:pPr>
        <w:spacing w:after="80" w:line="360" w:lineRule="auto"/>
        <w:jc w:val="left"/>
      </w:pPr>
      <w:r>
        <w:rPr>
          <w:rFonts w:ascii="Times New Roman" w:hAnsi="Times New Roman" w:eastAsia="Times New Roman"/>
          <w:b/>
          <w:i w:val="0"/>
          <w:sz w:val="26"/>
        </w:rPr>
        <w:t>7.1 Dataset Splitting and Experimental Setup</w:t>
      </w:r>
    </w:p>
    <w:p>
      <w:pPr>
        <w:spacing w:after="120" w:line="360" w:lineRule="auto"/>
        <w:jc w:val="both"/>
      </w:pPr>
      <w:r>
        <w:rPr>
          <w:rFonts w:ascii="Times New Roman" w:hAnsi="Times New Roman" w:eastAsia="Times New Roman"/>
          <w:b w:val="0"/>
          <w:i w:val="0"/>
          <w:sz w:val="24"/>
        </w:rPr>
        <w:t>CIMT: 2,603 / 200 / 100 patients (train/validation/test); MuReD: 1,588 / 176 / 444 images. Splits are deterministic (seed 42) and at patient level. Feature extraction and an independent re-run of the CIMT benchmark were executed on a Kaggle Tesla T4 GPU.</w:t>
      </w:r>
    </w:p>
    <w:p>
      <w:pPr>
        <w:spacing w:after="80" w:line="360" w:lineRule="auto"/>
        <w:jc w:val="left"/>
      </w:pPr>
      <w:r>
        <w:rPr>
          <w:rFonts w:ascii="Times New Roman" w:hAnsi="Times New Roman" w:eastAsia="Times New Roman"/>
          <w:b/>
          <w:i w:val="0"/>
          <w:sz w:val="26"/>
        </w:rPr>
        <w:t>7.2 Training and Validation Procedure</w:t>
      </w:r>
    </w:p>
    <w:p>
      <w:pPr>
        <w:spacing w:after="120" w:line="360" w:lineRule="auto"/>
        <w:jc w:val="both"/>
      </w:pPr>
      <w:r>
        <w:rPr>
          <w:rFonts w:ascii="Times New Roman" w:hAnsi="Times New Roman" w:eastAsia="Times New Roman"/>
          <w:b w:val="0"/>
          <w:i w:val="0"/>
          <w:sz w:val="24"/>
        </w:rPr>
        <w:t>Scalers and all heads were fitted on the training split only. Hyper-parameters (regularisation C, fusion weight w = 0.83) and the decision threshold (τ = 0.80 by Youden's J) were selected on the validation split. The test split was not used for any selection.</w:t>
      </w:r>
    </w:p>
    <w:p>
      <w:pPr>
        <w:spacing w:after="80" w:line="360" w:lineRule="auto"/>
        <w:jc w:val="left"/>
      </w:pPr>
      <w:r>
        <w:rPr>
          <w:rFonts w:ascii="Times New Roman" w:hAnsi="Times New Roman" w:eastAsia="Times New Roman"/>
          <w:b/>
          <w:i w:val="0"/>
          <w:sz w:val="26"/>
        </w:rPr>
        <w:t>7.3 Testing of the Unified Model</w:t>
      </w:r>
    </w:p>
    <w:p>
      <w:pPr>
        <w:spacing w:after="120" w:line="360" w:lineRule="auto"/>
        <w:jc w:val="both"/>
      </w:pPr>
      <w:r>
        <w:rPr>
          <w:rFonts w:ascii="Times New Roman" w:hAnsi="Times New Roman" w:eastAsia="Times New Roman"/>
          <w:b w:val="0"/>
          <w:i w:val="0"/>
          <w:sz w:val="24"/>
        </w:rPr>
        <w:t>Metrics: accuracy, balanced accuracy, AUROC, sensitivity, specificity, precision, F1-score, Matthews correlation coefficient (MCC); for CIMT regression, mean absolute error (MAE) and Pearson r. Confidence intervals for accuracy use the Wilson method; the retina's incremental value was tested by 2,000-sample bootstrap of ΔAUROC.</w:t>
      </w:r>
    </w:p>
    <w:p>
      <w:pPr>
        <w:spacing w:after="80" w:line="360" w:lineRule="auto"/>
        <w:jc w:val="left"/>
      </w:pPr>
      <w:r>
        <w:rPr>
          <w:rFonts w:ascii="Times New Roman" w:hAnsi="Times New Roman" w:eastAsia="Times New Roman"/>
          <w:b/>
          <w:i w:val="0"/>
          <w:sz w:val="26"/>
        </w:rPr>
        <w:t>7.4 Multi-Disease Retinal Screening Evaluation</w:t>
      </w:r>
    </w:p>
    <w:p>
      <w:pPr>
        <w:spacing w:after="120" w:line="360" w:lineRule="auto"/>
        <w:jc w:val="both"/>
      </w:pPr>
      <w:r>
        <w:rPr>
          <w:rFonts w:ascii="Times New Roman" w:hAnsi="Times New Roman" w:eastAsia="Times New Roman"/>
          <w:b w:val="0"/>
          <w:i w:val="0"/>
          <w:sz w:val="24"/>
        </w:rPr>
        <w:t>Each of the five heads was evaluated on the training, validation and test splits with its own confusion matrix and ROC curve. Because MuReD is imbalanced (e.g., BRVO 3.6% positive), AUROC, sensitivity and F1 are emphasised over accuracy.</w:t>
      </w:r>
    </w:p>
    <w:p>
      <w:pPr>
        <w:spacing w:after="80" w:line="360" w:lineRule="auto"/>
        <w:jc w:val="left"/>
      </w:pPr>
      <w:r>
        <w:rPr>
          <w:rFonts w:ascii="Times New Roman" w:hAnsi="Times New Roman" w:eastAsia="Times New Roman"/>
          <w:b/>
          <w:i w:val="0"/>
          <w:sz w:val="26"/>
        </w:rPr>
        <w:t>7.5 CIMT Regression Evaluation</w:t>
      </w:r>
    </w:p>
    <w:p>
      <w:pPr>
        <w:spacing w:after="120" w:line="360" w:lineRule="auto"/>
        <w:jc w:val="both"/>
      </w:pPr>
      <w:r>
        <w:rPr>
          <w:rFonts w:ascii="Times New Roman" w:hAnsi="Times New Roman" w:eastAsia="Times New Roman"/>
          <w:b w:val="0"/>
          <w:i w:val="0"/>
          <w:sz w:val="24"/>
        </w:rPr>
        <w:t>Predicted and measured CIMT were compared by MAE and Pearson r. To isolate the image contribution, a retina-only ridge model (no age/sex) was also evaluated.</w:t>
      </w:r>
    </w:p>
    <w:p>
      <w:pPr>
        <w:spacing w:after="80" w:line="360" w:lineRule="auto"/>
        <w:jc w:val="left"/>
      </w:pPr>
      <w:r>
        <w:rPr>
          <w:rFonts w:ascii="Times New Roman" w:hAnsi="Times New Roman" w:eastAsia="Times New Roman"/>
          <w:b/>
          <w:i w:val="0"/>
          <w:sz w:val="26"/>
        </w:rPr>
        <w:t>7.6 Cardiovascular Classification Evaluation</w:t>
      </w:r>
    </w:p>
    <w:p>
      <w:pPr>
        <w:spacing w:after="120" w:line="360" w:lineRule="auto"/>
        <w:jc w:val="both"/>
      </w:pPr>
      <w:r>
        <w:rPr>
          <w:rFonts w:ascii="Times New Roman" w:hAnsi="Times New Roman" w:eastAsia="Times New Roman"/>
          <w:b w:val="0"/>
          <w:i w:val="0"/>
          <w:sz w:val="24"/>
        </w:rPr>
        <w:t>CVD classification was evaluated in three tiers. Tier 1 uses all 100 test patients. Tier 2 excludes the 8 patients whose recorded CIMT is exactly 0.90 mm, following the reference benchmark [23], because ultrasound caliper variability (about ±0.05 mm) makes these labels ambiguous. Tier 3 is a selective-prediction (triage) setting: predictions with p ≤ 0.78 or p ≥ 0.84 are accepted automatically (80 patients) while the 20 borderline cases are deferred to confirmatory ultrasound. Tier 1 is the unfiltered primary result; Tiers 2 and 3 are reported alongside it as sensitivity and triage analyses.</w:t>
      </w:r>
    </w:p>
    <w:p>
      <w:pPr>
        <w:spacing w:after="80" w:line="360" w:lineRule="auto"/>
        <w:jc w:val="left"/>
      </w:pPr>
      <w:r>
        <w:rPr>
          <w:rFonts w:ascii="Times New Roman" w:hAnsi="Times New Roman" w:eastAsia="Times New Roman"/>
          <w:b/>
          <w:i w:val="0"/>
          <w:sz w:val="26"/>
        </w:rPr>
        <w:t>7.7 Comparative Evaluation of ResNet50 and RETFound</w:t>
      </w:r>
    </w:p>
    <w:p>
      <w:pPr>
        <w:spacing w:after="200" w:line="360" w:lineRule="auto"/>
        <w:jc w:val="center"/>
      </w:pPr>
      <w:r>
        <w:rPr>
          <w:rFonts w:ascii="Times New Roman" w:hAnsi="Times New Roman" w:eastAsia="Times New Roman"/>
          <w:b/>
          <w:i w:val="0"/>
          <w:sz w:val="20"/>
        </w:rPr>
        <w:t>TABLE 7.1  MuReD Test Set (N=444): ResNet-50 vs. RETFound Features (identical logistic heads)</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61"/>
        <w:gridCol w:w="1661"/>
        <w:gridCol w:w="1661"/>
        <w:gridCol w:w="1661"/>
        <w:gridCol w:w="1661"/>
      </w:tblGrid>
      <w:tr>
        <w:tc>
          <w:tcPr>
            <w:tcW w:type="dxa" w:w="1661"/>
            <w:shd w:val="clear" w:fill="D9E2F3"/>
          </w:tcPr>
          <w:p>
            <w:pPr>
              <w:jc w:val="center"/>
            </w:pPr>
            <w:r/>
            <w:r>
              <w:rPr>
                <w:rFonts w:ascii="Times New Roman" w:hAnsi="Times New Roman" w:eastAsia="Times New Roman"/>
                <w:b/>
                <w:i w:val="0"/>
                <w:sz w:val="19"/>
              </w:rPr>
              <w:t>Disease</w:t>
            </w:r>
          </w:p>
        </w:tc>
        <w:tc>
          <w:tcPr>
            <w:tcW w:type="dxa" w:w="1661"/>
            <w:shd w:val="clear" w:fill="D9E2F3"/>
          </w:tcPr>
          <w:p>
            <w:pPr>
              <w:jc w:val="center"/>
            </w:pPr>
            <w:r/>
            <w:r>
              <w:rPr>
                <w:rFonts w:ascii="Times New Roman" w:hAnsi="Times New Roman" w:eastAsia="Times New Roman"/>
                <w:b/>
                <w:i w:val="0"/>
                <w:sz w:val="19"/>
              </w:rPr>
              <w:t>ResNet-50 Acc</w:t>
            </w:r>
          </w:p>
        </w:tc>
        <w:tc>
          <w:tcPr>
            <w:tcW w:type="dxa" w:w="1661"/>
            <w:shd w:val="clear" w:fill="D9E2F3"/>
          </w:tcPr>
          <w:p>
            <w:pPr>
              <w:jc w:val="center"/>
            </w:pPr>
            <w:r/>
            <w:r>
              <w:rPr>
                <w:rFonts w:ascii="Times New Roman" w:hAnsi="Times New Roman" w:eastAsia="Times New Roman"/>
                <w:b/>
                <w:i w:val="0"/>
                <w:sz w:val="19"/>
              </w:rPr>
              <w:t>ResNet-50 AUROC</w:t>
            </w:r>
          </w:p>
        </w:tc>
        <w:tc>
          <w:tcPr>
            <w:tcW w:type="dxa" w:w="1661"/>
            <w:shd w:val="clear" w:fill="D9E2F3"/>
          </w:tcPr>
          <w:p>
            <w:pPr>
              <w:jc w:val="center"/>
            </w:pPr>
            <w:r/>
            <w:r>
              <w:rPr>
                <w:rFonts w:ascii="Times New Roman" w:hAnsi="Times New Roman" w:eastAsia="Times New Roman"/>
                <w:b/>
                <w:i w:val="0"/>
                <w:sz w:val="19"/>
              </w:rPr>
              <w:t>RETFound Acc</w:t>
            </w:r>
          </w:p>
        </w:tc>
        <w:tc>
          <w:tcPr>
            <w:tcW w:type="dxa" w:w="1661"/>
            <w:shd w:val="clear" w:fill="D9E2F3"/>
          </w:tcPr>
          <w:p>
            <w:pPr>
              <w:jc w:val="center"/>
            </w:pPr>
            <w:r/>
            <w:r>
              <w:rPr>
                <w:rFonts w:ascii="Times New Roman" w:hAnsi="Times New Roman" w:eastAsia="Times New Roman"/>
                <w:b/>
                <w:i w:val="0"/>
                <w:sz w:val="19"/>
              </w:rPr>
              <w:t>RETFound AUROC</w:t>
            </w:r>
          </w:p>
        </w:tc>
      </w:tr>
      <w:tr>
        <w:tc>
          <w:tcPr>
            <w:tcW w:type="dxa" w:w="1661"/>
          </w:tcPr>
          <w:p>
            <w:pPr>
              <w:jc w:val="left"/>
            </w:pPr>
            <w:r/>
            <w:r>
              <w:rPr>
                <w:rFonts w:ascii="Times New Roman" w:hAnsi="Times New Roman" w:eastAsia="Times New Roman"/>
                <w:b/>
                <w:i w:val="0"/>
                <w:sz w:val="19"/>
              </w:rPr>
              <w:t>DR</w:t>
            </w:r>
          </w:p>
        </w:tc>
        <w:tc>
          <w:tcPr>
            <w:tcW w:type="dxa" w:w="1661"/>
          </w:tcPr>
          <w:p>
            <w:pPr>
              <w:jc w:val="center"/>
            </w:pPr>
            <w:r/>
            <w:r>
              <w:rPr>
                <w:rFonts w:ascii="Times New Roman" w:hAnsi="Times New Roman" w:eastAsia="Times New Roman"/>
                <w:b w:val="0"/>
                <w:i w:val="0"/>
                <w:sz w:val="19"/>
              </w:rPr>
              <w:t>86.49%</w:t>
            </w:r>
          </w:p>
        </w:tc>
        <w:tc>
          <w:tcPr>
            <w:tcW w:type="dxa" w:w="1661"/>
          </w:tcPr>
          <w:p>
            <w:pPr>
              <w:jc w:val="center"/>
            </w:pPr>
            <w:r/>
            <w:r>
              <w:rPr>
                <w:rFonts w:ascii="Times New Roman" w:hAnsi="Times New Roman" w:eastAsia="Times New Roman"/>
                <w:b w:val="0"/>
                <w:i w:val="0"/>
                <w:sz w:val="19"/>
              </w:rPr>
              <w:t>0.8893</w:t>
            </w:r>
          </w:p>
        </w:tc>
        <w:tc>
          <w:tcPr>
            <w:tcW w:type="dxa" w:w="1661"/>
          </w:tcPr>
          <w:p>
            <w:pPr>
              <w:jc w:val="center"/>
            </w:pPr>
            <w:r/>
            <w:r>
              <w:rPr>
                <w:rFonts w:ascii="Times New Roman" w:hAnsi="Times New Roman" w:eastAsia="Times New Roman"/>
                <w:b w:val="0"/>
                <w:i w:val="0"/>
                <w:sz w:val="19"/>
              </w:rPr>
              <w:t>85.59%</w:t>
            </w:r>
          </w:p>
        </w:tc>
        <w:tc>
          <w:tcPr>
            <w:tcW w:type="dxa" w:w="1661"/>
          </w:tcPr>
          <w:p>
            <w:pPr>
              <w:jc w:val="center"/>
            </w:pPr>
            <w:r/>
            <w:r>
              <w:rPr>
                <w:rFonts w:ascii="Times New Roman" w:hAnsi="Times New Roman" w:eastAsia="Times New Roman"/>
                <w:b w:val="0"/>
                <w:i w:val="0"/>
                <w:sz w:val="19"/>
              </w:rPr>
              <w:t>0.8699</w:t>
            </w:r>
          </w:p>
        </w:tc>
      </w:tr>
      <w:tr>
        <w:tc>
          <w:tcPr>
            <w:tcW w:type="dxa" w:w="1661"/>
          </w:tcPr>
          <w:p>
            <w:pPr>
              <w:jc w:val="left"/>
            </w:pPr>
            <w:r/>
            <w:r>
              <w:rPr>
                <w:rFonts w:ascii="Times New Roman" w:hAnsi="Times New Roman" w:eastAsia="Times New Roman"/>
                <w:b/>
                <w:i w:val="0"/>
                <w:sz w:val="19"/>
              </w:rPr>
              <w:t>MYA</w:t>
            </w:r>
          </w:p>
        </w:tc>
        <w:tc>
          <w:tcPr>
            <w:tcW w:type="dxa" w:w="1661"/>
          </w:tcPr>
          <w:p>
            <w:pPr>
              <w:jc w:val="center"/>
            </w:pPr>
            <w:r/>
            <w:r>
              <w:rPr>
                <w:rFonts w:ascii="Times New Roman" w:hAnsi="Times New Roman" w:eastAsia="Times New Roman"/>
                <w:b w:val="0"/>
                <w:i w:val="0"/>
                <w:sz w:val="19"/>
              </w:rPr>
              <w:t>97.52%</w:t>
            </w:r>
          </w:p>
        </w:tc>
        <w:tc>
          <w:tcPr>
            <w:tcW w:type="dxa" w:w="1661"/>
          </w:tcPr>
          <w:p>
            <w:pPr>
              <w:jc w:val="center"/>
            </w:pPr>
            <w:r/>
            <w:r>
              <w:rPr>
                <w:rFonts w:ascii="Times New Roman" w:hAnsi="Times New Roman" w:eastAsia="Times New Roman"/>
                <w:b w:val="0"/>
                <w:i w:val="0"/>
                <w:sz w:val="19"/>
              </w:rPr>
              <w:t>0.9940</w:t>
            </w:r>
          </w:p>
        </w:tc>
        <w:tc>
          <w:tcPr>
            <w:tcW w:type="dxa" w:w="1661"/>
          </w:tcPr>
          <w:p>
            <w:pPr>
              <w:jc w:val="center"/>
            </w:pPr>
            <w:r/>
            <w:r>
              <w:rPr>
                <w:rFonts w:ascii="Times New Roman" w:hAnsi="Times New Roman" w:eastAsia="Times New Roman"/>
                <w:b w:val="0"/>
                <w:i w:val="0"/>
                <w:sz w:val="19"/>
              </w:rPr>
              <w:t>98.20%</w:t>
            </w:r>
          </w:p>
        </w:tc>
        <w:tc>
          <w:tcPr>
            <w:tcW w:type="dxa" w:w="1661"/>
          </w:tcPr>
          <w:p>
            <w:pPr>
              <w:jc w:val="center"/>
            </w:pPr>
            <w:r/>
            <w:r>
              <w:rPr>
                <w:rFonts w:ascii="Times New Roman" w:hAnsi="Times New Roman" w:eastAsia="Times New Roman"/>
                <w:b w:val="0"/>
                <w:i w:val="0"/>
                <w:sz w:val="19"/>
              </w:rPr>
              <w:t>0.9977</w:t>
            </w:r>
          </w:p>
        </w:tc>
      </w:tr>
      <w:tr>
        <w:tc>
          <w:tcPr>
            <w:tcW w:type="dxa" w:w="1661"/>
          </w:tcPr>
          <w:p>
            <w:pPr>
              <w:jc w:val="left"/>
            </w:pPr>
            <w:r/>
            <w:r>
              <w:rPr>
                <w:rFonts w:ascii="Times New Roman" w:hAnsi="Times New Roman" w:eastAsia="Times New Roman"/>
                <w:b/>
                <w:i w:val="0"/>
                <w:sz w:val="19"/>
              </w:rPr>
              <w:t>ODC</w:t>
            </w:r>
          </w:p>
        </w:tc>
        <w:tc>
          <w:tcPr>
            <w:tcW w:type="dxa" w:w="1661"/>
          </w:tcPr>
          <w:p>
            <w:pPr>
              <w:jc w:val="center"/>
            </w:pPr>
            <w:r/>
            <w:r>
              <w:rPr>
                <w:rFonts w:ascii="Times New Roman" w:hAnsi="Times New Roman" w:eastAsia="Times New Roman"/>
                <w:b w:val="0"/>
                <w:i w:val="0"/>
                <w:sz w:val="19"/>
              </w:rPr>
              <w:t>87.61%</w:t>
            </w:r>
          </w:p>
        </w:tc>
        <w:tc>
          <w:tcPr>
            <w:tcW w:type="dxa" w:w="1661"/>
          </w:tcPr>
          <w:p>
            <w:pPr>
              <w:jc w:val="center"/>
            </w:pPr>
            <w:r/>
            <w:r>
              <w:rPr>
                <w:rFonts w:ascii="Times New Roman" w:hAnsi="Times New Roman" w:eastAsia="Times New Roman"/>
                <w:b w:val="0"/>
                <w:i w:val="0"/>
                <w:sz w:val="19"/>
              </w:rPr>
              <w:t>0.8390</w:t>
            </w:r>
          </w:p>
        </w:tc>
        <w:tc>
          <w:tcPr>
            <w:tcW w:type="dxa" w:w="1661"/>
          </w:tcPr>
          <w:p>
            <w:pPr>
              <w:jc w:val="center"/>
            </w:pPr>
            <w:r/>
            <w:r>
              <w:rPr>
                <w:rFonts w:ascii="Times New Roman" w:hAnsi="Times New Roman" w:eastAsia="Times New Roman"/>
                <w:b w:val="0"/>
                <w:i w:val="0"/>
                <w:sz w:val="19"/>
              </w:rPr>
              <w:t>86.94%</w:t>
            </w:r>
          </w:p>
        </w:tc>
        <w:tc>
          <w:tcPr>
            <w:tcW w:type="dxa" w:w="1661"/>
          </w:tcPr>
          <w:p>
            <w:pPr>
              <w:jc w:val="center"/>
            </w:pPr>
            <w:r/>
            <w:r>
              <w:rPr>
                <w:rFonts w:ascii="Times New Roman" w:hAnsi="Times New Roman" w:eastAsia="Times New Roman"/>
                <w:b w:val="0"/>
                <w:i w:val="0"/>
                <w:sz w:val="19"/>
              </w:rPr>
              <w:t>0.8081</w:t>
            </w:r>
          </w:p>
        </w:tc>
      </w:tr>
      <w:tr>
        <w:tc>
          <w:tcPr>
            <w:tcW w:type="dxa" w:w="1661"/>
          </w:tcPr>
          <w:p>
            <w:pPr>
              <w:jc w:val="left"/>
            </w:pPr>
            <w:r/>
            <w:r>
              <w:rPr>
                <w:rFonts w:ascii="Times New Roman" w:hAnsi="Times New Roman" w:eastAsia="Times New Roman"/>
                <w:b/>
                <w:i w:val="0"/>
                <w:sz w:val="19"/>
              </w:rPr>
              <w:t>TSLN</w:t>
            </w:r>
          </w:p>
        </w:tc>
        <w:tc>
          <w:tcPr>
            <w:tcW w:type="dxa" w:w="1661"/>
          </w:tcPr>
          <w:p>
            <w:pPr>
              <w:jc w:val="center"/>
            </w:pPr>
            <w:r/>
            <w:r>
              <w:rPr>
                <w:rFonts w:ascii="Times New Roman" w:hAnsi="Times New Roman" w:eastAsia="Times New Roman"/>
                <w:b w:val="0"/>
                <w:i w:val="0"/>
                <w:sz w:val="19"/>
              </w:rPr>
              <w:t>93.92%</w:t>
            </w:r>
          </w:p>
        </w:tc>
        <w:tc>
          <w:tcPr>
            <w:tcW w:type="dxa" w:w="1661"/>
          </w:tcPr>
          <w:p>
            <w:pPr>
              <w:jc w:val="center"/>
            </w:pPr>
            <w:r/>
            <w:r>
              <w:rPr>
                <w:rFonts w:ascii="Times New Roman" w:hAnsi="Times New Roman" w:eastAsia="Times New Roman"/>
                <w:b w:val="0"/>
                <w:i w:val="0"/>
                <w:sz w:val="19"/>
              </w:rPr>
              <w:t>0.9079</w:t>
            </w:r>
          </w:p>
        </w:tc>
        <w:tc>
          <w:tcPr>
            <w:tcW w:type="dxa" w:w="1661"/>
          </w:tcPr>
          <w:p>
            <w:pPr>
              <w:jc w:val="center"/>
            </w:pPr>
            <w:r/>
            <w:r>
              <w:rPr>
                <w:rFonts w:ascii="Times New Roman" w:hAnsi="Times New Roman" w:eastAsia="Times New Roman"/>
                <w:b w:val="0"/>
                <w:i w:val="0"/>
                <w:sz w:val="19"/>
              </w:rPr>
              <w:t>93.69%</w:t>
            </w:r>
          </w:p>
        </w:tc>
        <w:tc>
          <w:tcPr>
            <w:tcW w:type="dxa" w:w="1661"/>
          </w:tcPr>
          <w:p>
            <w:pPr>
              <w:jc w:val="center"/>
            </w:pPr>
            <w:r/>
            <w:r>
              <w:rPr>
                <w:rFonts w:ascii="Times New Roman" w:hAnsi="Times New Roman" w:eastAsia="Times New Roman"/>
                <w:b w:val="0"/>
                <w:i w:val="0"/>
                <w:sz w:val="19"/>
              </w:rPr>
              <w:t>0.9213</w:t>
            </w:r>
          </w:p>
        </w:tc>
      </w:tr>
      <w:tr>
        <w:tc>
          <w:tcPr>
            <w:tcW w:type="dxa" w:w="1661"/>
          </w:tcPr>
          <w:p>
            <w:pPr>
              <w:jc w:val="left"/>
            </w:pPr>
            <w:r/>
            <w:r>
              <w:rPr>
                <w:rFonts w:ascii="Times New Roman" w:hAnsi="Times New Roman" w:eastAsia="Times New Roman"/>
                <w:b/>
                <w:i w:val="0"/>
                <w:sz w:val="19"/>
              </w:rPr>
              <w:t>BRVO</w:t>
            </w:r>
          </w:p>
        </w:tc>
        <w:tc>
          <w:tcPr>
            <w:tcW w:type="dxa" w:w="1661"/>
          </w:tcPr>
          <w:p>
            <w:pPr>
              <w:jc w:val="center"/>
            </w:pPr>
            <w:r/>
            <w:r>
              <w:rPr>
                <w:rFonts w:ascii="Times New Roman" w:hAnsi="Times New Roman" w:eastAsia="Times New Roman"/>
                <w:b w:val="0"/>
                <w:i w:val="0"/>
                <w:sz w:val="19"/>
              </w:rPr>
              <w:t>96.62%</w:t>
            </w:r>
          </w:p>
        </w:tc>
        <w:tc>
          <w:tcPr>
            <w:tcW w:type="dxa" w:w="1661"/>
          </w:tcPr>
          <w:p>
            <w:pPr>
              <w:jc w:val="center"/>
            </w:pPr>
            <w:r/>
            <w:r>
              <w:rPr>
                <w:rFonts w:ascii="Times New Roman" w:hAnsi="Times New Roman" w:eastAsia="Times New Roman"/>
                <w:b w:val="0"/>
                <w:i w:val="0"/>
                <w:sz w:val="19"/>
              </w:rPr>
              <w:t>0.9216</w:t>
            </w:r>
          </w:p>
        </w:tc>
        <w:tc>
          <w:tcPr>
            <w:tcW w:type="dxa" w:w="1661"/>
          </w:tcPr>
          <w:p>
            <w:pPr>
              <w:jc w:val="center"/>
            </w:pPr>
            <w:r/>
            <w:r>
              <w:rPr>
                <w:rFonts w:ascii="Times New Roman" w:hAnsi="Times New Roman" w:eastAsia="Times New Roman"/>
                <w:b w:val="0"/>
                <w:i w:val="0"/>
                <w:sz w:val="19"/>
              </w:rPr>
              <w:t>95.95%</w:t>
            </w:r>
          </w:p>
        </w:tc>
        <w:tc>
          <w:tcPr>
            <w:tcW w:type="dxa" w:w="1661"/>
          </w:tcPr>
          <w:p>
            <w:pPr>
              <w:jc w:val="center"/>
            </w:pPr>
            <w:r/>
            <w:r>
              <w:rPr>
                <w:rFonts w:ascii="Times New Roman" w:hAnsi="Times New Roman" w:eastAsia="Times New Roman"/>
                <w:b w:val="0"/>
                <w:i w:val="0"/>
                <w:sz w:val="19"/>
              </w:rPr>
              <w:t>0.8787</w:t>
            </w:r>
          </w:p>
        </w:tc>
      </w:tr>
      <w:tr>
        <w:tc>
          <w:tcPr>
            <w:tcW w:type="dxa" w:w="1661"/>
          </w:tcPr>
          <w:p>
            <w:pPr>
              <w:jc w:val="left"/>
            </w:pPr>
            <w:r/>
            <w:r>
              <w:rPr>
                <w:rFonts w:ascii="Times New Roman" w:hAnsi="Times New Roman" w:eastAsia="Times New Roman"/>
                <w:b/>
                <w:i w:val="0"/>
                <w:sz w:val="19"/>
              </w:rPr>
              <w:t>Mean AUROC</w:t>
            </w:r>
          </w:p>
        </w:tc>
        <w:tc>
          <w:tcPr>
            <w:tcW w:type="dxa" w:w="1661"/>
          </w:tcPr>
          <w:p>
            <w:pPr>
              <w:jc w:val="center"/>
            </w:pPr>
            <w:r/>
            <w:r>
              <w:rPr>
                <w:rFonts w:ascii="Times New Roman" w:hAnsi="Times New Roman" w:eastAsia="Times New Roman"/>
                <w:b w:val="0"/>
                <w:i w:val="0"/>
                <w:sz w:val="19"/>
              </w:rPr>
            </w:r>
          </w:p>
        </w:tc>
        <w:tc>
          <w:tcPr>
            <w:tcW w:type="dxa" w:w="1661"/>
          </w:tcPr>
          <w:p>
            <w:pPr>
              <w:jc w:val="center"/>
            </w:pPr>
            <w:r/>
            <w:r>
              <w:rPr>
                <w:rFonts w:ascii="Times New Roman" w:hAnsi="Times New Roman" w:eastAsia="Times New Roman"/>
                <w:b w:val="0"/>
                <w:i w:val="0"/>
                <w:sz w:val="19"/>
              </w:rPr>
              <w:t>0.9104</w:t>
            </w:r>
          </w:p>
        </w:tc>
        <w:tc>
          <w:tcPr>
            <w:tcW w:type="dxa" w:w="1661"/>
          </w:tcPr>
          <w:p>
            <w:pPr>
              <w:jc w:val="center"/>
            </w:pPr>
            <w:r/>
            <w:r>
              <w:rPr>
                <w:rFonts w:ascii="Times New Roman" w:hAnsi="Times New Roman" w:eastAsia="Times New Roman"/>
                <w:b w:val="0"/>
                <w:i w:val="0"/>
                <w:sz w:val="19"/>
              </w:rPr>
            </w:r>
          </w:p>
        </w:tc>
        <w:tc>
          <w:tcPr>
            <w:tcW w:type="dxa" w:w="1661"/>
          </w:tcPr>
          <w:p>
            <w:pPr>
              <w:jc w:val="center"/>
            </w:pPr>
            <w:r/>
            <w:r>
              <w:rPr>
                <w:rFonts w:ascii="Times New Roman" w:hAnsi="Times New Roman" w:eastAsia="Times New Roman"/>
                <w:b w:val="0"/>
                <w:i w:val="0"/>
                <w:sz w:val="19"/>
              </w:rPr>
              <w:t>0.8951</w:t>
            </w:r>
          </w:p>
        </w:tc>
      </w:tr>
    </w:tbl>
    <w:p/>
    <w:p>
      <w:pPr>
        <w:spacing w:after="120" w:line="360" w:lineRule="auto"/>
        <w:jc w:val="both"/>
      </w:pPr>
      <w:r>
        <w:rPr>
          <w:rFonts w:ascii="Times New Roman" w:hAnsi="Times New Roman" w:eastAsia="Times New Roman"/>
          <w:b w:val="0"/>
          <w:i w:val="0"/>
          <w:sz w:val="24"/>
        </w:rPr>
        <w:t>With identical logistic heads and standardization, ResNet-50 features achieved comparable or slightly higher average test AUROC across the five diseases (0.9104 vs. 0.8951 for RETFound). ResNet-50 performed higher on DR (0.8893 vs. 0.8699), ODC (0.8390 vs. 0.8081), and BRVO (0.9216 vs. 0.8787), while RETFound yielded higher discrimination on Pathological Myopia (0.9977 vs. 0.9940) and Tessellated Fundus (0.9213 vs. 0.9079). RETFound was selected as the foundation backbone because of its self-supervised pretraining on 1.6 million retinal images, superior label efficiency on small clinical cohorts, cross-task transferability to the carotid atherosclerosis (CIMT) task [12], [22], and native compatibility with Vision Transformer patch-level attention mechanisms for Grad-CAM explainability. A direct ResNet-50 baseline on the CIMT regression task was not run in this study and is identified as future work.</w:t>
      </w:r>
    </w:p>
    <w:p>
      <w:pPr>
        <w:spacing w:after="80" w:line="360" w:lineRule="auto"/>
        <w:jc w:val="left"/>
      </w:pPr>
      <w:r>
        <w:rPr>
          <w:rFonts w:ascii="Times New Roman" w:hAnsi="Times New Roman" w:eastAsia="Times New Roman"/>
          <w:b/>
          <w:i w:val="0"/>
          <w:sz w:val="26"/>
        </w:rPr>
        <w:t>7.8 Model Complexity and Inference Efficiency</w:t>
      </w:r>
    </w:p>
    <w:p>
      <w:pPr>
        <w:spacing w:after="120" w:line="360" w:lineRule="auto"/>
        <w:jc w:val="both"/>
      </w:pPr>
      <w:r>
        <w:rPr>
          <w:rFonts w:ascii="Times New Roman" w:hAnsi="Times New Roman" w:eastAsia="Times New Roman"/>
          <w:b w:val="0"/>
          <w:i w:val="0"/>
          <w:sz w:val="24"/>
        </w:rPr>
        <w:t>The RETFound encoder has about 304 M (frozen) parameters; ResNet-50 about 25.6 M. The trainable part of the proposed system is very small: five disease heads of 1,025 weights each, a 1,025-weight retina probe, a 3-weight demographic probe, and ridge regressors of similar size—serialised in about 170 KB. Thus nearly all compute is in the single encoder forward pass, and the heads add negligible cost. Formal latency benchmarking on target hardware was not performed.</w:t>
      </w:r>
    </w:p>
    <w:p>
      <w:pPr>
        <w:spacing w:after="80" w:line="360" w:lineRule="auto"/>
        <w:jc w:val="left"/>
      </w:pPr>
      <w:r>
        <w:rPr>
          <w:rFonts w:ascii="Times New Roman" w:hAnsi="Times New Roman" w:eastAsia="Times New Roman"/>
          <w:b/>
          <w:i w:val="0"/>
          <w:sz w:val="26"/>
        </w:rPr>
        <w:t>7.9 Limitations of Case Study</w:t>
      </w:r>
    </w:p>
    <w:p>
      <w:pPr>
        <w:spacing w:line="360" w:lineRule="auto" w:after="60"/>
        <w:ind w:left="432" w:hanging="288"/>
        <w:jc w:val="both"/>
      </w:pPr>
      <w:r>
        <w:rPr>
          <w:rFonts w:ascii="Times New Roman" w:hAnsi="Times New Roman" w:eastAsia="Times New Roman"/>
          <w:b w:val="0"/>
          <w:i w:val="0"/>
          <w:sz w:val="24"/>
        </w:rPr>
        <w:t>•  Single-source CIMT cohort and a 100-patient test set (95% CI for 88% accuracy ≈ 80.2–93.0%).</w:t>
      </w:r>
    </w:p>
    <w:p>
      <w:pPr>
        <w:spacing w:line="360" w:lineRule="auto" w:after="60"/>
        <w:ind w:left="432" w:hanging="288"/>
        <w:jc w:val="both"/>
      </w:pPr>
      <w:r>
        <w:rPr>
          <w:rFonts w:ascii="Times New Roman" w:hAnsi="Times New Roman" w:eastAsia="Times New Roman"/>
          <w:b w:val="0"/>
          <w:i w:val="0"/>
          <w:sz w:val="24"/>
        </w:rPr>
        <w:t>•  Tier 2 and Tier 3 are post-hoc subsets of the test set and must be interpreted alongside Tier 1.</w:t>
      </w:r>
    </w:p>
    <w:p>
      <w:pPr>
        <w:spacing w:line="360" w:lineRule="auto" w:after="60"/>
        <w:ind w:left="432" w:hanging="288"/>
        <w:jc w:val="both"/>
      </w:pPr>
      <w:r>
        <w:rPr>
          <w:rFonts w:ascii="Times New Roman" w:hAnsi="Times New Roman" w:eastAsia="Times New Roman"/>
          <w:b w:val="0"/>
          <w:i w:val="0"/>
          <w:sz w:val="24"/>
        </w:rPr>
        <w:t>•  No ground-truth retinal-disease labels exist for the CIMT cohort.</w:t>
      </w:r>
    </w:p>
    <w:p>
      <w:r>
        <w:br w:type="page"/>
      </w:r>
    </w:p>
    <w:p>
      <w:pPr>
        <w:spacing w:after="0" w:line="360" w:lineRule="auto"/>
        <w:jc w:val="center"/>
      </w:pPr>
      <w:r>
        <w:rPr>
          <w:rFonts w:ascii="Times New Roman" w:hAnsi="Times New Roman" w:eastAsia="Times New Roman"/>
          <w:b/>
          <w:i w:val="0"/>
          <w:sz w:val="28"/>
        </w:rPr>
        <w:t>CHAPTER 8</w:t>
      </w:r>
    </w:p>
    <w:p>
      <w:pPr>
        <w:spacing w:after="240" w:line="360" w:lineRule="auto"/>
        <w:jc w:val="center"/>
      </w:pPr>
      <w:r>
        <w:rPr>
          <w:rFonts w:ascii="Times New Roman" w:hAnsi="Times New Roman" w:eastAsia="Times New Roman"/>
          <w:b/>
          <w:i w:val="0"/>
          <w:sz w:val="28"/>
        </w:rPr>
        <w:t>RESULTS</w:t>
      </w:r>
    </w:p>
    <w:p>
      <w:pPr>
        <w:spacing w:after="80" w:line="360" w:lineRule="auto"/>
        <w:jc w:val="left"/>
      </w:pPr>
      <w:r>
        <w:rPr>
          <w:rFonts w:ascii="Times New Roman" w:hAnsi="Times New Roman" w:eastAsia="Times New Roman"/>
          <w:b/>
          <w:i w:val="0"/>
          <w:sz w:val="26"/>
        </w:rPr>
        <w:t>8.1 Overview of Results</w:t>
      </w:r>
    </w:p>
    <w:p>
      <w:pPr>
        <w:spacing w:after="120" w:line="360" w:lineRule="auto"/>
        <w:jc w:val="both"/>
      </w:pPr>
      <w:r>
        <w:rPr>
          <w:rFonts w:ascii="Times New Roman" w:hAnsi="Times New Roman" w:eastAsia="Times New Roman"/>
          <w:b w:val="0"/>
          <w:i w:val="0"/>
          <w:sz w:val="24"/>
        </w:rPr>
        <w:t>The proposed system achieved 88–89% raw test accuracy (AUROC 0.943–0.947) for CVD/CIMT classification, 92.39% accuracy with 97.62% sensitivity after excluding boundary labels, and 95.00% accuracy (AUROC 0.9855) on the 80% of patients accepted by the triage protocol. CIMT was estimated with an MAE of 0.113 mm (r = 0.748). On MuReD, test AUROCs ranged from 0.808 (ODC) to 0.998 (MYA).</w:t>
      </w:r>
    </w:p>
    <w:p>
      <w:pPr>
        <w:spacing w:after="80" w:line="360" w:lineRule="auto"/>
        <w:jc w:val="left"/>
      </w:pPr>
      <w:r>
        <w:rPr>
          <w:rFonts w:ascii="Times New Roman" w:hAnsi="Times New Roman" w:eastAsia="Times New Roman"/>
          <w:b/>
          <w:i w:val="0"/>
          <w:sz w:val="26"/>
        </w:rPr>
        <w:t>8.2 Multi-Disease Classification Results</w:t>
      </w:r>
    </w:p>
    <w:p>
      <w:pPr>
        <w:jc w:val="center"/>
      </w:pPr>
      <w:r>
        <w:drawing>
          <wp:inline xmlns:a="http://schemas.openxmlformats.org/drawingml/2006/main" xmlns:pic="http://schemas.openxmlformats.org/drawingml/2006/picture">
            <wp:extent cx="5760720" cy="3333677"/>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333677"/>
                    </a:xfrm>
                    <a:prstGeom prst="rect"/>
                  </pic:spPr>
                </pic:pic>
              </a:graphicData>
            </a:graphic>
          </wp:inline>
        </w:drawing>
      </w:r>
    </w:p>
    <w:p>
      <w:pPr>
        <w:spacing w:after="200" w:line="360" w:lineRule="auto"/>
        <w:jc w:val="center"/>
      </w:pPr>
      <w:r>
        <w:rPr>
          <w:rFonts w:ascii="Times New Roman" w:hAnsi="Times New Roman" w:eastAsia="Times New Roman"/>
          <w:b/>
          <w:i w:val="0"/>
          <w:sz w:val="20"/>
        </w:rPr>
        <w:t>Figure 8.1  MuReD confusion matrices for all five diseases across training, validation and test splits</w:t>
      </w:r>
    </w:p>
    <w:p>
      <w:pPr>
        <w:spacing w:after="80" w:line="360" w:lineRule="auto"/>
        <w:jc w:val="left"/>
      </w:pPr>
      <w:r>
        <w:rPr>
          <w:rFonts w:ascii="Times New Roman" w:hAnsi="Times New Roman" w:eastAsia="Times New Roman"/>
          <w:b/>
          <w:i w:val="0"/>
          <w:sz w:val="26"/>
        </w:rPr>
        <w:t>8.3 Disease-Wise Performance Analysis</w:t>
      </w:r>
    </w:p>
    <w:p>
      <w:pPr>
        <w:spacing w:after="200" w:line="360" w:lineRule="auto"/>
        <w:jc w:val="center"/>
      </w:pPr>
      <w:r>
        <w:rPr>
          <w:rFonts w:ascii="Times New Roman" w:hAnsi="Times New Roman" w:eastAsia="Times New Roman"/>
          <w:b/>
          <w:i w:val="0"/>
          <w:sz w:val="20"/>
        </w:rPr>
        <w:t>TABLE 8.1  MuReD Five-Disease Test-Set Performance (N = 444)</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038"/>
        <w:gridCol w:w="1038"/>
        <w:gridCol w:w="1038"/>
        <w:gridCol w:w="1038"/>
        <w:gridCol w:w="1038"/>
        <w:gridCol w:w="1038"/>
        <w:gridCol w:w="1038"/>
        <w:gridCol w:w="1038"/>
      </w:tblGrid>
      <w:tr>
        <w:tc>
          <w:tcPr>
            <w:tcW w:type="dxa" w:w="1038"/>
            <w:shd w:val="clear" w:fill="D9E2F3"/>
          </w:tcPr>
          <w:p>
            <w:pPr>
              <w:jc w:val="center"/>
            </w:pPr>
            <w:r/>
            <w:r>
              <w:rPr>
                <w:rFonts w:ascii="Times New Roman" w:hAnsi="Times New Roman" w:eastAsia="Times New Roman"/>
                <w:b/>
                <w:i w:val="0"/>
                <w:sz w:val="19"/>
              </w:rPr>
              <w:t>Disease</w:t>
            </w:r>
          </w:p>
        </w:tc>
        <w:tc>
          <w:tcPr>
            <w:tcW w:type="dxa" w:w="1038"/>
            <w:shd w:val="clear" w:fill="D9E2F3"/>
          </w:tcPr>
          <w:p>
            <w:pPr>
              <w:jc w:val="center"/>
            </w:pPr>
            <w:r/>
            <w:r>
              <w:rPr>
                <w:rFonts w:ascii="Times New Roman" w:hAnsi="Times New Roman" w:eastAsia="Times New Roman"/>
                <w:b/>
                <w:i w:val="0"/>
                <w:sz w:val="19"/>
              </w:rPr>
              <w:t>Positives</w:t>
            </w:r>
          </w:p>
        </w:tc>
        <w:tc>
          <w:tcPr>
            <w:tcW w:type="dxa" w:w="1038"/>
            <w:shd w:val="clear" w:fill="D9E2F3"/>
          </w:tcPr>
          <w:p>
            <w:pPr>
              <w:jc w:val="center"/>
            </w:pPr>
            <w:r/>
            <w:r>
              <w:rPr>
                <w:rFonts w:ascii="Times New Roman" w:hAnsi="Times New Roman" w:eastAsia="Times New Roman"/>
                <w:b/>
                <w:i w:val="0"/>
                <w:sz w:val="19"/>
              </w:rPr>
              <w:t>TN/FP/FN/TP</w:t>
            </w:r>
          </w:p>
        </w:tc>
        <w:tc>
          <w:tcPr>
            <w:tcW w:type="dxa" w:w="1038"/>
            <w:shd w:val="clear" w:fill="D9E2F3"/>
          </w:tcPr>
          <w:p>
            <w:pPr>
              <w:jc w:val="center"/>
            </w:pPr>
            <w:r/>
            <w:r>
              <w:rPr>
                <w:rFonts w:ascii="Times New Roman" w:hAnsi="Times New Roman" w:eastAsia="Times New Roman"/>
                <w:b/>
                <w:i w:val="0"/>
                <w:sz w:val="19"/>
              </w:rPr>
              <w:t>Accuracy</w:t>
            </w:r>
          </w:p>
        </w:tc>
        <w:tc>
          <w:tcPr>
            <w:tcW w:type="dxa" w:w="1038"/>
            <w:shd w:val="clear" w:fill="D9E2F3"/>
          </w:tcPr>
          <w:p>
            <w:pPr>
              <w:jc w:val="center"/>
            </w:pPr>
            <w:r/>
            <w:r>
              <w:rPr>
                <w:rFonts w:ascii="Times New Roman" w:hAnsi="Times New Roman" w:eastAsia="Times New Roman"/>
                <w:b/>
                <w:i w:val="0"/>
                <w:sz w:val="19"/>
              </w:rPr>
              <w:t>AUROC</w:t>
            </w:r>
          </w:p>
        </w:tc>
        <w:tc>
          <w:tcPr>
            <w:tcW w:type="dxa" w:w="1038"/>
            <w:shd w:val="clear" w:fill="D9E2F3"/>
          </w:tcPr>
          <w:p>
            <w:pPr>
              <w:jc w:val="center"/>
            </w:pPr>
            <w:r/>
            <w:r>
              <w:rPr>
                <w:rFonts w:ascii="Times New Roman" w:hAnsi="Times New Roman" w:eastAsia="Times New Roman"/>
                <w:b/>
                <w:i w:val="0"/>
                <w:sz w:val="19"/>
              </w:rPr>
              <w:t>Sensitivity</w:t>
            </w:r>
          </w:p>
        </w:tc>
        <w:tc>
          <w:tcPr>
            <w:tcW w:type="dxa" w:w="1038"/>
            <w:shd w:val="clear" w:fill="D9E2F3"/>
          </w:tcPr>
          <w:p>
            <w:pPr>
              <w:jc w:val="center"/>
            </w:pPr>
            <w:r/>
            <w:r>
              <w:rPr>
                <w:rFonts w:ascii="Times New Roman" w:hAnsi="Times New Roman" w:eastAsia="Times New Roman"/>
                <w:b/>
                <w:i w:val="0"/>
                <w:sz w:val="19"/>
              </w:rPr>
              <w:t>Specificity</w:t>
            </w:r>
          </w:p>
        </w:tc>
        <w:tc>
          <w:tcPr>
            <w:tcW w:type="dxa" w:w="1038"/>
            <w:shd w:val="clear" w:fill="D9E2F3"/>
          </w:tcPr>
          <w:p>
            <w:pPr>
              <w:jc w:val="center"/>
            </w:pPr>
            <w:r/>
            <w:r>
              <w:rPr>
                <w:rFonts w:ascii="Times New Roman" w:hAnsi="Times New Roman" w:eastAsia="Times New Roman"/>
                <w:b/>
                <w:i w:val="0"/>
                <w:sz w:val="19"/>
              </w:rPr>
              <w:t>F1</w:t>
            </w:r>
          </w:p>
        </w:tc>
      </w:tr>
      <w:tr>
        <w:tc>
          <w:tcPr>
            <w:tcW w:type="dxa" w:w="1038"/>
          </w:tcPr>
          <w:p>
            <w:pPr>
              <w:jc w:val="left"/>
            </w:pPr>
            <w:r/>
            <w:r>
              <w:rPr>
                <w:rFonts w:ascii="Times New Roman" w:hAnsi="Times New Roman" w:eastAsia="Times New Roman"/>
                <w:b/>
                <w:i w:val="0"/>
                <w:sz w:val="19"/>
              </w:rPr>
              <w:t>DR</w:t>
            </w:r>
          </w:p>
        </w:tc>
        <w:tc>
          <w:tcPr>
            <w:tcW w:type="dxa" w:w="1038"/>
          </w:tcPr>
          <w:p>
            <w:pPr>
              <w:jc w:val="center"/>
            </w:pPr>
            <w:r/>
            <w:r>
              <w:rPr>
                <w:rFonts w:ascii="Times New Roman" w:hAnsi="Times New Roman" w:eastAsia="Times New Roman"/>
                <w:b w:val="0"/>
                <w:i w:val="0"/>
                <w:sz w:val="19"/>
              </w:rPr>
              <w:t>99</w:t>
            </w:r>
          </w:p>
        </w:tc>
        <w:tc>
          <w:tcPr>
            <w:tcW w:type="dxa" w:w="1038"/>
          </w:tcPr>
          <w:p>
            <w:pPr>
              <w:jc w:val="center"/>
            </w:pPr>
            <w:r/>
            <w:r>
              <w:rPr>
                <w:rFonts w:ascii="Times New Roman" w:hAnsi="Times New Roman" w:eastAsia="Times New Roman"/>
                <w:b w:val="0"/>
                <w:i w:val="0"/>
                <w:sz w:val="19"/>
              </w:rPr>
              <w:t>312/33/31/68</w:t>
            </w:r>
          </w:p>
        </w:tc>
        <w:tc>
          <w:tcPr>
            <w:tcW w:type="dxa" w:w="1038"/>
          </w:tcPr>
          <w:p>
            <w:pPr>
              <w:jc w:val="center"/>
            </w:pPr>
            <w:r/>
            <w:r>
              <w:rPr>
                <w:rFonts w:ascii="Times New Roman" w:hAnsi="Times New Roman" w:eastAsia="Times New Roman"/>
                <w:b w:val="0"/>
                <w:i w:val="0"/>
                <w:sz w:val="19"/>
              </w:rPr>
              <w:t>85.59%</w:t>
            </w:r>
          </w:p>
        </w:tc>
        <w:tc>
          <w:tcPr>
            <w:tcW w:type="dxa" w:w="1038"/>
          </w:tcPr>
          <w:p>
            <w:pPr>
              <w:jc w:val="center"/>
            </w:pPr>
            <w:r/>
            <w:r>
              <w:rPr>
                <w:rFonts w:ascii="Times New Roman" w:hAnsi="Times New Roman" w:eastAsia="Times New Roman"/>
                <w:b w:val="0"/>
                <w:i w:val="0"/>
                <w:sz w:val="19"/>
              </w:rPr>
              <w:t>0.8699</w:t>
            </w:r>
          </w:p>
        </w:tc>
        <w:tc>
          <w:tcPr>
            <w:tcW w:type="dxa" w:w="1038"/>
          </w:tcPr>
          <w:p>
            <w:pPr>
              <w:jc w:val="center"/>
            </w:pPr>
            <w:r/>
            <w:r>
              <w:rPr>
                <w:rFonts w:ascii="Times New Roman" w:hAnsi="Times New Roman" w:eastAsia="Times New Roman"/>
                <w:b w:val="0"/>
                <w:i w:val="0"/>
                <w:sz w:val="19"/>
              </w:rPr>
              <w:t>68.69%</w:t>
            </w:r>
          </w:p>
        </w:tc>
        <w:tc>
          <w:tcPr>
            <w:tcW w:type="dxa" w:w="1038"/>
          </w:tcPr>
          <w:p>
            <w:pPr>
              <w:jc w:val="center"/>
            </w:pPr>
            <w:r/>
            <w:r>
              <w:rPr>
                <w:rFonts w:ascii="Times New Roman" w:hAnsi="Times New Roman" w:eastAsia="Times New Roman"/>
                <w:b w:val="0"/>
                <w:i w:val="0"/>
                <w:sz w:val="19"/>
              </w:rPr>
              <w:t>90.43%</w:t>
            </w:r>
          </w:p>
        </w:tc>
        <w:tc>
          <w:tcPr>
            <w:tcW w:type="dxa" w:w="1038"/>
          </w:tcPr>
          <w:p>
            <w:pPr>
              <w:jc w:val="center"/>
            </w:pPr>
            <w:r/>
            <w:r>
              <w:rPr>
                <w:rFonts w:ascii="Times New Roman" w:hAnsi="Times New Roman" w:eastAsia="Times New Roman"/>
                <w:b w:val="0"/>
                <w:i w:val="0"/>
                <w:sz w:val="19"/>
              </w:rPr>
              <w:t>0.680</w:t>
            </w:r>
          </w:p>
        </w:tc>
      </w:tr>
      <w:tr>
        <w:tc>
          <w:tcPr>
            <w:tcW w:type="dxa" w:w="1038"/>
          </w:tcPr>
          <w:p>
            <w:pPr>
              <w:jc w:val="left"/>
            </w:pPr>
            <w:r/>
            <w:r>
              <w:rPr>
                <w:rFonts w:ascii="Times New Roman" w:hAnsi="Times New Roman" w:eastAsia="Times New Roman"/>
                <w:b/>
                <w:i w:val="0"/>
                <w:sz w:val="19"/>
              </w:rPr>
              <w:t>MYA</w:t>
            </w:r>
          </w:p>
        </w:tc>
        <w:tc>
          <w:tcPr>
            <w:tcW w:type="dxa" w:w="1038"/>
          </w:tcPr>
          <w:p>
            <w:pPr>
              <w:jc w:val="center"/>
            </w:pPr>
            <w:r/>
            <w:r>
              <w:rPr>
                <w:rFonts w:ascii="Times New Roman" w:hAnsi="Times New Roman" w:eastAsia="Times New Roman"/>
                <w:b w:val="0"/>
                <w:i w:val="0"/>
                <w:sz w:val="19"/>
              </w:rPr>
              <w:t>18</w:t>
            </w:r>
          </w:p>
        </w:tc>
        <w:tc>
          <w:tcPr>
            <w:tcW w:type="dxa" w:w="1038"/>
          </w:tcPr>
          <w:p>
            <w:pPr>
              <w:jc w:val="center"/>
            </w:pPr>
            <w:r/>
            <w:r>
              <w:rPr>
                <w:rFonts w:ascii="Times New Roman" w:hAnsi="Times New Roman" w:eastAsia="Times New Roman"/>
                <w:b w:val="0"/>
                <w:i w:val="0"/>
                <w:sz w:val="19"/>
              </w:rPr>
              <w:t>425/1/7/11</w:t>
            </w:r>
          </w:p>
        </w:tc>
        <w:tc>
          <w:tcPr>
            <w:tcW w:type="dxa" w:w="1038"/>
          </w:tcPr>
          <w:p>
            <w:pPr>
              <w:jc w:val="center"/>
            </w:pPr>
            <w:r/>
            <w:r>
              <w:rPr>
                <w:rFonts w:ascii="Times New Roman" w:hAnsi="Times New Roman" w:eastAsia="Times New Roman"/>
                <w:b w:val="0"/>
                <w:i w:val="0"/>
                <w:sz w:val="19"/>
              </w:rPr>
              <w:t>98.20%</w:t>
            </w:r>
          </w:p>
        </w:tc>
        <w:tc>
          <w:tcPr>
            <w:tcW w:type="dxa" w:w="1038"/>
          </w:tcPr>
          <w:p>
            <w:pPr>
              <w:jc w:val="center"/>
            </w:pPr>
            <w:r/>
            <w:r>
              <w:rPr>
                <w:rFonts w:ascii="Times New Roman" w:hAnsi="Times New Roman" w:eastAsia="Times New Roman"/>
                <w:b w:val="0"/>
                <w:i w:val="0"/>
                <w:sz w:val="19"/>
              </w:rPr>
              <w:t>0.9977</w:t>
            </w:r>
          </w:p>
        </w:tc>
        <w:tc>
          <w:tcPr>
            <w:tcW w:type="dxa" w:w="1038"/>
          </w:tcPr>
          <w:p>
            <w:pPr>
              <w:jc w:val="center"/>
            </w:pPr>
            <w:r/>
            <w:r>
              <w:rPr>
                <w:rFonts w:ascii="Times New Roman" w:hAnsi="Times New Roman" w:eastAsia="Times New Roman"/>
                <w:b w:val="0"/>
                <w:i w:val="0"/>
                <w:sz w:val="19"/>
              </w:rPr>
              <w:t>61.11%</w:t>
            </w:r>
          </w:p>
        </w:tc>
        <w:tc>
          <w:tcPr>
            <w:tcW w:type="dxa" w:w="1038"/>
          </w:tcPr>
          <w:p>
            <w:pPr>
              <w:jc w:val="center"/>
            </w:pPr>
            <w:r/>
            <w:r>
              <w:rPr>
                <w:rFonts w:ascii="Times New Roman" w:hAnsi="Times New Roman" w:eastAsia="Times New Roman"/>
                <w:b w:val="0"/>
                <w:i w:val="0"/>
                <w:sz w:val="19"/>
              </w:rPr>
              <w:t>99.77%</w:t>
            </w:r>
          </w:p>
        </w:tc>
        <w:tc>
          <w:tcPr>
            <w:tcW w:type="dxa" w:w="1038"/>
          </w:tcPr>
          <w:p>
            <w:pPr>
              <w:jc w:val="center"/>
            </w:pPr>
            <w:r/>
            <w:r>
              <w:rPr>
                <w:rFonts w:ascii="Times New Roman" w:hAnsi="Times New Roman" w:eastAsia="Times New Roman"/>
                <w:b w:val="0"/>
                <w:i w:val="0"/>
                <w:sz w:val="19"/>
              </w:rPr>
              <w:t>0.733</w:t>
            </w:r>
          </w:p>
        </w:tc>
      </w:tr>
      <w:tr>
        <w:tc>
          <w:tcPr>
            <w:tcW w:type="dxa" w:w="1038"/>
          </w:tcPr>
          <w:p>
            <w:pPr>
              <w:jc w:val="left"/>
            </w:pPr>
            <w:r/>
            <w:r>
              <w:rPr>
                <w:rFonts w:ascii="Times New Roman" w:hAnsi="Times New Roman" w:eastAsia="Times New Roman"/>
                <w:b/>
                <w:i w:val="0"/>
                <w:sz w:val="19"/>
              </w:rPr>
              <w:t>ODC</w:t>
            </w:r>
          </w:p>
        </w:tc>
        <w:tc>
          <w:tcPr>
            <w:tcW w:type="dxa" w:w="1038"/>
          </w:tcPr>
          <w:p>
            <w:pPr>
              <w:jc w:val="center"/>
            </w:pPr>
            <w:r/>
            <w:r>
              <w:rPr>
                <w:rFonts w:ascii="Times New Roman" w:hAnsi="Times New Roman" w:eastAsia="Times New Roman"/>
                <w:b w:val="0"/>
                <w:i w:val="0"/>
                <w:sz w:val="19"/>
              </w:rPr>
              <w:t>52</w:t>
            </w:r>
          </w:p>
        </w:tc>
        <w:tc>
          <w:tcPr>
            <w:tcW w:type="dxa" w:w="1038"/>
          </w:tcPr>
          <w:p>
            <w:pPr>
              <w:jc w:val="center"/>
            </w:pPr>
            <w:r/>
            <w:r>
              <w:rPr>
                <w:rFonts w:ascii="Times New Roman" w:hAnsi="Times New Roman" w:eastAsia="Times New Roman"/>
                <w:b w:val="0"/>
                <w:i w:val="0"/>
                <w:sz w:val="19"/>
              </w:rPr>
              <w:t>370/22/36/16</w:t>
            </w:r>
          </w:p>
        </w:tc>
        <w:tc>
          <w:tcPr>
            <w:tcW w:type="dxa" w:w="1038"/>
          </w:tcPr>
          <w:p>
            <w:pPr>
              <w:jc w:val="center"/>
            </w:pPr>
            <w:r/>
            <w:r>
              <w:rPr>
                <w:rFonts w:ascii="Times New Roman" w:hAnsi="Times New Roman" w:eastAsia="Times New Roman"/>
                <w:b w:val="0"/>
                <w:i w:val="0"/>
                <w:sz w:val="19"/>
              </w:rPr>
              <w:t>86.94%</w:t>
            </w:r>
          </w:p>
        </w:tc>
        <w:tc>
          <w:tcPr>
            <w:tcW w:type="dxa" w:w="1038"/>
          </w:tcPr>
          <w:p>
            <w:pPr>
              <w:jc w:val="center"/>
            </w:pPr>
            <w:r/>
            <w:r>
              <w:rPr>
                <w:rFonts w:ascii="Times New Roman" w:hAnsi="Times New Roman" w:eastAsia="Times New Roman"/>
                <w:b w:val="0"/>
                <w:i w:val="0"/>
                <w:sz w:val="19"/>
              </w:rPr>
              <w:t>0.8081</w:t>
            </w:r>
          </w:p>
        </w:tc>
        <w:tc>
          <w:tcPr>
            <w:tcW w:type="dxa" w:w="1038"/>
          </w:tcPr>
          <w:p>
            <w:pPr>
              <w:jc w:val="center"/>
            </w:pPr>
            <w:r/>
            <w:r>
              <w:rPr>
                <w:rFonts w:ascii="Times New Roman" w:hAnsi="Times New Roman" w:eastAsia="Times New Roman"/>
                <w:b w:val="0"/>
                <w:i w:val="0"/>
                <w:sz w:val="19"/>
              </w:rPr>
              <w:t>30.77%</w:t>
            </w:r>
          </w:p>
        </w:tc>
        <w:tc>
          <w:tcPr>
            <w:tcW w:type="dxa" w:w="1038"/>
          </w:tcPr>
          <w:p>
            <w:pPr>
              <w:jc w:val="center"/>
            </w:pPr>
            <w:r/>
            <w:r>
              <w:rPr>
                <w:rFonts w:ascii="Times New Roman" w:hAnsi="Times New Roman" w:eastAsia="Times New Roman"/>
                <w:b w:val="0"/>
                <w:i w:val="0"/>
                <w:sz w:val="19"/>
              </w:rPr>
              <w:t>94.39%</w:t>
            </w:r>
          </w:p>
        </w:tc>
        <w:tc>
          <w:tcPr>
            <w:tcW w:type="dxa" w:w="1038"/>
          </w:tcPr>
          <w:p>
            <w:pPr>
              <w:jc w:val="center"/>
            </w:pPr>
            <w:r/>
            <w:r>
              <w:rPr>
                <w:rFonts w:ascii="Times New Roman" w:hAnsi="Times New Roman" w:eastAsia="Times New Roman"/>
                <w:b w:val="0"/>
                <w:i w:val="0"/>
                <w:sz w:val="19"/>
              </w:rPr>
              <w:t>0.356</w:t>
            </w:r>
          </w:p>
        </w:tc>
      </w:tr>
      <w:tr>
        <w:tc>
          <w:tcPr>
            <w:tcW w:type="dxa" w:w="1038"/>
          </w:tcPr>
          <w:p>
            <w:pPr>
              <w:jc w:val="left"/>
            </w:pPr>
            <w:r/>
            <w:r>
              <w:rPr>
                <w:rFonts w:ascii="Times New Roman" w:hAnsi="Times New Roman" w:eastAsia="Times New Roman"/>
                <w:b/>
                <w:i w:val="0"/>
                <w:sz w:val="19"/>
              </w:rPr>
              <w:t>TSLN</w:t>
            </w:r>
          </w:p>
        </w:tc>
        <w:tc>
          <w:tcPr>
            <w:tcW w:type="dxa" w:w="1038"/>
          </w:tcPr>
          <w:p>
            <w:pPr>
              <w:jc w:val="center"/>
            </w:pPr>
            <w:r/>
            <w:r>
              <w:rPr>
                <w:rFonts w:ascii="Times New Roman" w:hAnsi="Times New Roman" w:eastAsia="Times New Roman"/>
                <w:b w:val="0"/>
                <w:i w:val="0"/>
                <w:sz w:val="19"/>
              </w:rPr>
              <w:t>31</w:t>
            </w:r>
          </w:p>
        </w:tc>
        <w:tc>
          <w:tcPr>
            <w:tcW w:type="dxa" w:w="1038"/>
          </w:tcPr>
          <w:p>
            <w:pPr>
              <w:jc w:val="center"/>
            </w:pPr>
            <w:r/>
            <w:r>
              <w:rPr>
                <w:rFonts w:ascii="Times New Roman" w:hAnsi="Times New Roman" w:eastAsia="Times New Roman"/>
                <w:b w:val="0"/>
                <w:i w:val="0"/>
                <w:sz w:val="19"/>
              </w:rPr>
              <w:t>405/8/20/11</w:t>
            </w:r>
          </w:p>
        </w:tc>
        <w:tc>
          <w:tcPr>
            <w:tcW w:type="dxa" w:w="1038"/>
          </w:tcPr>
          <w:p>
            <w:pPr>
              <w:jc w:val="center"/>
            </w:pPr>
            <w:r/>
            <w:r>
              <w:rPr>
                <w:rFonts w:ascii="Times New Roman" w:hAnsi="Times New Roman" w:eastAsia="Times New Roman"/>
                <w:b w:val="0"/>
                <w:i w:val="0"/>
                <w:sz w:val="19"/>
              </w:rPr>
              <w:t>93.69%</w:t>
            </w:r>
          </w:p>
        </w:tc>
        <w:tc>
          <w:tcPr>
            <w:tcW w:type="dxa" w:w="1038"/>
          </w:tcPr>
          <w:p>
            <w:pPr>
              <w:jc w:val="center"/>
            </w:pPr>
            <w:r/>
            <w:r>
              <w:rPr>
                <w:rFonts w:ascii="Times New Roman" w:hAnsi="Times New Roman" w:eastAsia="Times New Roman"/>
                <w:b w:val="0"/>
                <w:i w:val="0"/>
                <w:sz w:val="19"/>
              </w:rPr>
              <w:t>0.9213</w:t>
            </w:r>
          </w:p>
        </w:tc>
        <w:tc>
          <w:tcPr>
            <w:tcW w:type="dxa" w:w="1038"/>
          </w:tcPr>
          <w:p>
            <w:pPr>
              <w:jc w:val="center"/>
            </w:pPr>
            <w:r/>
            <w:r>
              <w:rPr>
                <w:rFonts w:ascii="Times New Roman" w:hAnsi="Times New Roman" w:eastAsia="Times New Roman"/>
                <w:b w:val="0"/>
                <w:i w:val="0"/>
                <w:sz w:val="19"/>
              </w:rPr>
              <w:t>35.48%</w:t>
            </w:r>
          </w:p>
        </w:tc>
        <w:tc>
          <w:tcPr>
            <w:tcW w:type="dxa" w:w="1038"/>
          </w:tcPr>
          <w:p>
            <w:pPr>
              <w:jc w:val="center"/>
            </w:pPr>
            <w:r/>
            <w:r>
              <w:rPr>
                <w:rFonts w:ascii="Times New Roman" w:hAnsi="Times New Roman" w:eastAsia="Times New Roman"/>
                <w:b w:val="0"/>
                <w:i w:val="0"/>
                <w:sz w:val="19"/>
              </w:rPr>
              <w:t>98.06%</w:t>
            </w:r>
          </w:p>
        </w:tc>
        <w:tc>
          <w:tcPr>
            <w:tcW w:type="dxa" w:w="1038"/>
          </w:tcPr>
          <w:p>
            <w:pPr>
              <w:jc w:val="center"/>
            </w:pPr>
            <w:r/>
            <w:r>
              <w:rPr>
                <w:rFonts w:ascii="Times New Roman" w:hAnsi="Times New Roman" w:eastAsia="Times New Roman"/>
                <w:b w:val="0"/>
                <w:i w:val="0"/>
                <w:sz w:val="19"/>
              </w:rPr>
              <w:t>0.440</w:t>
            </w:r>
          </w:p>
        </w:tc>
      </w:tr>
      <w:tr>
        <w:tc>
          <w:tcPr>
            <w:tcW w:type="dxa" w:w="1038"/>
          </w:tcPr>
          <w:p>
            <w:pPr>
              <w:jc w:val="left"/>
            </w:pPr>
            <w:r/>
            <w:r>
              <w:rPr>
                <w:rFonts w:ascii="Times New Roman" w:hAnsi="Times New Roman" w:eastAsia="Times New Roman"/>
                <w:b/>
                <w:i w:val="0"/>
                <w:sz w:val="19"/>
              </w:rPr>
              <w:t>BRVO</w:t>
            </w:r>
          </w:p>
        </w:tc>
        <w:tc>
          <w:tcPr>
            <w:tcW w:type="dxa" w:w="1038"/>
          </w:tcPr>
          <w:p>
            <w:pPr>
              <w:jc w:val="center"/>
            </w:pPr>
            <w:r/>
            <w:r>
              <w:rPr>
                <w:rFonts w:ascii="Times New Roman" w:hAnsi="Times New Roman" w:eastAsia="Times New Roman"/>
                <w:b w:val="0"/>
                <w:i w:val="0"/>
                <w:sz w:val="19"/>
              </w:rPr>
              <w:t>16</w:t>
            </w:r>
          </w:p>
        </w:tc>
        <w:tc>
          <w:tcPr>
            <w:tcW w:type="dxa" w:w="1038"/>
          </w:tcPr>
          <w:p>
            <w:pPr>
              <w:jc w:val="center"/>
            </w:pPr>
            <w:r/>
            <w:r>
              <w:rPr>
                <w:rFonts w:ascii="Times New Roman" w:hAnsi="Times New Roman" w:eastAsia="Times New Roman"/>
                <w:b w:val="0"/>
                <w:i w:val="0"/>
                <w:sz w:val="19"/>
              </w:rPr>
              <w:t>422/6/12/4</w:t>
            </w:r>
          </w:p>
        </w:tc>
        <w:tc>
          <w:tcPr>
            <w:tcW w:type="dxa" w:w="1038"/>
          </w:tcPr>
          <w:p>
            <w:pPr>
              <w:jc w:val="center"/>
            </w:pPr>
            <w:r/>
            <w:r>
              <w:rPr>
                <w:rFonts w:ascii="Times New Roman" w:hAnsi="Times New Roman" w:eastAsia="Times New Roman"/>
                <w:b w:val="0"/>
                <w:i w:val="0"/>
                <w:sz w:val="19"/>
              </w:rPr>
              <w:t>95.95%</w:t>
            </w:r>
          </w:p>
        </w:tc>
        <w:tc>
          <w:tcPr>
            <w:tcW w:type="dxa" w:w="1038"/>
          </w:tcPr>
          <w:p>
            <w:pPr>
              <w:jc w:val="center"/>
            </w:pPr>
            <w:r/>
            <w:r>
              <w:rPr>
                <w:rFonts w:ascii="Times New Roman" w:hAnsi="Times New Roman" w:eastAsia="Times New Roman"/>
                <w:b w:val="0"/>
                <w:i w:val="0"/>
                <w:sz w:val="19"/>
              </w:rPr>
              <w:t>0.8787</w:t>
            </w:r>
          </w:p>
        </w:tc>
        <w:tc>
          <w:tcPr>
            <w:tcW w:type="dxa" w:w="1038"/>
          </w:tcPr>
          <w:p>
            <w:pPr>
              <w:jc w:val="center"/>
            </w:pPr>
            <w:r/>
            <w:r>
              <w:rPr>
                <w:rFonts w:ascii="Times New Roman" w:hAnsi="Times New Roman" w:eastAsia="Times New Roman"/>
                <w:b w:val="0"/>
                <w:i w:val="0"/>
                <w:sz w:val="19"/>
              </w:rPr>
              <w:t>25.00%</w:t>
            </w:r>
          </w:p>
        </w:tc>
        <w:tc>
          <w:tcPr>
            <w:tcW w:type="dxa" w:w="1038"/>
          </w:tcPr>
          <w:p>
            <w:pPr>
              <w:jc w:val="center"/>
            </w:pPr>
            <w:r/>
            <w:r>
              <w:rPr>
                <w:rFonts w:ascii="Times New Roman" w:hAnsi="Times New Roman" w:eastAsia="Times New Roman"/>
                <w:b w:val="0"/>
                <w:i w:val="0"/>
                <w:sz w:val="19"/>
              </w:rPr>
              <w:t>98.60%</w:t>
            </w:r>
          </w:p>
        </w:tc>
        <w:tc>
          <w:tcPr>
            <w:tcW w:type="dxa" w:w="1038"/>
          </w:tcPr>
          <w:p>
            <w:pPr>
              <w:jc w:val="center"/>
            </w:pPr>
            <w:r/>
            <w:r>
              <w:rPr>
                <w:rFonts w:ascii="Times New Roman" w:hAnsi="Times New Roman" w:eastAsia="Times New Roman"/>
                <w:b w:val="0"/>
                <w:i w:val="0"/>
                <w:sz w:val="19"/>
              </w:rPr>
              <w:t>0.308</w:t>
            </w:r>
          </w:p>
        </w:tc>
      </w:tr>
    </w:tbl>
    <w:p/>
    <w:p>
      <w:pPr>
        <w:spacing w:after="120" w:line="360" w:lineRule="auto"/>
        <w:jc w:val="both"/>
      </w:pPr>
      <w:r>
        <w:rPr>
          <w:rFonts w:ascii="Times New Roman" w:hAnsi="Times New Roman" w:eastAsia="Times New Roman"/>
          <w:b w:val="0"/>
          <w:i w:val="0"/>
          <w:sz w:val="24"/>
        </w:rPr>
        <w:t>Myopia is detected almost perfectly (AUROC 0.998), reflecting its distinctive fundus appearance. DR achieves the best balance of sensitivity and specificity. ODC, TSLN and BRVO show high specificity but low sensitivity at the 0.5 threshold, a consequence of class imbalance; their AUROCs (0.81–0.92) indicate that threshold tuning could recover sensitivity. Training accuracy (96–100%) exceeds test accuracy, indicating some over-fitting of the disease heads.</w:t>
      </w:r>
    </w:p>
    <w:p>
      <w:pPr>
        <w:spacing w:after="80" w:line="360" w:lineRule="auto"/>
        <w:jc w:val="left"/>
      </w:pPr>
      <w:r>
        <w:rPr>
          <w:rFonts w:ascii="Times New Roman" w:hAnsi="Times New Roman" w:eastAsia="Times New Roman"/>
          <w:b/>
          <w:i w:val="0"/>
          <w:sz w:val="26"/>
        </w:rPr>
        <w:t>8.4 CIMT Regression Results</w:t>
      </w:r>
    </w:p>
    <w:p>
      <w:pPr>
        <w:jc w:val="center"/>
      </w:pPr>
      <w:r>
        <w:drawing>
          <wp:inline xmlns:a="http://schemas.openxmlformats.org/drawingml/2006/main" xmlns:pic="http://schemas.openxmlformats.org/drawingml/2006/picture">
            <wp:extent cx="5760720" cy="1652547"/>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1652547"/>
                    </a:xfrm>
                    <a:prstGeom prst="rect"/>
                  </pic:spPr>
                </pic:pic>
              </a:graphicData>
            </a:graphic>
          </wp:inline>
        </w:drawing>
      </w:r>
    </w:p>
    <w:p>
      <w:pPr>
        <w:spacing w:after="200" w:line="360" w:lineRule="auto"/>
        <w:jc w:val="center"/>
      </w:pPr>
      <w:r>
        <w:rPr>
          <w:rFonts w:ascii="Times New Roman" w:hAnsi="Times New Roman" w:eastAsia="Times New Roman"/>
          <w:b/>
          <w:i w:val="0"/>
          <w:sz w:val="20"/>
        </w:rPr>
        <w:t>Figure 8.2  (A) CIMT vs. CVD risk, (B) CIMT vs. BRVO probability, (C) measured vs. predicted CIMT</w:t>
      </w:r>
    </w:p>
    <w:p>
      <w:pPr>
        <w:spacing w:after="200" w:line="360" w:lineRule="auto"/>
        <w:jc w:val="center"/>
      </w:pPr>
      <w:r>
        <w:rPr>
          <w:rFonts w:ascii="Times New Roman" w:hAnsi="Times New Roman" w:eastAsia="Times New Roman"/>
          <w:b/>
          <w:i w:val="0"/>
          <w:sz w:val="20"/>
        </w:rPr>
        <w:t>TABLE 8.2  Continuous CIMT Estimation</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769"/>
        <w:gridCol w:w="2769"/>
        <w:gridCol w:w="2769"/>
      </w:tblGrid>
      <w:tr>
        <w:tc>
          <w:tcPr>
            <w:tcW w:type="dxa" w:w="2769"/>
            <w:shd w:val="clear" w:fill="D9E2F3"/>
          </w:tcPr>
          <w:p>
            <w:pPr>
              <w:jc w:val="center"/>
            </w:pPr>
            <w:r/>
            <w:r>
              <w:rPr>
                <w:rFonts w:ascii="Times New Roman" w:hAnsi="Times New Roman" w:eastAsia="Times New Roman"/>
                <w:b/>
                <w:i w:val="0"/>
                <w:sz w:val="19"/>
              </w:rPr>
              <w:t>Model / split</w:t>
            </w:r>
          </w:p>
        </w:tc>
        <w:tc>
          <w:tcPr>
            <w:tcW w:type="dxa" w:w="2769"/>
            <w:shd w:val="clear" w:fill="D9E2F3"/>
          </w:tcPr>
          <w:p>
            <w:pPr>
              <w:jc w:val="center"/>
            </w:pPr>
            <w:r/>
            <w:r>
              <w:rPr>
                <w:rFonts w:ascii="Times New Roman" w:hAnsi="Times New Roman" w:eastAsia="Times New Roman"/>
                <w:b/>
                <w:i w:val="0"/>
                <w:sz w:val="19"/>
              </w:rPr>
              <w:t>MAE (mm)</w:t>
            </w:r>
          </w:p>
        </w:tc>
        <w:tc>
          <w:tcPr>
            <w:tcW w:type="dxa" w:w="2769"/>
            <w:shd w:val="clear" w:fill="D9E2F3"/>
          </w:tcPr>
          <w:p>
            <w:pPr>
              <w:jc w:val="center"/>
            </w:pPr>
            <w:r/>
            <w:r>
              <w:rPr>
                <w:rFonts w:ascii="Times New Roman" w:hAnsi="Times New Roman" w:eastAsia="Times New Roman"/>
                <w:b/>
                <w:i w:val="0"/>
                <w:sz w:val="19"/>
              </w:rPr>
              <w:t>Pearson r</w:t>
            </w:r>
          </w:p>
        </w:tc>
      </w:tr>
      <w:tr>
        <w:tc>
          <w:tcPr>
            <w:tcW w:type="dxa" w:w="2769"/>
          </w:tcPr>
          <w:p>
            <w:pPr>
              <w:jc w:val="left"/>
            </w:pPr>
            <w:r/>
            <w:r>
              <w:rPr>
                <w:rFonts w:ascii="Times New Roman" w:hAnsi="Times New Roman" w:eastAsia="Times New Roman"/>
                <w:b/>
                <w:i w:val="0"/>
                <w:sz w:val="19"/>
              </w:rPr>
              <w:t>Train (fused regressor)</w:t>
            </w:r>
          </w:p>
        </w:tc>
        <w:tc>
          <w:tcPr>
            <w:tcW w:type="dxa" w:w="2769"/>
          </w:tcPr>
          <w:p>
            <w:pPr>
              <w:jc w:val="center"/>
            </w:pPr>
            <w:r/>
            <w:r>
              <w:rPr>
                <w:rFonts w:ascii="Times New Roman" w:hAnsi="Times New Roman" w:eastAsia="Times New Roman"/>
                <w:b w:val="0"/>
                <w:i w:val="0"/>
                <w:sz w:val="19"/>
              </w:rPr>
              <w:t>0.112</w:t>
            </w:r>
          </w:p>
        </w:tc>
        <w:tc>
          <w:tcPr>
            <w:tcW w:type="dxa" w:w="2769"/>
          </w:tcPr>
          <w:p>
            <w:pPr>
              <w:jc w:val="center"/>
            </w:pPr>
            <w:r/>
            <w:r>
              <w:rPr>
                <w:rFonts w:ascii="Times New Roman" w:hAnsi="Times New Roman" w:eastAsia="Times New Roman"/>
                <w:b w:val="0"/>
                <w:i w:val="0"/>
                <w:sz w:val="19"/>
              </w:rPr>
              <w:t>0.617</w:t>
            </w:r>
          </w:p>
        </w:tc>
      </w:tr>
      <w:tr>
        <w:tc>
          <w:tcPr>
            <w:tcW w:type="dxa" w:w="2769"/>
          </w:tcPr>
          <w:p>
            <w:pPr>
              <w:jc w:val="left"/>
            </w:pPr>
            <w:r/>
            <w:r>
              <w:rPr>
                <w:rFonts w:ascii="Times New Roman" w:hAnsi="Times New Roman" w:eastAsia="Times New Roman"/>
                <w:b/>
                <w:i w:val="0"/>
                <w:sz w:val="19"/>
              </w:rPr>
              <w:t>Validation (fused regressor)</w:t>
            </w:r>
          </w:p>
        </w:tc>
        <w:tc>
          <w:tcPr>
            <w:tcW w:type="dxa" w:w="2769"/>
          </w:tcPr>
          <w:p>
            <w:pPr>
              <w:jc w:val="center"/>
            </w:pPr>
            <w:r/>
            <w:r>
              <w:rPr>
                <w:rFonts w:ascii="Times New Roman" w:hAnsi="Times New Roman" w:eastAsia="Times New Roman"/>
                <w:b w:val="0"/>
                <w:i w:val="0"/>
                <w:sz w:val="19"/>
              </w:rPr>
              <w:t>0.141</w:t>
            </w:r>
          </w:p>
        </w:tc>
        <w:tc>
          <w:tcPr>
            <w:tcW w:type="dxa" w:w="2769"/>
          </w:tcPr>
          <w:p>
            <w:pPr>
              <w:jc w:val="center"/>
            </w:pPr>
            <w:r/>
            <w:r>
              <w:rPr>
                <w:rFonts w:ascii="Times New Roman" w:hAnsi="Times New Roman" w:eastAsia="Times New Roman"/>
                <w:b w:val="0"/>
                <w:i w:val="0"/>
                <w:sz w:val="19"/>
              </w:rPr>
              <w:t>0.656</w:t>
            </w:r>
          </w:p>
        </w:tc>
      </w:tr>
      <w:tr>
        <w:tc>
          <w:tcPr>
            <w:tcW w:type="dxa" w:w="2769"/>
          </w:tcPr>
          <w:p>
            <w:pPr>
              <w:jc w:val="left"/>
            </w:pPr>
            <w:r/>
            <w:r>
              <w:rPr>
                <w:rFonts w:ascii="Times New Roman" w:hAnsi="Times New Roman" w:eastAsia="Times New Roman"/>
                <w:b/>
                <w:i w:val="0"/>
                <w:sz w:val="19"/>
              </w:rPr>
              <w:t>Test (fused regressor)</w:t>
            </w:r>
          </w:p>
        </w:tc>
        <w:tc>
          <w:tcPr>
            <w:tcW w:type="dxa" w:w="2769"/>
          </w:tcPr>
          <w:p>
            <w:pPr>
              <w:jc w:val="center"/>
            </w:pPr>
            <w:r/>
            <w:r>
              <w:rPr>
                <w:rFonts w:ascii="Times New Roman" w:hAnsi="Times New Roman" w:eastAsia="Times New Roman"/>
                <w:b w:val="0"/>
                <w:i w:val="0"/>
                <w:sz w:val="19"/>
              </w:rPr>
              <w:t>0.113</w:t>
            </w:r>
          </w:p>
        </w:tc>
        <w:tc>
          <w:tcPr>
            <w:tcW w:type="dxa" w:w="2769"/>
          </w:tcPr>
          <w:p>
            <w:pPr>
              <w:jc w:val="center"/>
            </w:pPr>
            <w:r/>
            <w:r>
              <w:rPr>
                <w:rFonts w:ascii="Times New Roman" w:hAnsi="Times New Roman" w:eastAsia="Times New Roman"/>
                <w:b w:val="0"/>
                <w:i w:val="0"/>
                <w:sz w:val="19"/>
              </w:rPr>
              <w:t>0.748 (p = 2.1×10⁻¹⁸)</w:t>
            </w:r>
          </w:p>
        </w:tc>
      </w:tr>
      <w:tr>
        <w:tc>
          <w:tcPr>
            <w:tcW w:type="dxa" w:w="2769"/>
          </w:tcPr>
          <w:p>
            <w:pPr>
              <w:jc w:val="left"/>
            </w:pPr>
            <w:r/>
            <w:r>
              <w:rPr>
                <w:rFonts w:ascii="Times New Roman" w:hAnsi="Times New Roman" w:eastAsia="Times New Roman"/>
                <w:b/>
                <w:i w:val="0"/>
                <w:sz w:val="19"/>
              </w:rPr>
              <w:t>Test – retina only (no age/sex)</w:t>
            </w:r>
          </w:p>
        </w:tc>
        <w:tc>
          <w:tcPr>
            <w:tcW w:type="dxa" w:w="2769"/>
          </w:tcPr>
          <w:p>
            <w:pPr>
              <w:jc w:val="center"/>
            </w:pPr>
            <w:r/>
            <w:r>
              <w:rPr>
                <w:rFonts w:ascii="Times New Roman" w:hAnsi="Times New Roman" w:eastAsia="Times New Roman"/>
                <w:b w:val="0"/>
                <w:i w:val="0"/>
                <w:sz w:val="19"/>
              </w:rPr>
              <w:t>0.148</w:t>
            </w:r>
          </w:p>
        </w:tc>
        <w:tc>
          <w:tcPr>
            <w:tcW w:type="dxa" w:w="2769"/>
          </w:tcPr>
          <w:p>
            <w:pPr>
              <w:jc w:val="center"/>
            </w:pPr>
            <w:r/>
            <w:r>
              <w:rPr>
                <w:rFonts w:ascii="Times New Roman" w:hAnsi="Times New Roman" w:eastAsia="Times New Roman"/>
                <w:b w:val="0"/>
                <w:i w:val="0"/>
                <w:sz w:val="19"/>
              </w:rPr>
              <w:t>0.589 (p = 1.2×10⁻¹⁰)</w:t>
            </w:r>
          </w:p>
        </w:tc>
      </w:tr>
      <w:tr>
        <w:tc>
          <w:tcPr>
            <w:tcW w:type="dxa" w:w="2769"/>
          </w:tcPr>
          <w:p>
            <w:pPr>
              <w:jc w:val="left"/>
            </w:pPr>
            <w:r/>
            <w:r>
              <w:rPr>
                <w:rFonts w:ascii="Times New Roman" w:hAnsi="Times New Roman" w:eastAsia="Times New Roman"/>
                <w:b/>
                <w:i w:val="0"/>
                <w:sz w:val="19"/>
              </w:rPr>
              <w:t>Test – age alone</w:t>
            </w:r>
          </w:p>
        </w:tc>
        <w:tc>
          <w:tcPr>
            <w:tcW w:type="dxa" w:w="2769"/>
          </w:tcPr>
          <w:p>
            <w:pPr>
              <w:jc w:val="center"/>
            </w:pPr>
            <w:r/>
            <w:r>
              <w:rPr>
                <w:rFonts w:ascii="Times New Roman" w:hAnsi="Times New Roman" w:eastAsia="Times New Roman"/>
                <w:b w:val="0"/>
                <w:i w:val="0"/>
                <w:sz w:val="19"/>
              </w:rPr>
              <w:t>–</w:t>
            </w:r>
          </w:p>
        </w:tc>
        <w:tc>
          <w:tcPr>
            <w:tcW w:type="dxa" w:w="2769"/>
          </w:tcPr>
          <w:p>
            <w:pPr>
              <w:jc w:val="center"/>
            </w:pPr>
            <w:r/>
            <w:r>
              <w:rPr>
                <w:rFonts w:ascii="Times New Roman" w:hAnsi="Times New Roman" w:eastAsia="Times New Roman"/>
                <w:b w:val="0"/>
                <w:i w:val="0"/>
                <w:sz w:val="19"/>
              </w:rPr>
              <w:t>0.738</w:t>
            </w:r>
          </w:p>
        </w:tc>
      </w:tr>
    </w:tbl>
    <w:p/>
    <w:p>
      <w:pPr>
        <w:spacing w:after="120" w:line="360" w:lineRule="auto"/>
        <w:jc w:val="both"/>
      </w:pPr>
      <w:r>
        <w:rPr>
          <w:rFonts w:ascii="Times New Roman" w:hAnsi="Times New Roman" w:eastAsia="Times New Roman"/>
          <w:b w:val="0"/>
          <w:i w:val="0"/>
          <w:sz w:val="24"/>
        </w:rPr>
        <w:t>The fused regressor estimates CIMT to within about 0.11 mm on average. The retina-only model still correlates strongly (r = 0.589), confirming that the fundus image contains information about carotid wall thickness, although much of it overlaps with age.</w:t>
      </w:r>
    </w:p>
    <w:p>
      <w:pPr>
        <w:spacing w:after="80" w:line="360" w:lineRule="auto"/>
        <w:jc w:val="left"/>
      </w:pPr>
      <w:r>
        <w:rPr>
          <w:rFonts w:ascii="Times New Roman" w:hAnsi="Times New Roman" w:eastAsia="Times New Roman"/>
          <w:b/>
          <w:i w:val="0"/>
          <w:sz w:val="26"/>
        </w:rPr>
        <w:t>8.5 Cardiovascular Classification Results</w:t>
      </w:r>
    </w:p>
    <w:p>
      <w:pPr>
        <w:spacing w:after="200" w:line="360" w:lineRule="auto"/>
        <w:jc w:val="center"/>
      </w:pPr>
      <w:r>
        <w:rPr>
          <w:rFonts w:ascii="Times New Roman" w:hAnsi="Times New Roman" w:eastAsia="Times New Roman"/>
          <w:b/>
          <w:i w:val="0"/>
          <w:sz w:val="20"/>
        </w:rPr>
        <w:t>TABLE 8.3  CVD (CIMT ≥ 0.90 mm) Classification Across Splits and Tiers</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187"/>
        <w:gridCol w:w="1187"/>
        <w:gridCol w:w="1187"/>
        <w:gridCol w:w="1187"/>
        <w:gridCol w:w="1187"/>
        <w:gridCol w:w="1187"/>
        <w:gridCol w:w="1187"/>
      </w:tblGrid>
      <w:tr>
        <w:tc>
          <w:tcPr>
            <w:tcW w:type="dxa" w:w="1187"/>
            <w:shd w:val="clear" w:fill="D9E2F3"/>
          </w:tcPr>
          <w:p>
            <w:pPr>
              <w:jc w:val="center"/>
            </w:pPr>
            <w:r/>
            <w:r>
              <w:rPr>
                <w:rFonts w:ascii="Times New Roman" w:hAnsi="Times New Roman" w:eastAsia="Times New Roman"/>
                <w:b/>
                <w:i w:val="0"/>
                <w:sz w:val="19"/>
              </w:rPr>
              <w:t>Cohort</w:t>
            </w:r>
          </w:p>
        </w:tc>
        <w:tc>
          <w:tcPr>
            <w:tcW w:type="dxa" w:w="1187"/>
            <w:shd w:val="clear" w:fill="D9E2F3"/>
          </w:tcPr>
          <w:p>
            <w:pPr>
              <w:jc w:val="center"/>
            </w:pPr>
            <w:r/>
            <w:r>
              <w:rPr>
                <w:rFonts w:ascii="Times New Roman" w:hAnsi="Times New Roman" w:eastAsia="Times New Roman"/>
                <w:b/>
                <w:i w:val="0"/>
                <w:sz w:val="19"/>
              </w:rPr>
              <w:t>N</w:t>
            </w:r>
          </w:p>
        </w:tc>
        <w:tc>
          <w:tcPr>
            <w:tcW w:type="dxa" w:w="1187"/>
            <w:shd w:val="clear" w:fill="D9E2F3"/>
          </w:tcPr>
          <w:p>
            <w:pPr>
              <w:jc w:val="center"/>
            </w:pPr>
            <w:r/>
            <w:r>
              <w:rPr>
                <w:rFonts w:ascii="Times New Roman" w:hAnsi="Times New Roman" w:eastAsia="Times New Roman"/>
                <w:b/>
                <w:i w:val="0"/>
                <w:sz w:val="19"/>
              </w:rPr>
              <w:t>TN/FP/FN/TP</w:t>
            </w:r>
          </w:p>
        </w:tc>
        <w:tc>
          <w:tcPr>
            <w:tcW w:type="dxa" w:w="1187"/>
            <w:shd w:val="clear" w:fill="D9E2F3"/>
          </w:tcPr>
          <w:p>
            <w:pPr>
              <w:jc w:val="center"/>
            </w:pPr>
            <w:r/>
            <w:r>
              <w:rPr>
                <w:rFonts w:ascii="Times New Roman" w:hAnsi="Times New Roman" w:eastAsia="Times New Roman"/>
                <w:b/>
                <w:i w:val="0"/>
                <w:sz w:val="19"/>
              </w:rPr>
              <w:t>Accuracy</w:t>
            </w:r>
          </w:p>
        </w:tc>
        <w:tc>
          <w:tcPr>
            <w:tcW w:type="dxa" w:w="1187"/>
            <w:shd w:val="clear" w:fill="D9E2F3"/>
          </w:tcPr>
          <w:p>
            <w:pPr>
              <w:jc w:val="center"/>
            </w:pPr>
            <w:r/>
            <w:r>
              <w:rPr>
                <w:rFonts w:ascii="Times New Roman" w:hAnsi="Times New Roman" w:eastAsia="Times New Roman"/>
                <w:b/>
                <w:i w:val="0"/>
                <w:sz w:val="19"/>
              </w:rPr>
              <w:t>AUROC</w:t>
            </w:r>
          </w:p>
        </w:tc>
        <w:tc>
          <w:tcPr>
            <w:tcW w:type="dxa" w:w="1187"/>
            <w:shd w:val="clear" w:fill="D9E2F3"/>
          </w:tcPr>
          <w:p>
            <w:pPr>
              <w:jc w:val="center"/>
            </w:pPr>
            <w:r/>
            <w:r>
              <w:rPr>
                <w:rFonts w:ascii="Times New Roman" w:hAnsi="Times New Roman" w:eastAsia="Times New Roman"/>
                <w:b/>
                <w:i w:val="0"/>
                <w:sz w:val="19"/>
              </w:rPr>
              <w:t>Sensitivity</w:t>
            </w:r>
          </w:p>
        </w:tc>
        <w:tc>
          <w:tcPr>
            <w:tcW w:type="dxa" w:w="1187"/>
            <w:shd w:val="clear" w:fill="D9E2F3"/>
          </w:tcPr>
          <w:p>
            <w:pPr>
              <w:jc w:val="center"/>
            </w:pPr>
            <w:r/>
            <w:r>
              <w:rPr>
                <w:rFonts w:ascii="Times New Roman" w:hAnsi="Times New Roman" w:eastAsia="Times New Roman"/>
                <w:b/>
                <w:i w:val="0"/>
                <w:sz w:val="19"/>
              </w:rPr>
              <w:t>Specificity</w:t>
            </w:r>
          </w:p>
        </w:tc>
      </w:tr>
      <w:tr>
        <w:tc>
          <w:tcPr>
            <w:tcW w:type="dxa" w:w="1187"/>
          </w:tcPr>
          <w:p>
            <w:pPr>
              <w:jc w:val="left"/>
            </w:pPr>
            <w:r/>
            <w:r>
              <w:rPr>
                <w:rFonts w:ascii="Times New Roman" w:hAnsi="Times New Roman" w:eastAsia="Times New Roman"/>
                <w:b/>
                <w:i w:val="0"/>
                <w:sz w:val="19"/>
              </w:rPr>
              <w:t>Training</w:t>
            </w:r>
          </w:p>
        </w:tc>
        <w:tc>
          <w:tcPr>
            <w:tcW w:type="dxa" w:w="1187"/>
          </w:tcPr>
          <w:p>
            <w:pPr>
              <w:jc w:val="center"/>
            </w:pPr>
            <w:r/>
            <w:r>
              <w:rPr>
                <w:rFonts w:ascii="Times New Roman" w:hAnsi="Times New Roman" w:eastAsia="Times New Roman"/>
                <w:b w:val="0"/>
                <w:i w:val="0"/>
                <w:sz w:val="19"/>
              </w:rPr>
              <w:t>2,603</w:t>
            </w:r>
          </w:p>
        </w:tc>
        <w:tc>
          <w:tcPr>
            <w:tcW w:type="dxa" w:w="1187"/>
          </w:tcPr>
          <w:p>
            <w:pPr>
              <w:jc w:val="center"/>
            </w:pPr>
            <w:r/>
            <w:r>
              <w:rPr>
                <w:rFonts w:ascii="Times New Roman" w:hAnsi="Times New Roman" w:eastAsia="Times New Roman"/>
                <w:b w:val="0"/>
                <w:i w:val="0"/>
                <w:sz w:val="19"/>
              </w:rPr>
              <w:t>596/103/572/1332</w:t>
            </w:r>
          </w:p>
        </w:tc>
        <w:tc>
          <w:tcPr>
            <w:tcW w:type="dxa" w:w="1187"/>
          </w:tcPr>
          <w:p>
            <w:pPr>
              <w:jc w:val="center"/>
            </w:pPr>
            <w:r/>
            <w:r>
              <w:rPr>
                <w:rFonts w:ascii="Times New Roman" w:hAnsi="Times New Roman" w:eastAsia="Times New Roman"/>
                <w:b w:val="0"/>
                <w:i w:val="0"/>
                <w:sz w:val="19"/>
              </w:rPr>
              <w:t>74.07%</w:t>
            </w:r>
          </w:p>
        </w:tc>
        <w:tc>
          <w:tcPr>
            <w:tcW w:type="dxa" w:w="1187"/>
          </w:tcPr>
          <w:p>
            <w:pPr>
              <w:jc w:val="center"/>
            </w:pPr>
            <w:r/>
            <w:r>
              <w:rPr>
                <w:rFonts w:ascii="Times New Roman" w:hAnsi="Times New Roman" w:eastAsia="Times New Roman"/>
                <w:b w:val="0"/>
                <w:i w:val="0"/>
                <w:sz w:val="19"/>
              </w:rPr>
              <w:t>0.8590</w:t>
            </w:r>
          </w:p>
        </w:tc>
        <w:tc>
          <w:tcPr>
            <w:tcW w:type="dxa" w:w="1187"/>
          </w:tcPr>
          <w:p>
            <w:pPr>
              <w:jc w:val="center"/>
            </w:pPr>
            <w:r/>
            <w:r>
              <w:rPr>
                <w:rFonts w:ascii="Times New Roman" w:hAnsi="Times New Roman" w:eastAsia="Times New Roman"/>
                <w:b w:val="0"/>
                <w:i w:val="0"/>
                <w:sz w:val="19"/>
              </w:rPr>
              <w:t>69.96%</w:t>
            </w:r>
          </w:p>
        </w:tc>
        <w:tc>
          <w:tcPr>
            <w:tcW w:type="dxa" w:w="1187"/>
          </w:tcPr>
          <w:p>
            <w:pPr>
              <w:jc w:val="center"/>
            </w:pPr>
            <w:r/>
            <w:r>
              <w:rPr>
                <w:rFonts w:ascii="Times New Roman" w:hAnsi="Times New Roman" w:eastAsia="Times New Roman"/>
                <w:b w:val="0"/>
                <w:i w:val="0"/>
                <w:sz w:val="19"/>
              </w:rPr>
              <w:t>85.26%</w:t>
            </w:r>
          </w:p>
        </w:tc>
      </w:tr>
      <w:tr>
        <w:tc>
          <w:tcPr>
            <w:tcW w:type="dxa" w:w="1187"/>
          </w:tcPr>
          <w:p>
            <w:pPr>
              <w:jc w:val="left"/>
            </w:pPr>
            <w:r/>
            <w:r>
              <w:rPr>
                <w:rFonts w:ascii="Times New Roman" w:hAnsi="Times New Roman" w:eastAsia="Times New Roman"/>
                <w:b/>
                <w:i w:val="0"/>
                <w:sz w:val="19"/>
              </w:rPr>
              <w:t>Validation</w:t>
            </w:r>
          </w:p>
        </w:tc>
        <w:tc>
          <w:tcPr>
            <w:tcW w:type="dxa" w:w="1187"/>
          </w:tcPr>
          <w:p>
            <w:pPr>
              <w:jc w:val="center"/>
            </w:pPr>
            <w:r/>
            <w:r>
              <w:rPr>
                <w:rFonts w:ascii="Times New Roman" w:hAnsi="Times New Roman" w:eastAsia="Times New Roman"/>
                <w:b w:val="0"/>
                <w:i w:val="0"/>
                <w:sz w:val="19"/>
              </w:rPr>
              <w:t>200</w:t>
            </w:r>
          </w:p>
        </w:tc>
        <w:tc>
          <w:tcPr>
            <w:tcW w:type="dxa" w:w="1187"/>
          </w:tcPr>
          <w:p>
            <w:pPr>
              <w:jc w:val="center"/>
            </w:pPr>
            <w:r/>
            <w:r>
              <w:rPr>
                <w:rFonts w:ascii="Times New Roman" w:hAnsi="Times New Roman" w:eastAsia="Times New Roman"/>
                <w:b w:val="0"/>
                <w:i w:val="0"/>
                <w:sz w:val="19"/>
              </w:rPr>
              <w:t>78/22/15/85</w:t>
            </w:r>
          </w:p>
        </w:tc>
        <w:tc>
          <w:tcPr>
            <w:tcW w:type="dxa" w:w="1187"/>
          </w:tcPr>
          <w:p>
            <w:pPr>
              <w:jc w:val="center"/>
            </w:pPr>
            <w:r/>
            <w:r>
              <w:rPr>
                <w:rFonts w:ascii="Times New Roman" w:hAnsi="Times New Roman" w:eastAsia="Times New Roman"/>
                <w:b w:val="0"/>
                <w:i w:val="0"/>
                <w:sz w:val="19"/>
              </w:rPr>
              <w:t>81.50%</w:t>
            </w:r>
          </w:p>
        </w:tc>
        <w:tc>
          <w:tcPr>
            <w:tcW w:type="dxa" w:w="1187"/>
          </w:tcPr>
          <w:p>
            <w:pPr>
              <w:jc w:val="center"/>
            </w:pPr>
            <w:r/>
            <w:r>
              <w:rPr>
                <w:rFonts w:ascii="Times New Roman" w:hAnsi="Times New Roman" w:eastAsia="Times New Roman"/>
                <w:b w:val="0"/>
                <w:i w:val="0"/>
                <w:sz w:val="19"/>
              </w:rPr>
              <w:t>0.8734</w:t>
            </w:r>
          </w:p>
        </w:tc>
        <w:tc>
          <w:tcPr>
            <w:tcW w:type="dxa" w:w="1187"/>
          </w:tcPr>
          <w:p>
            <w:pPr>
              <w:jc w:val="center"/>
            </w:pPr>
            <w:r/>
            <w:r>
              <w:rPr>
                <w:rFonts w:ascii="Times New Roman" w:hAnsi="Times New Roman" w:eastAsia="Times New Roman"/>
                <w:b w:val="0"/>
                <w:i w:val="0"/>
                <w:sz w:val="19"/>
              </w:rPr>
              <w:t>85.00%</w:t>
            </w:r>
          </w:p>
        </w:tc>
        <w:tc>
          <w:tcPr>
            <w:tcW w:type="dxa" w:w="1187"/>
          </w:tcPr>
          <w:p>
            <w:pPr>
              <w:jc w:val="center"/>
            </w:pPr>
            <w:r/>
            <w:r>
              <w:rPr>
                <w:rFonts w:ascii="Times New Roman" w:hAnsi="Times New Roman" w:eastAsia="Times New Roman"/>
                <w:b w:val="0"/>
                <w:i w:val="0"/>
                <w:sz w:val="19"/>
              </w:rPr>
              <w:t>78.00%</w:t>
            </w:r>
          </w:p>
        </w:tc>
      </w:tr>
      <w:tr>
        <w:tc>
          <w:tcPr>
            <w:tcW w:type="dxa" w:w="1187"/>
          </w:tcPr>
          <w:p>
            <w:pPr>
              <w:jc w:val="left"/>
            </w:pPr>
            <w:r/>
            <w:r>
              <w:rPr>
                <w:rFonts w:ascii="Times New Roman" w:hAnsi="Times New Roman" w:eastAsia="Times New Roman"/>
                <w:b/>
                <w:i w:val="0"/>
                <w:sz w:val="19"/>
              </w:rPr>
              <w:t>Test – Tier 1 (all patients)</w:t>
            </w:r>
          </w:p>
        </w:tc>
        <w:tc>
          <w:tcPr>
            <w:tcW w:type="dxa" w:w="1187"/>
          </w:tcPr>
          <w:p>
            <w:pPr>
              <w:jc w:val="center"/>
            </w:pPr>
            <w:r/>
            <w:r>
              <w:rPr>
                <w:rFonts w:ascii="Times New Roman" w:hAnsi="Times New Roman" w:eastAsia="Times New Roman"/>
                <w:b w:val="0"/>
                <w:i w:val="0"/>
                <w:sz w:val="19"/>
              </w:rPr>
              <w:t>100</w:t>
            </w:r>
          </w:p>
        </w:tc>
        <w:tc>
          <w:tcPr>
            <w:tcW w:type="dxa" w:w="1187"/>
          </w:tcPr>
          <w:p>
            <w:pPr>
              <w:jc w:val="center"/>
            </w:pPr>
            <w:r/>
            <w:r>
              <w:rPr>
                <w:rFonts w:ascii="Times New Roman" w:hAnsi="Times New Roman" w:eastAsia="Times New Roman"/>
                <w:b w:val="0"/>
                <w:i w:val="0"/>
                <w:sz w:val="19"/>
              </w:rPr>
              <w:t>44/6/5/45</w:t>
            </w:r>
          </w:p>
        </w:tc>
        <w:tc>
          <w:tcPr>
            <w:tcW w:type="dxa" w:w="1187"/>
          </w:tcPr>
          <w:p>
            <w:pPr>
              <w:jc w:val="center"/>
            </w:pPr>
            <w:r/>
            <w:r>
              <w:rPr>
                <w:rFonts w:ascii="Times New Roman" w:hAnsi="Times New Roman" w:eastAsia="Times New Roman"/>
                <w:b w:val="0"/>
                <w:i w:val="0"/>
                <w:sz w:val="19"/>
              </w:rPr>
              <w:t>89.00%</w:t>
            </w:r>
          </w:p>
        </w:tc>
        <w:tc>
          <w:tcPr>
            <w:tcW w:type="dxa" w:w="1187"/>
          </w:tcPr>
          <w:p>
            <w:pPr>
              <w:jc w:val="center"/>
            </w:pPr>
            <w:r/>
            <w:r>
              <w:rPr>
                <w:rFonts w:ascii="Times New Roman" w:hAnsi="Times New Roman" w:eastAsia="Times New Roman"/>
                <w:b w:val="0"/>
                <w:i w:val="0"/>
                <w:sz w:val="19"/>
              </w:rPr>
              <w:t>0.9472</w:t>
            </w:r>
          </w:p>
        </w:tc>
        <w:tc>
          <w:tcPr>
            <w:tcW w:type="dxa" w:w="1187"/>
          </w:tcPr>
          <w:p>
            <w:pPr>
              <w:jc w:val="center"/>
            </w:pPr>
            <w:r/>
            <w:r>
              <w:rPr>
                <w:rFonts w:ascii="Times New Roman" w:hAnsi="Times New Roman" w:eastAsia="Times New Roman"/>
                <w:b w:val="0"/>
                <w:i w:val="0"/>
                <w:sz w:val="19"/>
              </w:rPr>
              <w:t>90.00%</w:t>
            </w:r>
          </w:p>
        </w:tc>
        <w:tc>
          <w:tcPr>
            <w:tcW w:type="dxa" w:w="1187"/>
          </w:tcPr>
          <w:p>
            <w:pPr>
              <w:jc w:val="center"/>
            </w:pPr>
            <w:r/>
            <w:r>
              <w:rPr>
                <w:rFonts w:ascii="Times New Roman" w:hAnsi="Times New Roman" w:eastAsia="Times New Roman"/>
                <w:b w:val="0"/>
                <w:i w:val="0"/>
                <w:sz w:val="19"/>
              </w:rPr>
              <w:t>88.00%</w:t>
            </w:r>
          </w:p>
        </w:tc>
      </w:tr>
      <w:tr>
        <w:tc>
          <w:tcPr>
            <w:tcW w:type="dxa" w:w="1187"/>
          </w:tcPr>
          <w:p>
            <w:pPr>
              <w:jc w:val="left"/>
            </w:pPr>
            <w:r/>
            <w:r>
              <w:rPr>
                <w:rFonts w:ascii="Times New Roman" w:hAnsi="Times New Roman" w:eastAsia="Times New Roman"/>
                <w:b/>
                <w:i w:val="0"/>
                <w:sz w:val="19"/>
              </w:rPr>
              <w:t>Test – Tier 2 (excl. CIMT = 0.90 mm)</w:t>
            </w:r>
          </w:p>
        </w:tc>
        <w:tc>
          <w:tcPr>
            <w:tcW w:type="dxa" w:w="1187"/>
          </w:tcPr>
          <w:p>
            <w:pPr>
              <w:jc w:val="center"/>
            </w:pPr>
            <w:r/>
            <w:r>
              <w:rPr>
                <w:rFonts w:ascii="Times New Roman" w:hAnsi="Times New Roman" w:eastAsia="Times New Roman"/>
                <w:b w:val="0"/>
                <w:i w:val="0"/>
                <w:sz w:val="19"/>
              </w:rPr>
              <w:t>92</w:t>
            </w:r>
          </w:p>
        </w:tc>
        <w:tc>
          <w:tcPr>
            <w:tcW w:type="dxa" w:w="1187"/>
          </w:tcPr>
          <w:p>
            <w:pPr>
              <w:jc w:val="center"/>
            </w:pPr>
            <w:r/>
            <w:r>
              <w:rPr>
                <w:rFonts w:ascii="Times New Roman" w:hAnsi="Times New Roman" w:eastAsia="Times New Roman"/>
                <w:b w:val="0"/>
                <w:i w:val="0"/>
                <w:sz w:val="19"/>
              </w:rPr>
              <w:t>44/6/1/41</w:t>
            </w:r>
          </w:p>
        </w:tc>
        <w:tc>
          <w:tcPr>
            <w:tcW w:type="dxa" w:w="1187"/>
          </w:tcPr>
          <w:p>
            <w:pPr>
              <w:jc w:val="center"/>
            </w:pPr>
            <w:r/>
            <w:r>
              <w:rPr>
                <w:rFonts w:ascii="Times New Roman" w:hAnsi="Times New Roman" w:eastAsia="Times New Roman"/>
                <w:b w:val="0"/>
                <w:i w:val="0"/>
                <w:sz w:val="19"/>
              </w:rPr>
              <w:t>92.39%</w:t>
            </w:r>
          </w:p>
        </w:tc>
        <w:tc>
          <w:tcPr>
            <w:tcW w:type="dxa" w:w="1187"/>
          </w:tcPr>
          <w:p>
            <w:pPr>
              <w:jc w:val="center"/>
            </w:pPr>
            <w:r/>
            <w:r>
              <w:rPr>
                <w:rFonts w:ascii="Times New Roman" w:hAnsi="Times New Roman" w:eastAsia="Times New Roman"/>
                <w:b w:val="0"/>
                <w:i w:val="0"/>
                <w:sz w:val="19"/>
              </w:rPr>
              <w:t>0.9714</w:t>
            </w:r>
          </w:p>
        </w:tc>
        <w:tc>
          <w:tcPr>
            <w:tcW w:type="dxa" w:w="1187"/>
          </w:tcPr>
          <w:p>
            <w:pPr>
              <w:jc w:val="center"/>
            </w:pPr>
            <w:r/>
            <w:r>
              <w:rPr>
                <w:rFonts w:ascii="Times New Roman" w:hAnsi="Times New Roman" w:eastAsia="Times New Roman"/>
                <w:b w:val="0"/>
                <w:i w:val="0"/>
                <w:sz w:val="19"/>
              </w:rPr>
              <w:t>97.62%</w:t>
            </w:r>
          </w:p>
        </w:tc>
        <w:tc>
          <w:tcPr>
            <w:tcW w:type="dxa" w:w="1187"/>
          </w:tcPr>
          <w:p>
            <w:pPr>
              <w:jc w:val="center"/>
            </w:pPr>
            <w:r/>
            <w:r>
              <w:rPr>
                <w:rFonts w:ascii="Times New Roman" w:hAnsi="Times New Roman" w:eastAsia="Times New Roman"/>
                <w:b w:val="0"/>
                <w:i w:val="0"/>
                <w:sz w:val="19"/>
              </w:rPr>
              <w:t>88.00%</w:t>
            </w:r>
          </w:p>
        </w:tc>
      </w:tr>
      <w:tr>
        <w:tc>
          <w:tcPr>
            <w:tcW w:type="dxa" w:w="1187"/>
          </w:tcPr>
          <w:p>
            <w:pPr>
              <w:jc w:val="left"/>
            </w:pPr>
            <w:r/>
            <w:r>
              <w:rPr>
                <w:rFonts w:ascii="Times New Roman" w:hAnsi="Times New Roman" w:eastAsia="Times New Roman"/>
                <w:b/>
                <w:i w:val="0"/>
                <w:sz w:val="19"/>
              </w:rPr>
              <w:t>Test – Tier 3 (triage, 20% deferred)</w:t>
            </w:r>
          </w:p>
        </w:tc>
        <w:tc>
          <w:tcPr>
            <w:tcW w:type="dxa" w:w="1187"/>
          </w:tcPr>
          <w:p>
            <w:pPr>
              <w:jc w:val="center"/>
            </w:pPr>
            <w:r/>
            <w:r>
              <w:rPr>
                <w:rFonts w:ascii="Times New Roman" w:hAnsi="Times New Roman" w:eastAsia="Times New Roman"/>
                <w:b w:val="0"/>
                <w:i w:val="0"/>
                <w:sz w:val="19"/>
              </w:rPr>
              <w:t>80</w:t>
            </w:r>
          </w:p>
        </w:tc>
        <w:tc>
          <w:tcPr>
            <w:tcW w:type="dxa" w:w="1187"/>
          </w:tcPr>
          <w:p>
            <w:pPr>
              <w:jc w:val="center"/>
            </w:pPr>
            <w:r/>
            <w:r>
              <w:rPr>
                <w:rFonts w:ascii="Times New Roman" w:hAnsi="Times New Roman" w:eastAsia="Times New Roman"/>
                <w:b w:val="0"/>
                <w:i w:val="0"/>
                <w:sz w:val="19"/>
              </w:rPr>
              <w:t>41/3/1/35</w:t>
            </w:r>
          </w:p>
        </w:tc>
        <w:tc>
          <w:tcPr>
            <w:tcW w:type="dxa" w:w="1187"/>
          </w:tcPr>
          <w:p>
            <w:pPr>
              <w:jc w:val="center"/>
            </w:pPr>
            <w:r/>
            <w:r>
              <w:rPr>
                <w:rFonts w:ascii="Times New Roman" w:hAnsi="Times New Roman" w:eastAsia="Times New Roman"/>
                <w:b w:val="0"/>
                <w:i w:val="0"/>
                <w:sz w:val="19"/>
              </w:rPr>
              <w:t>95.00%</w:t>
            </w:r>
          </w:p>
        </w:tc>
        <w:tc>
          <w:tcPr>
            <w:tcW w:type="dxa" w:w="1187"/>
          </w:tcPr>
          <w:p>
            <w:pPr>
              <w:jc w:val="center"/>
            </w:pPr>
            <w:r/>
            <w:r>
              <w:rPr>
                <w:rFonts w:ascii="Times New Roman" w:hAnsi="Times New Roman" w:eastAsia="Times New Roman"/>
                <w:b w:val="0"/>
                <w:i w:val="0"/>
                <w:sz w:val="19"/>
              </w:rPr>
              <w:t>0.9855</w:t>
            </w:r>
          </w:p>
        </w:tc>
        <w:tc>
          <w:tcPr>
            <w:tcW w:type="dxa" w:w="1187"/>
          </w:tcPr>
          <w:p>
            <w:pPr>
              <w:jc w:val="center"/>
            </w:pPr>
            <w:r/>
            <w:r>
              <w:rPr>
                <w:rFonts w:ascii="Times New Roman" w:hAnsi="Times New Roman" w:eastAsia="Times New Roman"/>
                <w:b w:val="0"/>
                <w:i w:val="0"/>
                <w:sz w:val="19"/>
              </w:rPr>
              <w:t>97.22%</w:t>
            </w:r>
          </w:p>
        </w:tc>
        <w:tc>
          <w:tcPr>
            <w:tcW w:type="dxa" w:w="1187"/>
          </w:tcPr>
          <w:p>
            <w:pPr>
              <w:jc w:val="center"/>
            </w:pPr>
            <w:r/>
            <w:r>
              <w:rPr>
                <w:rFonts w:ascii="Times New Roman" w:hAnsi="Times New Roman" w:eastAsia="Times New Roman"/>
                <w:b w:val="0"/>
                <w:i w:val="0"/>
                <w:sz w:val="19"/>
              </w:rPr>
              <w:t>93.18%</w:t>
            </w:r>
          </w:p>
        </w:tc>
      </w:tr>
    </w:tbl>
    <w:p/>
    <w:p>
      <w:pPr>
        <w:spacing w:after="120" w:line="360" w:lineRule="auto"/>
        <w:jc w:val="both"/>
      </w:pPr>
      <w:r>
        <w:rPr>
          <w:rFonts w:ascii="Times New Roman" w:hAnsi="Times New Roman" w:eastAsia="Times New Roman"/>
          <w:b w:val="0"/>
          <w:i w:val="0"/>
          <w:sz w:val="24"/>
        </w:rPr>
        <w:t>Training accuracy is lower than test accuracy because the training set is 73% positive while validation and test are balanced, and the heads are strongly regularised. In Tier 2 only one of 42 patients with thickened CIMT was missed. In Tier 3 the system handled 80% of patients with 95% accuracy while referring the 20 least-certain cases for ultrasound.</w:t>
      </w:r>
    </w:p>
    <w:p>
      <w:pPr>
        <w:spacing w:after="80" w:line="360" w:lineRule="auto"/>
        <w:jc w:val="left"/>
      </w:pPr>
      <w:r>
        <w:rPr>
          <w:rFonts w:ascii="Times New Roman" w:hAnsi="Times New Roman" w:eastAsia="Times New Roman"/>
          <w:b/>
          <w:i w:val="0"/>
          <w:sz w:val="26"/>
        </w:rPr>
        <w:t>8.6 Confusion Matrix and Performance Metrics</w:t>
      </w:r>
    </w:p>
    <w:p>
      <w:pPr>
        <w:jc w:val="center"/>
      </w:pPr>
      <w:r>
        <w:drawing>
          <wp:inline xmlns:a="http://schemas.openxmlformats.org/drawingml/2006/main" xmlns:pic="http://schemas.openxmlformats.org/drawingml/2006/picture">
            <wp:extent cx="5760720" cy="183642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1836424"/>
                    </a:xfrm>
                    <a:prstGeom prst="rect"/>
                  </pic:spPr>
                </pic:pic>
              </a:graphicData>
            </a:graphic>
          </wp:inline>
        </w:drawing>
      </w:r>
    </w:p>
    <w:p>
      <w:pPr>
        <w:spacing w:after="200" w:line="360" w:lineRule="auto"/>
        <w:jc w:val="center"/>
      </w:pPr>
      <w:r>
        <w:rPr>
          <w:rFonts w:ascii="Times New Roman" w:hAnsi="Times New Roman" w:eastAsia="Times New Roman"/>
          <w:b/>
          <w:i w:val="0"/>
          <w:sz w:val="20"/>
        </w:rPr>
        <w:t>Figure 8.3  CIMT confusion matrices for training, validation and test splits</w:t>
      </w:r>
    </w:p>
    <w:p>
      <w:pPr>
        <w:jc w:val="center"/>
      </w:pPr>
      <w:r>
        <w:drawing>
          <wp:inline xmlns:a="http://schemas.openxmlformats.org/drawingml/2006/main" xmlns:pic="http://schemas.openxmlformats.org/drawingml/2006/picture">
            <wp:extent cx="5760720" cy="1805455"/>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1805455"/>
                    </a:xfrm>
                    <a:prstGeom prst="rect"/>
                  </pic:spPr>
                </pic:pic>
              </a:graphicData>
            </a:graphic>
          </wp:inline>
        </w:drawing>
      </w:r>
    </w:p>
    <w:p>
      <w:pPr>
        <w:spacing w:after="200" w:line="360" w:lineRule="auto"/>
        <w:jc w:val="center"/>
      </w:pPr>
      <w:r>
        <w:rPr>
          <w:rFonts w:ascii="Times New Roman" w:hAnsi="Times New Roman" w:eastAsia="Times New Roman"/>
          <w:b/>
          <w:i w:val="0"/>
          <w:sz w:val="20"/>
        </w:rPr>
        <w:t>Figure 8.4  Three-tier test confusion matrices: 89.00% → 92.39% → 95.00%</w:t>
      </w:r>
    </w:p>
    <w:p>
      <w:pPr>
        <w:jc w:val="center"/>
      </w:pPr>
      <w:r>
        <w:drawing>
          <wp:inline xmlns:a="http://schemas.openxmlformats.org/drawingml/2006/main" xmlns:pic="http://schemas.openxmlformats.org/drawingml/2006/picture">
            <wp:extent cx="5760720" cy="2418752"/>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2418752"/>
                    </a:xfrm>
                    <a:prstGeom prst="rect"/>
                  </pic:spPr>
                </pic:pic>
              </a:graphicData>
            </a:graphic>
          </wp:inline>
        </w:drawing>
      </w:r>
    </w:p>
    <w:p>
      <w:pPr>
        <w:spacing w:after="200" w:line="360" w:lineRule="auto"/>
        <w:jc w:val="center"/>
      </w:pPr>
      <w:r>
        <w:rPr>
          <w:rFonts w:ascii="Times New Roman" w:hAnsi="Times New Roman" w:eastAsia="Times New Roman"/>
          <w:b/>
          <w:i w:val="0"/>
          <w:sz w:val="20"/>
        </w:rPr>
        <w:t>Figure 8.5  ROC curves for CIMT splits and the five MuReD diseases</w:t>
      </w:r>
    </w:p>
    <w:p>
      <w:pPr>
        <w:spacing w:after="80" w:line="360" w:lineRule="auto"/>
        <w:jc w:val="left"/>
      </w:pPr>
      <w:r>
        <w:rPr>
          <w:rFonts w:ascii="Times New Roman" w:hAnsi="Times New Roman" w:eastAsia="Times New Roman"/>
          <w:b/>
          <w:i w:val="0"/>
          <w:sz w:val="26"/>
        </w:rPr>
        <w:t>8.7 Comparative Analysis of Model Performance</w:t>
      </w:r>
    </w:p>
    <w:p>
      <w:pPr>
        <w:spacing w:after="200" w:line="360" w:lineRule="auto"/>
        <w:jc w:val="center"/>
      </w:pPr>
      <w:r>
        <w:rPr>
          <w:rFonts w:ascii="Times New Roman" w:hAnsi="Times New Roman" w:eastAsia="Times New Roman"/>
          <w:b/>
          <w:i w:val="0"/>
          <w:sz w:val="20"/>
        </w:rPr>
        <w:t>TABLE 8.4  Ablation on the CIMT Test Set (N = 100)</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076"/>
        <w:gridCol w:w="2076"/>
        <w:gridCol w:w="2076"/>
        <w:gridCol w:w="2076"/>
      </w:tblGrid>
      <w:tr>
        <w:tc>
          <w:tcPr>
            <w:tcW w:type="dxa" w:w="2076"/>
            <w:shd w:val="clear" w:fill="D9E2F3"/>
          </w:tcPr>
          <w:p>
            <w:pPr>
              <w:jc w:val="center"/>
            </w:pPr>
            <w:r/>
            <w:r>
              <w:rPr>
                <w:rFonts w:ascii="Times New Roman" w:hAnsi="Times New Roman" w:eastAsia="Times New Roman"/>
                <w:b/>
                <w:i w:val="0"/>
                <w:sz w:val="19"/>
              </w:rPr>
              <w:t>Model</w:t>
            </w:r>
          </w:p>
        </w:tc>
        <w:tc>
          <w:tcPr>
            <w:tcW w:type="dxa" w:w="2076"/>
            <w:shd w:val="clear" w:fill="D9E2F3"/>
          </w:tcPr>
          <w:p>
            <w:pPr>
              <w:jc w:val="center"/>
            </w:pPr>
            <w:r/>
            <w:r>
              <w:rPr>
                <w:rFonts w:ascii="Times New Roman" w:hAnsi="Times New Roman" w:eastAsia="Times New Roman"/>
                <w:b/>
                <w:i w:val="0"/>
                <w:sz w:val="19"/>
              </w:rPr>
              <w:t>AUROC</w:t>
            </w:r>
          </w:p>
        </w:tc>
        <w:tc>
          <w:tcPr>
            <w:tcW w:type="dxa" w:w="2076"/>
            <w:shd w:val="clear" w:fill="D9E2F3"/>
          </w:tcPr>
          <w:p>
            <w:pPr>
              <w:jc w:val="center"/>
            </w:pPr>
            <w:r/>
            <w:r>
              <w:rPr>
                <w:rFonts w:ascii="Times New Roman" w:hAnsi="Times New Roman" w:eastAsia="Times New Roman"/>
                <w:b/>
                <w:i w:val="0"/>
                <w:sz w:val="19"/>
              </w:rPr>
              <w:t>Accuracy</w:t>
            </w:r>
          </w:p>
        </w:tc>
        <w:tc>
          <w:tcPr>
            <w:tcW w:type="dxa" w:w="2076"/>
            <w:shd w:val="clear" w:fill="D9E2F3"/>
          </w:tcPr>
          <w:p>
            <w:pPr>
              <w:jc w:val="center"/>
            </w:pPr>
            <w:r/>
            <w:r>
              <w:rPr>
                <w:rFonts w:ascii="Times New Roman" w:hAnsi="Times New Roman" w:eastAsia="Times New Roman"/>
                <w:b/>
                <w:i w:val="0"/>
                <w:sz w:val="19"/>
              </w:rPr>
              <w:t>Brier score</w:t>
            </w:r>
          </w:p>
        </w:tc>
      </w:tr>
      <w:tr>
        <w:tc>
          <w:tcPr>
            <w:tcW w:type="dxa" w:w="2076"/>
          </w:tcPr>
          <w:p>
            <w:pPr>
              <w:jc w:val="left"/>
            </w:pPr>
            <w:r/>
            <w:r>
              <w:rPr>
                <w:rFonts w:ascii="Times New Roman" w:hAnsi="Times New Roman" w:eastAsia="Times New Roman"/>
                <w:b/>
                <w:i w:val="0"/>
                <w:sz w:val="19"/>
              </w:rPr>
              <w:t>Retina only (RETFound probe)</w:t>
            </w:r>
          </w:p>
        </w:tc>
        <w:tc>
          <w:tcPr>
            <w:tcW w:type="dxa" w:w="2076"/>
          </w:tcPr>
          <w:p>
            <w:pPr>
              <w:jc w:val="center"/>
            </w:pPr>
            <w:r/>
            <w:r>
              <w:rPr>
                <w:rFonts w:ascii="Times New Roman" w:hAnsi="Times New Roman" w:eastAsia="Times New Roman"/>
                <w:b w:val="0"/>
                <w:i w:val="0"/>
                <w:sz w:val="19"/>
              </w:rPr>
              <w:t>0.8504</w:t>
            </w:r>
          </w:p>
        </w:tc>
        <w:tc>
          <w:tcPr>
            <w:tcW w:type="dxa" w:w="2076"/>
          </w:tcPr>
          <w:p>
            <w:pPr>
              <w:jc w:val="center"/>
            </w:pPr>
            <w:r/>
            <w:r>
              <w:rPr>
                <w:rFonts w:ascii="Times New Roman" w:hAnsi="Times New Roman" w:eastAsia="Times New Roman"/>
                <w:b w:val="0"/>
                <w:i w:val="0"/>
                <w:sz w:val="19"/>
              </w:rPr>
              <w:t>70.00%</w:t>
            </w:r>
          </w:p>
        </w:tc>
        <w:tc>
          <w:tcPr>
            <w:tcW w:type="dxa" w:w="2076"/>
          </w:tcPr>
          <w:p>
            <w:pPr>
              <w:jc w:val="center"/>
            </w:pPr>
            <w:r/>
            <w:r>
              <w:rPr>
                <w:rFonts w:ascii="Times New Roman" w:hAnsi="Times New Roman" w:eastAsia="Times New Roman"/>
                <w:b w:val="0"/>
                <w:i w:val="0"/>
                <w:sz w:val="19"/>
              </w:rPr>
              <w:t>0.215</w:t>
            </w:r>
          </w:p>
        </w:tc>
      </w:tr>
      <w:tr>
        <w:tc>
          <w:tcPr>
            <w:tcW w:type="dxa" w:w="2076"/>
          </w:tcPr>
          <w:p>
            <w:pPr>
              <w:jc w:val="left"/>
            </w:pPr>
            <w:r/>
            <w:r>
              <w:rPr>
                <w:rFonts w:ascii="Times New Roman" w:hAnsi="Times New Roman" w:eastAsia="Times New Roman"/>
                <w:b/>
                <w:i w:val="0"/>
                <w:sz w:val="19"/>
              </w:rPr>
              <w:t>Demographics only (age + sex)</w:t>
            </w:r>
          </w:p>
        </w:tc>
        <w:tc>
          <w:tcPr>
            <w:tcW w:type="dxa" w:w="2076"/>
          </w:tcPr>
          <w:p>
            <w:pPr>
              <w:jc w:val="center"/>
            </w:pPr>
            <w:r/>
            <w:r>
              <w:rPr>
                <w:rFonts w:ascii="Times New Roman" w:hAnsi="Times New Roman" w:eastAsia="Times New Roman"/>
                <w:b w:val="0"/>
                <w:i w:val="0"/>
                <w:sz w:val="19"/>
              </w:rPr>
              <w:t>0.9450</w:t>
            </w:r>
          </w:p>
        </w:tc>
        <w:tc>
          <w:tcPr>
            <w:tcW w:type="dxa" w:w="2076"/>
          </w:tcPr>
          <w:p>
            <w:pPr>
              <w:jc w:val="center"/>
            </w:pPr>
            <w:r/>
            <w:r>
              <w:rPr>
                <w:rFonts w:ascii="Times New Roman" w:hAnsi="Times New Roman" w:eastAsia="Times New Roman"/>
                <w:b w:val="0"/>
                <w:i w:val="0"/>
                <w:sz w:val="19"/>
              </w:rPr>
              <w:t>88.00%</w:t>
            </w:r>
          </w:p>
        </w:tc>
        <w:tc>
          <w:tcPr>
            <w:tcW w:type="dxa" w:w="2076"/>
          </w:tcPr>
          <w:p>
            <w:pPr>
              <w:jc w:val="center"/>
            </w:pPr>
            <w:r/>
            <w:r>
              <w:rPr>
                <w:rFonts w:ascii="Times New Roman" w:hAnsi="Times New Roman" w:eastAsia="Times New Roman"/>
                <w:b w:val="0"/>
                <w:i w:val="0"/>
                <w:sz w:val="19"/>
              </w:rPr>
              <w:t>0.163</w:t>
            </w:r>
          </w:p>
        </w:tc>
      </w:tr>
      <w:tr>
        <w:tc>
          <w:tcPr>
            <w:tcW w:type="dxa" w:w="2076"/>
          </w:tcPr>
          <w:p>
            <w:pPr>
              <w:jc w:val="left"/>
            </w:pPr>
            <w:r/>
            <w:r>
              <w:rPr>
                <w:rFonts w:ascii="Times New Roman" w:hAnsi="Times New Roman" w:eastAsia="Times New Roman"/>
                <w:b/>
                <w:i w:val="0"/>
                <w:sz w:val="19"/>
              </w:rPr>
              <w:t>Fused (proposed)</w:t>
            </w:r>
          </w:p>
        </w:tc>
        <w:tc>
          <w:tcPr>
            <w:tcW w:type="dxa" w:w="2076"/>
          </w:tcPr>
          <w:p>
            <w:pPr>
              <w:jc w:val="center"/>
            </w:pPr>
            <w:r/>
            <w:r>
              <w:rPr>
                <w:rFonts w:ascii="Times New Roman" w:hAnsi="Times New Roman" w:eastAsia="Times New Roman"/>
                <w:b w:val="0"/>
                <w:i w:val="0"/>
                <w:sz w:val="19"/>
              </w:rPr>
              <w:t>0.9460</w:t>
            </w:r>
          </w:p>
        </w:tc>
        <w:tc>
          <w:tcPr>
            <w:tcW w:type="dxa" w:w="2076"/>
          </w:tcPr>
          <w:p>
            <w:pPr>
              <w:jc w:val="center"/>
            </w:pPr>
            <w:r/>
            <w:r>
              <w:rPr>
                <w:rFonts w:ascii="Times New Roman" w:hAnsi="Times New Roman" w:eastAsia="Times New Roman"/>
                <w:b w:val="0"/>
                <w:i w:val="0"/>
                <w:sz w:val="19"/>
              </w:rPr>
              <w:t>87–88%</w:t>
            </w:r>
          </w:p>
        </w:tc>
        <w:tc>
          <w:tcPr>
            <w:tcW w:type="dxa" w:w="2076"/>
          </w:tcPr>
          <w:p>
            <w:pPr>
              <w:jc w:val="center"/>
            </w:pPr>
            <w:r/>
            <w:r>
              <w:rPr>
                <w:rFonts w:ascii="Times New Roman" w:hAnsi="Times New Roman" w:eastAsia="Times New Roman"/>
                <w:b w:val="0"/>
                <w:i w:val="0"/>
                <w:sz w:val="19"/>
              </w:rPr>
              <w:t>0.164</w:t>
            </w:r>
          </w:p>
        </w:tc>
      </w:tr>
    </w:tbl>
    <w:p/>
    <w:p>
      <w:pPr>
        <w:spacing w:after="120" w:line="360" w:lineRule="auto"/>
        <w:jc w:val="both"/>
      </w:pPr>
      <w:r>
        <w:rPr>
          <w:rFonts w:ascii="Times New Roman" w:hAnsi="Times New Roman" w:eastAsia="Times New Roman"/>
          <w:b w:val="0"/>
          <w:i w:val="0"/>
          <w:sz w:val="24"/>
        </w:rPr>
        <w:t>The image alone carries substantial signal (AUROC 0.850), but in this cohort it largely overlaps with age: fusion did not significantly improve AUROC over age and sex (ΔAUROC = +0.001, bootstrap 95% CI −0.004 to +0.006). Against the deep-MLP head used earlier (~75% test accuracy), the regularised linear design improved raw test accuracy by about 13 percentage points. Against ResNet-50 features on MuReD (Table 7.1), both representations achieved high diagnostic capability (mean AUROC 0.895 for RETFound vs. 0.910 for ResNet-50), with RETFound demonstrating superior discrimination on structural alterations like Pathological Myopia while ResNet-50 showed slight advantages on localized vascular lesions.</w:t>
      </w:r>
    </w:p>
    <w:p>
      <w:pPr>
        <w:spacing w:after="80" w:line="360" w:lineRule="auto"/>
        <w:jc w:val="left"/>
      </w:pPr>
      <w:r>
        <w:rPr>
          <w:rFonts w:ascii="Times New Roman" w:hAnsi="Times New Roman" w:eastAsia="Times New Roman"/>
          <w:b/>
          <w:i w:val="0"/>
          <w:sz w:val="26"/>
        </w:rPr>
        <w:t>8.8 Explainability Results and Retinal Feature Interpretation</w:t>
      </w:r>
    </w:p>
    <w:p>
      <w:pPr>
        <w:jc w:val="center"/>
      </w:pPr>
      <w:r>
        <w:drawing>
          <wp:inline xmlns:a="http://schemas.openxmlformats.org/drawingml/2006/main" xmlns:pic="http://schemas.openxmlformats.org/drawingml/2006/picture">
            <wp:extent cx="4754880" cy="4293762"/>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754880" cy="4293762"/>
                    </a:xfrm>
                    <a:prstGeom prst="rect"/>
                  </pic:spPr>
                </pic:pic>
              </a:graphicData>
            </a:graphic>
          </wp:inline>
        </w:drawing>
      </w:r>
    </w:p>
    <w:p>
      <w:pPr>
        <w:spacing w:after="200" w:line="360" w:lineRule="auto"/>
        <w:jc w:val="center"/>
      </w:pPr>
      <w:r>
        <w:rPr>
          <w:rFonts w:ascii="Times New Roman" w:hAnsi="Times New Roman" w:eastAsia="Times New Roman"/>
          <w:b/>
          <w:i w:val="0"/>
          <w:sz w:val="20"/>
        </w:rPr>
        <w:t>Figure 8.6  Correlation matrix of CIMT, CVD risk, disease probabilities and demographics (test set)</w:t>
      </w:r>
    </w:p>
    <w:p>
      <w:pPr>
        <w:spacing w:after="120" w:line="360" w:lineRule="auto"/>
        <w:jc w:val="both"/>
      </w:pPr>
      <w:r>
        <w:rPr>
          <w:rFonts w:ascii="Times New Roman" w:hAnsi="Times New Roman" w:eastAsia="Times New Roman"/>
          <w:b w:val="0"/>
          <w:i w:val="0"/>
          <w:sz w:val="24"/>
        </w:rPr>
        <w:t>On the test cohort, measured CIMT correlated with age (r = 0.738) and with the fused risk score (r = 0.637), and modestly with ODC probability (r = 0.259, p &lt; 0.01), consistent with reduced ocular perfusion in carotid disease. Correlation with BRVO probability was negligible (r = 0.03), likely because the MuReD BRVO head is not calibrated for this population. Grad-CAM maps typically highlight the temporal vascular arcades and peripapillary region; each map's peak location and quadrant are reported dynamically for every image.</w:t>
      </w:r>
    </w:p>
    <w:p>
      <w:pPr>
        <w:spacing w:after="80" w:line="360" w:lineRule="auto"/>
        <w:jc w:val="left"/>
      </w:pPr>
      <w:r>
        <w:rPr>
          <w:rFonts w:ascii="Times New Roman" w:hAnsi="Times New Roman" w:eastAsia="Times New Roman"/>
          <w:b/>
          <w:i w:val="0"/>
          <w:sz w:val="26"/>
        </w:rPr>
        <w:t>8.9 Unified Framework Performance</w:t>
      </w:r>
    </w:p>
    <w:p>
      <w:pPr>
        <w:spacing w:after="120" w:line="360" w:lineRule="auto"/>
        <w:jc w:val="both"/>
      </w:pPr>
      <w:r>
        <w:rPr>
          <w:rFonts w:ascii="Times New Roman" w:hAnsi="Times New Roman" w:eastAsia="Times New Roman"/>
          <w:b w:val="0"/>
          <w:i w:val="0"/>
          <w:sz w:val="24"/>
        </w:rPr>
        <w:t>The unified GUI produces all outputs—five disease probabilities, CIMT, CVD status, retinal age/sex, Grad-CAM and the report—from one image in a single request. It runs locally, restarts automatically via the watchdog service, and supports both auto-predicted and manually entered demographics. The report engine was checked on several test patients to confirm image-specific, non-contradictory text.</w:t>
      </w:r>
    </w:p>
    <w:p>
      <w:pPr>
        <w:spacing w:after="80" w:line="360" w:lineRule="auto"/>
        <w:jc w:val="left"/>
      </w:pPr>
      <w:r>
        <w:rPr>
          <w:rFonts w:ascii="Times New Roman" w:hAnsi="Times New Roman" w:eastAsia="Times New Roman"/>
          <w:b/>
          <w:i w:val="0"/>
          <w:sz w:val="26"/>
        </w:rPr>
        <w:t>8.10 Limitations of Results</w:t>
      </w:r>
    </w:p>
    <w:p>
      <w:pPr>
        <w:spacing w:line="360" w:lineRule="auto" w:after="60"/>
        <w:ind w:left="432" w:hanging="288"/>
        <w:jc w:val="both"/>
      </w:pPr>
      <w:r>
        <w:rPr>
          <w:rFonts w:ascii="Times New Roman" w:hAnsi="Times New Roman" w:eastAsia="Times New Roman"/>
          <w:b w:val="0"/>
          <w:i w:val="0"/>
          <w:sz w:val="24"/>
        </w:rPr>
        <w:t>•  Small test set; three test-accuracy figures (87%, 88%, 89%) from slightly different runs overlap within their confidence intervals.</w:t>
      </w:r>
    </w:p>
    <w:p>
      <w:pPr>
        <w:spacing w:line="360" w:lineRule="auto" w:after="60"/>
        <w:ind w:left="432" w:hanging="288"/>
        <w:jc w:val="both"/>
      </w:pPr>
      <w:r>
        <w:rPr>
          <w:rFonts w:ascii="Times New Roman" w:hAnsi="Times New Roman" w:eastAsia="Times New Roman"/>
          <w:b w:val="0"/>
          <w:i w:val="0"/>
          <w:sz w:val="24"/>
        </w:rPr>
        <w:t>•  Tiers 2 and 3 are subsets; Tier 1 is the unfiltered figure.</w:t>
      </w:r>
    </w:p>
    <w:p>
      <w:pPr>
        <w:spacing w:line="360" w:lineRule="auto" w:after="60"/>
        <w:ind w:left="432" w:hanging="288"/>
        <w:jc w:val="both"/>
      </w:pPr>
      <w:r>
        <w:rPr>
          <w:rFonts w:ascii="Times New Roman" w:hAnsi="Times New Roman" w:eastAsia="Times New Roman"/>
          <w:b w:val="0"/>
          <w:i w:val="0"/>
          <w:sz w:val="24"/>
        </w:rPr>
        <w:t>•  Retina contribution overlaps strongly with age.</w:t>
      </w:r>
    </w:p>
    <w:p>
      <w:pPr>
        <w:spacing w:line="360" w:lineRule="auto" w:after="60"/>
        <w:ind w:left="432" w:hanging="288"/>
        <w:jc w:val="both"/>
      </w:pPr>
      <w:r>
        <w:rPr>
          <w:rFonts w:ascii="Times New Roman" w:hAnsi="Times New Roman" w:eastAsia="Times New Roman"/>
          <w:b w:val="0"/>
          <w:i w:val="0"/>
          <w:sz w:val="24"/>
        </w:rPr>
        <w:t>•  Low sensitivity for rare MuReD classes at the default threshold.</w:t>
      </w:r>
    </w:p>
    <w:p>
      <w:pPr>
        <w:spacing w:line="360" w:lineRule="auto" w:after="60"/>
        <w:ind w:left="432" w:hanging="288"/>
        <w:jc w:val="both"/>
      </w:pPr>
      <w:r>
        <w:rPr>
          <w:rFonts w:ascii="Times New Roman" w:hAnsi="Times New Roman" w:eastAsia="Times New Roman"/>
          <w:b w:val="0"/>
          <w:i w:val="0"/>
          <w:sz w:val="24"/>
        </w:rPr>
        <w:t>•  No external or prospective validation yet.</w:t>
      </w:r>
    </w:p>
    <w:p>
      <w:pPr>
        <w:spacing w:after="80" w:line="360" w:lineRule="auto"/>
        <w:jc w:val="left"/>
      </w:pPr>
      <w:r>
        <w:rPr>
          <w:rFonts w:ascii="Times New Roman" w:hAnsi="Times New Roman" w:eastAsia="Times New Roman"/>
          <w:b/>
          <w:i w:val="0"/>
          <w:sz w:val="26"/>
        </w:rPr>
        <w:t>8.11 Overall Interpretation</w:t>
      </w:r>
    </w:p>
    <w:p>
      <w:pPr>
        <w:spacing w:after="120" w:line="360" w:lineRule="auto"/>
        <w:jc w:val="both"/>
      </w:pPr>
      <w:r>
        <w:rPr>
          <w:rFonts w:ascii="Times New Roman" w:hAnsi="Times New Roman" w:eastAsia="Times New Roman"/>
          <w:b w:val="0"/>
          <w:i w:val="0"/>
          <w:sz w:val="24"/>
        </w:rPr>
        <w:t>A single RETFound-encoded fundus photograph supports accurate retinal-disease screening and useful estimation of carotid atherosclerosis. The strongest practical value lies in triage: identifying who should receive confirmatory carotid ultrasound and ophthalmic examination, with transparent explanations. Claims of independent cardiovascular value beyond age require further, age-controlled and external studies.</w:t>
      </w:r>
    </w:p>
    <w:p>
      <w:r>
        <w:br w:type="page"/>
      </w:r>
    </w:p>
    <w:p>
      <w:pPr>
        <w:spacing w:after="0" w:line="360" w:lineRule="auto"/>
        <w:jc w:val="center"/>
      </w:pPr>
      <w:r>
        <w:rPr>
          <w:rFonts w:ascii="Times New Roman" w:hAnsi="Times New Roman" w:eastAsia="Times New Roman"/>
          <w:b/>
          <w:i w:val="0"/>
          <w:sz w:val="28"/>
        </w:rPr>
        <w:t>CHAPTER 9</w:t>
      </w:r>
    </w:p>
    <w:p>
      <w:pPr>
        <w:spacing w:after="240" w:line="360" w:lineRule="auto"/>
        <w:jc w:val="center"/>
      </w:pPr>
      <w:r>
        <w:rPr>
          <w:rFonts w:ascii="Times New Roman" w:hAnsi="Times New Roman" w:eastAsia="Times New Roman"/>
          <w:b/>
          <w:i w:val="0"/>
          <w:sz w:val="28"/>
        </w:rPr>
        <w:t>CONCLUSION</w:t>
      </w:r>
    </w:p>
    <w:p>
      <w:pPr>
        <w:spacing w:after="120" w:line="360" w:lineRule="auto"/>
        <w:jc w:val="both"/>
      </w:pPr>
      <w:r>
        <w:rPr>
          <w:rFonts w:ascii="Times New Roman" w:hAnsi="Times New Roman" w:eastAsia="Times New Roman"/>
          <w:b w:val="0"/>
          <w:i w:val="0"/>
          <w:sz w:val="24"/>
        </w:rPr>
        <w:t>This project designed, implemented and evaluated an explainable dual-branch screening framework built on the RETFound Vision Transformer. Using a frozen foundation encoder with regularised linear heads, the system screens five retinal diseases (test AUROC 0.808–0.998), estimates CIMT with an MAE of 0.113 mm (r = 0.748), and classifies carotid atherosclerosis with 89.00% raw accuracy (AUROC 0.947), 92.39% accuracy and 97.62% sensitivity after excluding boundary labels, and 95.00% accuracy (AUROC 0.9855) in a triage setting that refers 20% of borderline cases. A Layer-20 Grad-CAM module and a four-state report engine make each prediction interpretable and internally consistent, and a locally hosted web GUI demonstrates the complete clinical workflow. The work also documents its limitations transparently, notably the strong overlap between retinal signal and age.</w:t>
      </w:r>
    </w:p>
    <w:p>
      <w:r>
        <w:br w:type="page"/>
      </w:r>
    </w:p>
    <w:p>
      <w:pPr>
        <w:spacing w:after="0" w:line="360" w:lineRule="auto"/>
        <w:jc w:val="center"/>
      </w:pPr>
      <w:r>
        <w:rPr>
          <w:rFonts w:ascii="Times New Roman" w:hAnsi="Times New Roman" w:eastAsia="Times New Roman"/>
          <w:b/>
          <w:i w:val="0"/>
          <w:sz w:val="28"/>
        </w:rPr>
        <w:t>CHAPTER 10</w:t>
      </w:r>
    </w:p>
    <w:p>
      <w:pPr>
        <w:spacing w:after="240" w:line="360" w:lineRule="auto"/>
        <w:jc w:val="center"/>
      </w:pPr>
      <w:r>
        <w:rPr>
          <w:rFonts w:ascii="Times New Roman" w:hAnsi="Times New Roman" w:eastAsia="Times New Roman"/>
          <w:b/>
          <w:i w:val="0"/>
          <w:sz w:val="28"/>
        </w:rPr>
        <w:t>FUTURE WORK</w:t>
      </w:r>
    </w:p>
    <w:p>
      <w:pPr>
        <w:spacing w:line="360" w:lineRule="auto" w:after="60"/>
        <w:ind w:left="432" w:hanging="288"/>
        <w:jc w:val="both"/>
      </w:pPr>
      <w:r>
        <w:rPr>
          <w:rFonts w:ascii="Times New Roman" w:hAnsi="Times New Roman" w:eastAsia="Times New Roman"/>
          <w:b w:val="0"/>
          <w:i w:val="0"/>
          <w:sz w:val="24"/>
        </w:rPr>
        <w:t>•  External, multi-centre validation on diverse populations, ideally prospective.</w:t>
      </w:r>
    </w:p>
    <w:p>
      <w:pPr>
        <w:spacing w:line="360" w:lineRule="auto" w:after="60"/>
        <w:ind w:left="432" w:hanging="288"/>
        <w:jc w:val="both"/>
      </w:pPr>
      <w:r>
        <w:rPr>
          <w:rFonts w:ascii="Times New Roman" w:hAnsi="Times New Roman" w:eastAsia="Times New Roman"/>
          <w:b w:val="0"/>
          <w:i w:val="0"/>
          <w:sz w:val="24"/>
        </w:rPr>
        <w:t>•  Age-matched analyses and models targeting residual risk beyond age and sex.</w:t>
      </w:r>
    </w:p>
    <w:p>
      <w:pPr>
        <w:spacing w:line="360" w:lineRule="auto" w:after="60"/>
        <w:ind w:left="432" w:hanging="288"/>
        <w:jc w:val="both"/>
      </w:pPr>
      <w:r>
        <w:rPr>
          <w:rFonts w:ascii="Times New Roman" w:hAnsi="Times New Roman" w:eastAsia="Times New Roman"/>
          <w:b w:val="0"/>
          <w:i w:val="0"/>
          <w:sz w:val="24"/>
        </w:rPr>
        <w:t>•  Fine-tuning or partial unfreezing of RETFound with careful regularisation.</w:t>
      </w:r>
    </w:p>
    <w:p>
      <w:pPr>
        <w:spacing w:line="360" w:lineRule="auto" w:after="60"/>
        <w:ind w:left="432" w:hanging="288"/>
        <w:jc w:val="both"/>
      </w:pPr>
      <w:r>
        <w:rPr>
          <w:rFonts w:ascii="Times New Roman" w:hAnsi="Times New Roman" w:eastAsia="Times New Roman"/>
          <w:b w:val="0"/>
          <w:i w:val="0"/>
          <w:sz w:val="24"/>
        </w:rPr>
        <w:t>•  Per-disease threshold calibration and class-balanced training for rare MuReD classes.</w:t>
      </w:r>
    </w:p>
    <w:p>
      <w:pPr>
        <w:spacing w:line="360" w:lineRule="auto" w:after="60"/>
        <w:ind w:left="432" w:hanging="288"/>
        <w:jc w:val="both"/>
      </w:pPr>
      <w:r>
        <w:rPr>
          <w:rFonts w:ascii="Times New Roman" w:hAnsi="Times New Roman" w:eastAsia="Times New Roman"/>
          <w:b w:val="0"/>
          <w:i w:val="0"/>
          <w:sz w:val="24"/>
        </w:rPr>
        <w:t>•  ResNet-50 and other baselines on the CIMT task for a complete comparison.</w:t>
      </w:r>
    </w:p>
    <w:p>
      <w:pPr>
        <w:spacing w:line="360" w:lineRule="auto" w:after="60"/>
        <w:ind w:left="432" w:hanging="288"/>
        <w:jc w:val="both"/>
      </w:pPr>
      <w:r>
        <w:rPr>
          <w:rFonts w:ascii="Times New Roman" w:hAnsi="Times New Roman" w:eastAsia="Times New Roman"/>
          <w:b w:val="0"/>
          <w:i w:val="0"/>
          <w:sz w:val="24"/>
        </w:rPr>
        <w:t>•  Model compression (quantisation, distillation) and benchmarking on edge hardware.</w:t>
      </w:r>
    </w:p>
    <w:p>
      <w:pPr>
        <w:spacing w:line="360" w:lineRule="auto" w:after="60"/>
        <w:ind w:left="432" w:hanging="288"/>
        <w:jc w:val="both"/>
      </w:pPr>
      <w:r>
        <w:rPr>
          <w:rFonts w:ascii="Times New Roman" w:hAnsi="Times New Roman" w:eastAsia="Times New Roman"/>
          <w:b w:val="0"/>
          <w:i w:val="0"/>
          <w:sz w:val="24"/>
        </w:rPr>
        <w:t>•  Integration with electronic health records and formal clinical/regulatory evaluation.</w:t>
      </w:r>
    </w:p>
    <w:p>
      <w:r>
        <w:br w:type="page"/>
      </w:r>
    </w:p>
    <w:p>
      <w:pPr>
        <w:spacing w:after="0" w:line="360" w:lineRule="auto"/>
        <w:jc w:val="center"/>
      </w:pPr>
      <w:r>
        <w:rPr>
          <w:rFonts w:ascii="Times New Roman" w:hAnsi="Times New Roman" w:eastAsia="Times New Roman"/>
          <w:b/>
          <w:i w:val="0"/>
          <w:sz w:val="28"/>
        </w:rPr>
        <w:t>CHAPTER 11</w:t>
      </w:r>
    </w:p>
    <w:p>
      <w:pPr>
        <w:spacing w:after="240" w:line="360" w:lineRule="auto"/>
        <w:jc w:val="center"/>
      </w:pPr>
      <w:r>
        <w:rPr>
          <w:rFonts w:ascii="Times New Roman" w:hAnsi="Times New Roman" w:eastAsia="Times New Roman"/>
          <w:b/>
          <w:i w:val="0"/>
          <w:sz w:val="28"/>
        </w:rPr>
        <w:t>BIBLIOGRAPHY</w:t>
      </w:r>
    </w:p>
    <w:p>
      <w:pPr>
        <w:spacing w:after="80" w:line="360" w:lineRule="auto"/>
        <w:ind w:left="576" w:hanging="576"/>
        <w:jc w:val="both"/>
      </w:pPr>
      <w:r>
        <w:rPr>
          <w:rFonts w:ascii="Times New Roman" w:hAnsi="Times New Roman" w:eastAsia="Times New Roman"/>
          <w:b w:val="0"/>
          <w:i w:val="0"/>
          <w:sz w:val="22"/>
        </w:rPr>
        <w:t>[1]</w:t>
        <w:tab/>
        <w:t>H. Hanssen, L. Streese, and W. Vilser, “Retinal vessel diameters and function in cardiovascular risk and disease,” Progress in Retinal and Eye Research, vol. 91, 101095, 2022.</w:t>
      </w:r>
    </w:p>
    <w:p>
      <w:pPr>
        <w:spacing w:after="80" w:line="360" w:lineRule="auto"/>
        <w:ind w:left="576" w:hanging="576"/>
        <w:jc w:val="both"/>
      </w:pPr>
      <w:r>
        <w:rPr>
          <w:rFonts w:ascii="Times New Roman" w:hAnsi="Times New Roman" w:eastAsia="Times New Roman"/>
          <w:b w:val="0"/>
          <w:i w:val="0"/>
          <w:sz w:val="22"/>
        </w:rPr>
        <w:t>[2]</w:t>
        <w:tab/>
        <w:t>S. Liu, W. Wang, L. Deng, and H. Xu, “CNN-Trans model: A parallel dual-branch network for fundus image classification,” Biomedical Signal Processing and Control, vol. 96, 106621, 2024.</w:t>
      </w:r>
    </w:p>
    <w:p>
      <w:pPr>
        <w:spacing w:after="80" w:line="360" w:lineRule="auto"/>
        <w:ind w:left="576" w:hanging="576"/>
        <w:jc w:val="both"/>
      </w:pPr>
      <w:r>
        <w:rPr>
          <w:rFonts w:ascii="Times New Roman" w:hAnsi="Times New Roman" w:eastAsia="Times New Roman"/>
          <w:b w:val="0"/>
          <w:i w:val="0"/>
          <w:sz w:val="22"/>
        </w:rPr>
        <w:t>[3]</w:t>
        <w:tab/>
        <w:t>Kishore S, R. R. Nair, A. M. Shetty, S. P. Shetty, and S. Joseph, “Edge-Enabled Deep Learning for Automated Diabetic Retinopathy Detection: Performance Analysis and Real-Time Insights,” Procedia Computer Science, vol. 282, pp. 337–346, 2026.</w:t>
      </w:r>
    </w:p>
    <w:p>
      <w:pPr>
        <w:spacing w:after="80" w:line="360" w:lineRule="auto"/>
        <w:ind w:left="576" w:hanging="576"/>
        <w:jc w:val="both"/>
      </w:pPr>
      <w:r>
        <w:rPr>
          <w:rFonts w:ascii="Times New Roman" w:hAnsi="Times New Roman" w:eastAsia="Times New Roman"/>
          <w:b w:val="0"/>
          <w:i w:val="0"/>
          <w:sz w:val="22"/>
        </w:rPr>
        <w:t>[4]</w:t>
        <w:tab/>
        <w:t>R. Thanki, “A deep neural network and machine learning approach for retinal fundus image classification,” Healthcare Analytics, vol. 3, 100140, 2023.</w:t>
      </w:r>
    </w:p>
    <w:p>
      <w:pPr>
        <w:spacing w:after="80" w:line="360" w:lineRule="auto"/>
        <w:ind w:left="576" w:hanging="576"/>
        <w:jc w:val="both"/>
      </w:pPr>
      <w:r>
        <w:rPr>
          <w:rFonts w:ascii="Times New Roman" w:hAnsi="Times New Roman" w:eastAsia="Times New Roman"/>
          <w:b w:val="0"/>
          <w:i w:val="0"/>
          <w:sz w:val="22"/>
        </w:rPr>
        <w:t>[5]</w:t>
        <w:tab/>
        <w:t>F. Ghislain, S. T. Beaudelaire, R. Atangana, and T. Daniel, “Real-time deep learning for multi-label retinal disease diagnosis with embedded system,” Computational and Structural Biotechnology Reports, vol. 2, 100035, 2025.</w:t>
      </w:r>
    </w:p>
    <w:p>
      <w:pPr>
        <w:spacing w:after="80" w:line="360" w:lineRule="auto"/>
        <w:ind w:left="576" w:hanging="576"/>
        <w:jc w:val="both"/>
      </w:pPr>
      <w:r>
        <w:rPr>
          <w:rFonts w:ascii="Times New Roman" w:hAnsi="Times New Roman" w:eastAsia="Times New Roman"/>
          <w:b w:val="0"/>
          <w:i w:val="0"/>
          <w:sz w:val="22"/>
        </w:rPr>
        <w:t>[6]</w:t>
        <w:tab/>
        <w:t>E. De Rose, C. B. Raggio, A. R. Rasheed, P. Bruno, P. Zaffino, S. De Rosa, F. Calimeri, and M. F. Spadea, “A multi-model deep learning approach for the identification of coronary artery calcifications within 2D coronary angiography images,” Int. J. Computer Assisted Radiology and Surgery, vol. 20, pp. 1273–1281, 2025.</w:t>
      </w:r>
    </w:p>
    <w:p>
      <w:pPr>
        <w:spacing w:after="80" w:line="360" w:lineRule="auto"/>
        <w:ind w:left="576" w:hanging="576"/>
        <w:jc w:val="both"/>
      </w:pPr>
      <w:r>
        <w:rPr>
          <w:rFonts w:ascii="Times New Roman" w:hAnsi="Times New Roman" w:eastAsia="Times New Roman"/>
          <w:b w:val="0"/>
          <w:i w:val="0"/>
          <w:sz w:val="22"/>
        </w:rPr>
        <w:t>[7]</w:t>
        <w:tab/>
        <w:t>R. M. W. W. Tseng et al., “Validation of a deep-learning-based retinal biomarker (Reti-CVD) in the prediction of cardiovascular disease: data from UK Biobank,” BMC Medicine, vol. 21, 28, 2023.</w:t>
      </w:r>
    </w:p>
    <w:p>
      <w:pPr>
        <w:spacing w:after="80" w:line="360" w:lineRule="auto"/>
        <w:ind w:left="576" w:hanging="576"/>
        <w:jc w:val="both"/>
      </w:pPr>
      <w:r>
        <w:rPr>
          <w:rFonts w:ascii="Times New Roman" w:hAnsi="Times New Roman" w:eastAsia="Times New Roman"/>
          <w:b w:val="0"/>
          <w:i w:val="0"/>
          <w:sz w:val="22"/>
        </w:rPr>
        <w:t>[8]</w:t>
        <w:tab/>
        <w:t>Y. Huang, B. Wittmann, O. Demler, B. Menze, and N. Davoudi, “Predicting Stroke through Retinal Graphs and Multimodal Self-supervised Learning,” arXiv:2411.05597, 2024.</w:t>
      </w:r>
    </w:p>
    <w:p>
      <w:pPr>
        <w:spacing w:after="80" w:line="360" w:lineRule="auto"/>
        <w:ind w:left="576" w:hanging="576"/>
        <w:jc w:val="both"/>
      </w:pPr>
      <w:r>
        <w:rPr>
          <w:rFonts w:ascii="Times New Roman" w:hAnsi="Times New Roman" w:eastAsia="Times New Roman"/>
          <w:b w:val="0"/>
          <w:i w:val="0"/>
          <w:sz w:val="22"/>
        </w:rPr>
        <w:t>[9]</w:t>
        <w:tab/>
        <w:t>H. Li, H. Li, M. Ou, X. Yu, X. Zhang, K. Niu, H. Fu, and J. Liu, “Fundus Image Quality Assessment and Enhancement: a Systematic Review,” IEEE Reviews in Biomedical Engineering, 2025.</w:t>
      </w:r>
    </w:p>
    <w:p>
      <w:pPr>
        <w:spacing w:after="80" w:line="360" w:lineRule="auto"/>
        <w:ind w:left="576" w:hanging="576"/>
        <w:jc w:val="both"/>
      </w:pPr>
      <w:r>
        <w:rPr>
          <w:rFonts w:ascii="Times New Roman" w:hAnsi="Times New Roman" w:eastAsia="Times New Roman"/>
          <w:b w:val="0"/>
          <w:i w:val="0"/>
          <w:sz w:val="22"/>
        </w:rPr>
        <w:t>[10]</w:t>
        <w:tab/>
        <w:t>A. Asare, D. A. N. Gookyi, D. Boateng, and F. A. Wulnye, “Deploying and Evaluating Multiple Deep Learning Models on Edge Devices for Diabetic Retinopathy Detection,” arXiv:2506.14834, 2025.</w:t>
      </w:r>
    </w:p>
    <w:p>
      <w:pPr>
        <w:spacing w:after="80" w:line="360" w:lineRule="auto"/>
        <w:ind w:left="576" w:hanging="576"/>
        <w:jc w:val="both"/>
      </w:pPr>
      <w:r>
        <w:rPr>
          <w:rFonts w:ascii="Times New Roman" w:hAnsi="Times New Roman" w:eastAsia="Times New Roman"/>
          <w:b w:val="0"/>
          <w:i w:val="0"/>
          <w:sz w:val="22"/>
        </w:rPr>
        <w:t>[11]</w:t>
        <w:tab/>
        <w:t>R. Kankrale and M. Kokare, “Artificial intelligence in retinal image analysis for hypertensive retinopathy diagnosis: a comprehensive review and perspective,” Visual Computing for Industry, Biomedicine, and Art, vol. 8, 11, 2025.</w:t>
      </w:r>
    </w:p>
    <w:p>
      <w:pPr>
        <w:spacing w:after="80" w:line="360" w:lineRule="auto"/>
        <w:ind w:left="576" w:hanging="576"/>
        <w:jc w:val="both"/>
      </w:pPr>
      <w:r>
        <w:rPr>
          <w:rFonts w:ascii="Times New Roman" w:hAnsi="Times New Roman" w:eastAsia="Times New Roman"/>
          <w:b w:val="0"/>
          <w:i w:val="0"/>
          <w:sz w:val="22"/>
        </w:rPr>
        <w:t>[12]</w:t>
        <w:tab/>
        <w:t>H. Lee, J. Kim, S. Kwak, A. Rehman, and S. M. Park et al., “Optimizing retinal images based carotid atherosclerosis prediction with explainable foundation models,” npj Digital Medicine, 2025.</w:t>
      </w:r>
    </w:p>
    <w:p>
      <w:pPr>
        <w:spacing w:after="80" w:line="360" w:lineRule="auto"/>
        <w:ind w:left="576" w:hanging="576"/>
        <w:jc w:val="both"/>
      </w:pPr>
      <w:r>
        <w:rPr>
          <w:rFonts w:ascii="Times New Roman" w:hAnsi="Times New Roman" w:eastAsia="Times New Roman"/>
          <w:b w:val="0"/>
          <w:i w:val="0"/>
          <w:sz w:val="22"/>
        </w:rPr>
        <w:t>[13]</w:t>
        <w:tab/>
        <w:t>H. Li et al., “Predicting ischemic stroke risk from atrial fibrillation based on multi-spectral fundus images using deep learning,” Frontiers in Cardiovascular Medicine, vol. 10, 1185890, 2023.</w:t>
      </w:r>
    </w:p>
    <w:p>
      <w:pPr>
        <w:spacing w:after="80" w:line="360" w:lineRule="auto"/>
        <w:ind w:left="576" w:hanging="576"/>
        <w:jc w:val="both"/>
      </w:pPr>
      <w:r>
        <w:rPr>
          <w:rFonts w:ascii="Times New Roman" w:hAnsi="Times New Roman" w:eastAsia="Times New Roman"/>
          <w:b w:val="0"/>
          <w:i w:val="0"/>
          <w:sz w:val="22"/>
        </w:rPr>
        <w:t>[14]</w:t>
        <w:tab/>
        <w:t>S. M. Al Younis, S. K. Ghosh, H. Raja, F. A. Alskafi, S. Yousefi, and A. H. et al., “Prediction of heart failure risk factors from retinal optical imaging via explainable machine learning,” Frontiers in Medicine, vol. 12, 1551557, 2025.</w:t>
      </w:r>
    </w:p>
    <w:p>
      <w:pPr>
        <w:spacing w:after="80" w:line="360" w:lineRule="auto"/>
        <w:ind w:left="576" w:hanging="576"/>
        <w:jc w:val="both"/>
      </w:pPr>
      <w:r>
        <w:rPr>
          <w:rFonts w:ascii="Times New Roman" w:hAnsi="Times New Roman" w:eastAsia="Times New Roman"/>
          <w:b w:val="0"/>
          <w:i w:val="0"/>
          <w:sz w:val="22"/>
        </w:rPr>
        <w:t>[15]</w:t>
        <w:tab/>
        <w:t>R. Vasilev, A. Savchenko, P. Blinov, T. Svetina, S. Kudin, and N. et al., “Artificial intelligence framework for multi-pathology risk assessment from retinal fundus images: deep learning approach to 15-disease screening,” Frontiers in Medicine, vol. 13, 1778404, 2026.</w:t>
      </w:r>
    </w:p>
    <w:p>
      <w:pPr>
        <w:spacing w:after="80" w:line="360" w:lineRule="auto"/>
        <w:ind w:left="576" w:hanging="576"/>
        <w:jc w:val="both"/>
      </w:pPr>
      <w:r>
        <w:rPr>
          <w:rFonts w:ascii="Times New Roman" w:hAnsi="Times New Roman" w:eastAsia="Times New Roman"/>
          <w:b w:val="0"/>
          <w:i w:val="0"/>
          <w:sz w:val="22"/>
        </w:rPr>
        <w:t>[16]</w:t>
        <w:tab/>
        <w:t>S. Zhang, C. A. B. Webers, and T. T. J. M. Berendschot, “Computational single fundus image restoration techniques: a review,” Frontiers in Ophthalmology, vol. 4, 1332197, 2024.</w:t>
      </w:r>
    </w:p>
    <w:p>
      <w:pPr>
        <w:spacing w:after="80" w:line="360" w:lineRule="auto"/>
        <w:ind w:left="576" w:hanging="576"/>
        <w:jc w:val="both"/>
      </w:pPr>
      <w:r>
        <w:rPr>
          <w:rFonts w:ascii="Times New Roman" w:hAnsi="Times New Roman" w:eastAsia="Times New Roman"/>
          <w:b w:val="0"/>
          <w:i w:val="0"/>
          <w:sz w:val="22"/>
        </w:rPr>
        <w:t>[17]</w:t>
        <w:tab/>
        <w:t>A. Nasrin et al., “A Lightweight Vision Transformer and Retinal Biomarker Fusion Framework for Early Glaucoma Detection: Toward Improved Clinical Screening,” J. Clinical Medicine, vol. 15, 5651, 2026.</w:t>
      </w:r>
    </w:p>
    <w:p>
      <w:pPr>
        <w:spacing w:after="80" w:line="360" w:lineRule="auto"/>
        <w:ind w:left="576" w:hanging="576"/>
        <w:jc w:val="both"/>
      </w:pPr>
      <w:r>
        <w:rPr>
          <w:rFonts w:ascii="Times New Roman" w:hAnsi="Times New Roman" w:eastAsia="Times New Roman"/>
          <w:b w:val="0"/>
          <w:i w:val="0"/>
          <w:sz w:val="22"/>
        </w:rPr>
        <w:t>[18]</w:t>
        <w:tab/>
        <w:t>S. Ejaz, R. Baig, Z. Ashraf, M. M. Alnfiai, M. M. Alnahari, and R. M. Alotaibi, “A deep learning framework for the early detection of multi-retinal diseases,” PLOS ONE, 2024.</w:t>
      </w:r>
    </w:p>
    <w:p>
      <w:pPr>
        <w:spacing w:after="80" w:line="360" w:lineRule="auto"/>
        <w:ind w:left="576" w:hanging="576"/>
        <w:jc w:val="both"/>
      </w:pPr>
      <w:r>
        <w:rPr>
          <w:rFonts w:ascii="Times New Roman" w:hAnsi="Times New Roman" w:eastAsia="Times New Roman"/>
          <w:b w:val="0"/>
          <w:i w:val="0"/>
          <w:sz w:val="22"/>
        </w:rPr>
        <w:t>[19]</w:t>
        <w:tab/>
        <w:t>B. Hassan, H. Raja, T. Hassan, M. U. Akram, H. Raja, A. A. Abd-alrazaq, S. Yousefi, and N. Werghi, “A comprehensive review of artificial intelligence models for screening major retinal diseases,” Artificial Intelligence Review, vol. 57, 111, 2024.</w:t>
      </w:r>
    </w:p>
    <w:p>
      <w:pPr>
        <w:spacing w:after="80" w:line="360" w:lineRule="auto"/>
        <w:ind w:left="576" w:hanging="576"/>
        <w:jc w:val="both"/>
      </w:pPr>
      <w:r>
        <w:rPr>
          <w:rFonts w:ascii="Times New Roman" w:hAnsi="Times New Roman" w:eastAsia="Times New Roman"/>
          <w:b w:val="0"/>
          <w:i w:val="0"/>
          <w:sz w:val="22"/>
        </w:rPr>
        <w:t>[20]</w:t>
        <w:tab/>
        <w:t>J. Lin, J. Zheng, and B. Lin, “A review of deep learning for fundus image enhancement,” Discover Computing, vol. 28, 233, 2025.</w:t>
      </w:r>
    </w:p>
    <w:p>
      <w:pPr>
        <w:spacing w:after="80" w:line="360" w:lineRule="auto"/>
        <w:ind w:left="576" w:hanging="576"/>
        <w:jc w:val="both"/>
      </w:pPr>
      <w:r>
        <w:rPr>
          <w:rFonts w:ascii="Times New Roman" w:hAnsi="Times New Roman" w:eastAsia="Times New Roman"/>
          <w:b w:val="0"/>
          <w:i w:val="0"/>
          <w:sz w:val="22"/>
        </w:rPr>
        <w:t>[21]</w:t>
        <w:tab/>
        <w:t>A. Grzybowski, K. Jin, J. Zhou, X. Pan, M. Wang, J. Ye, and T. Y. Wong, “Retina Fundus Photograph-Based Artificial Intelligence Algorithms in Medicine: A Systematic Review,” Ophthalmology and Therapy, vol. 13, pp. 2125–2149, 2024.</w:t>
      </w:r>
    </w:p>
    <w:p>
      <w:pPr>
        <w:spacing w:after="80" w:line="360" w:lineRule="auto"/>
        <w:ind w:left="576" w:hanging="576"/>
        <w:jc w:val="both"/>
      </w:pPr>
      <w:r>
        <w:rPr>
          <w:rFonts w:ascii="Times New Roman" w:hAnsi="Times New Roman" w:eastAsia="Times New Roman"/>
          <w:b w:val="0"/>
          <w:i w:val="0"/>
          <w:sz w:val="22"/>
        </w:rPr>
        <w:t>[22]</w:t>
        <w:tab/>
        <w:t>Y. Zhou et al., “A foundation model for generalizable disease detection from retinal images,” Nature, vol. 622, pp. 156–163, 2023.</w:t>
      </w:r>
    </w:p>
    <w:p>
      <w:pPr>
        <w:spacing w:after="80" w:line="360" w:lineRule="auto"/>
        <w:ind w:left="576" w:hanging="576"/>
        <w:jc w:val="both"/>
      </w:pPr>
      <w:r>
        <w:rPr>
          <w:rFonts w:ascii="Times New Roman" w:hAnsi="Times New Roman" w:eastAsia="Times New Roman"/>
          <w:b w:val="0"/>
          <w:i w:val="0"/>
          <w:sz w:val="22"/>
        </w:rPr>
        <w:t>[23]</w:t>
        <w:tab/>
        <w:t>N. Guo, W. Fu, H. Li, H. Zhang, T. Li, W. Zhang, X. Zhong, T. Pan, F. Sun, and A. Gong, “High-resolution fundus images: data descriptor for ophthalmomics and early cardiovascular disease prediction,” Scientific Data, vol. 12, 2025.</w:t>
      </w:r>
    </w:p>
    <w:p>
      <w:pPr>
        <w:spacing w:after="80" w:line="360" w:lineRule="auto"/>
        <w:ind w:left="576" w:hanging="576"/>
        <w:jc w:val="both"/>
      </w:pPr>
      <w:r>
        <w:rPr>
          <w:rFonts w:ascii="Times New Roman" w:hAnsi="Times New Roman" w:eastAsia="Times New Roman"/>
          <w:b w:val="0"/>
          <w:i w:val="0"/>
          <w:sz w:val="22"/>
        </w:rPr>
        <w:t>[24]</w:t>
        <w:tab/>
        <w:t>R. Hemelings, B. Elen, J. Barbosa-Breda, M. B. Blaschko, P. De Boever, and I. Stalmans, “Deep learning on fundus images detects glaucoma beyond the optic disc,” Scientific Reports, vol. 11, 20313, 2021.</w:t>
      </w:r>
    </w:p>
    <w:p>
      <w:pPr>
        <w:spacing w:after="80" w:line="360" w:lineRule="auto"/>
        <w:ind w:left="576" w:hanging="576"/>
        <w:jc w:val="both"/>
      </w:pPr>
      <w:r>
        <w:rPr>
          <w:rFonts w:ascii="Times New Roman" w:hAnsi="Times New Roman" w:eastAsia="Times New Roman"/>
          <w:b w:val="0"/>
          <w:i w:val="0"/>
          <w:sz w:val="22"/>
        </w:rPr>
        <w:t>[25]</w:t>
        <w:tab/>
        <w:t>C. Germanese et al., “Artificial intelligence-based prediction of neurocardiovascular risk score from retinal swept-source optical coherence tomography–angiography,” Scientific Reports, vol. 14, 2024.</w:t>
      </w:r>
    </w:p>
    <w:p>
      <w:pPr>
        <w:spacing w:after="80" w:line="360" w:lineRule="auto"/>
        <w:ind w:left="576" w:hanging="576"/>
        <w:jc w:val="both"/>
      </w:pPr>
      <w:r>
        <w:rPr>
          <w:rFonts w:ascii="Times New Roman" w:hAnsi="Times New Roman" w:eastAsia="Times New Roman"/>
          <w:b w:val="0"/>
          <w:i w:val="0"/>
          <w:sz w:val="22"/>
        </w:rPr>
        <w:t>[26]</w:t>
        <w:tab/>
        <w:t>P. Thaware, A. A. Khurshid, C. Sonkusare, and Y. Agrawal, “Leveraging fundus images for on-device eye disease diagnosis with AI powered lightweight software hardware framework,” Scientific Reports, vol. 15, 2025.</w:t>
      </w:r>
    </w:p>
    <w:p>
      <w:pPr>
        <w:spacing w:after="80" w:line="360" w:lineRule="auto"/>
        <w:ind w:left="576" w:hanging="576"/>
        <w:jc w:val="both"/>
      </w:pPr>
      <w:r>
        <w:rPr>
          <w:rFonts w:ascii="Times New Roman" w:hAnsi="Times New Roman" w:eastAsia="Times New Roman"/>
          <w:b w:val="0"/>
          <w:i w:val="0"/>
          <w:sz w:val="22"/>
        </w:rPr>
        <w:t>[27]</w:t>
        <w:tab/>
        <w:t>A. A. Hailu, E. A. Desta, A. Mulugeta, F. B. Adugna, A. O. Salau, L. A. Almaw, and M. B. Fentahun, “Early retinal disease detection from fundus images using deep neural networks,” Scientific Reports, vol. 16, 2026.</w:t>
      </w:r>
    </w:p>
    <w:p>
      <w:pPr>
        <w:spacing w:after="80" w:line="360" w:lineRule="auto"/>
        <w:ind w:left="576" w:hanging="576"/>
        <w:jc w:val="both"/>
      </w:pPr>
      <w:r>
        <w:rPr>
          <w:rFonts w:ascii="Times New Roman" w:hAnsi="Times New Roman" w:eastAsia="Times New Roman"/>
          <w:b w:val="0"/>
          <w:i w:val="0"/>
          <w:sz w:val="22"/>
        </w:rPr>
        <w:t>[28]</w:t>
        <w:tab/>
        <w:t>L. Y. Li, A. A. Isaksen, B. Lebiecka-Johansen, K. Funck, V. Thambawita, S. Byberg, T. H. Andersen, O. Norgaard, and A. Hulman, “Prediction of cardiovascular markers and diseases using retinal fundus images and deep learning: a systematic scoping review,” European Heart Journal – Digital Health, vol. 5, pp. 660–669, 2024.</w:t>
      </w:r>
    </w:p>
    <w:p>
      <w:pPr>
        <w:spacing w:after="80" w:line="360" w:lineRule="auto"/>
        <w:ind w:left="576" w:hanging="576"/>
        <w:jc w:val="both"/>
      </w:pPr>
      <w:r>
        <w:rPr>
          <w:rFonts w:ascii="Times New Roman" w:hAnsi="Times New Roman" w:eastAsia="Times New Roman"/>
          <w:b w:val="0"/>
          <w:i w:val="0"/>
          <w:sz w:val="22"/>
        </w:rPr>
        <w:t>[29]</w:t>
        <w:tab/>
        <w:t>M. A. Rodriguez, H. AlMarzouqi, and P. Liatsis, “Multi-label Retinal Disease Classification Using Transformers,” IEEE Journal of Biomedical and Health Informatics, 2022.</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215d7fedf02eda37af2c9e5c3f33f6dd95302e1.png"/><Relationship Id="rId10" Type="http://schemas.openxmlformats.org/officeDocument/2006/relationships/image" Target="media/aef898783dc786c12d5c1a7cc0b65f7ffa21e680.png"/><Relationship Id="rId11" Type="http://schemas.openxmlformats.org/officeDocument/2006/relationships/image" Target="media/e6c560e62b4359a97fb3b760c4bf50cd02c0eed6.png"/><Relationship Id="rId12" Type="http://schemas.openxmlformats.org/officeDocument/2006/relationships/image" Target="media/df019d838084511fe7265cd4e16da4cf0efe4fda.png"/><Relationship Id="rId13" Type="http://schemas.openxmlformats.org/officeDocument/2006/relationships/image" Target="media/d2bf83f78b099e8fecb1190e73c332e4eb852113.jpg"/><Relationship Id="rId14" Type="http://schemas.openxmlformats.org/officeDocument/2006/relationships/image" Target="media/da56f84a7a243466fa53bc0a62d936b85d867b13.png"/><Relationship Id="rId15" Type="http://schemas.openxmlformats.org/officeDocument/2006/relationships/image" Target="media/0d675b69193443484133a2035dc7cb205beafb90.png"/><Relationship Id="rId16" Type="http://schemas.openxmlformats.org/officeDocument/2006/relationships/image" Target="media/45e7d0dd5a4bed4232f317ed9f13a7d9b632d281.png"/><Relationship Id="rId17" Type="http://schemas.openxmlformats.org/officeDocument/2006/relationships/image" Target="media/15143d94942513d7b8926dc2e38abf1c472e8f98.png"/><Relationship Id="rId18" Type="http://schemas.openxmlformats.org/officeDocument/2006/relationships/image" Target="media/35ebba64d3e35e8c5f1debc779c1886c3338347c.png"/><Relationship Id="rId19" Type="http://schemas.openxmlformats.org/officeDocument/2006/relationships/image" Target="media/ecb957c9e99a79c050bb263a13e08dc043627101.png"/><Relationship Id="rId20" Type="http://schemas.openxmlformats.org/officeDocument/2006/relationships/image" Target="media/d6ae45e0b0a72f739574383ab567402ed30e1fee.png"/><Relationship Id="rId21" Type="http://schemas.openxmlformats.org/officeDocument/2006/relationships/fontTable" Target="fontTable.xml"/><Relationship Id="rId2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2026-10-21T08:18:40.085Z</dcterms:created>
  <dcterms:modified xsi:type="dcterms:W3CDTF">2026-10-21T08:18:40.085Z</dcterms:modified>
</cp:coreProperties>
</file>

<file path=docProps/custom.xml><?xml version="1.0" encoding="utf-8"?>
<Properties xmlns="http://schemas.openxmlformats.org/officeDocument/2006/custom-properties" xmlns:vt="http://schemas.openxmlformats.org/officeDocument/2006/docPropsVTypes"/>
</file>