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1"/>
        </w:rPr>
        <w:t>COMPLETE END-TO-END PROJECT DOCUMENTATION</w:t>
        <w:br/>
        <w:t>Non-Invasive Carotid Intima-Media Thickness (CIMT) &amp; 5-Disease Retinal Screening</w:t>
        <w:br/>
        <w:t>via RETFound Vision Transformer &amp; Synergistic Multimodal AI (95.00% Clinical Triage Accuracy)</w:t>
      </w:r>
    </w:p>
    <w:p>
      <w:pPr>
        <w:jc w:val="center"/>
      </w:pPr>
      <w:r>
        <w:rPr>
          <w:color w:val="5A5A5A"/>
          <w:sz w:val="19"/>
        </w:rPr>
        <w:t>GitHub Repository: https://github.com/agnikitha/retfound-cvd-screening</w:t>
        <w:br/>
        <w:t>Live Portable Web GUI: http://127.0.0.1:5050 (One-Click Launcher: START_RETFOUND_GUI.bat)</w:t>
        <w:br/>
        <w:t>Cloud GPU Benchmark: Kaggle Tesla T4 (xtygvh/retfound-cvd-clinical-benchmark)</w:t>
      </w:r>
    </w:p>
    <w:p>
      <w:r>
        <w:t>____________________________________________________________________________________</w:t>
      </w:r>
    </w:p>
    <w:p>
      <w:pPr>
        <w:pStyle w:val="Heading1"/>
      </w:pPr>
      <w:r>
        <w:t>1. What and Why is RETFound &amp; Datasets Used and Their Splits</w:t>
      </w:r>
    </w:p>
    <w:p>
      <w:pPr>
        <w:pStyle w:val="Heading2"/>
      </w:pPr>
      <w:r>
        <w:t>1.1 What is RETFound and Why It Is the Ideal Foundation Model</w:t>
      </w:r>
    </w:p>
    <w:p>
      <w:r>
        <w:t>• What is RETFound? RETFound (Zhou et al., Nature 2023) is a medical foundation model based on a Vision Transformer Large (ViT-Large) backbone containing 304 million parameters across 24 transformer layers and 16 self-attention heads. Each fundus image is divided into 16x16 pixel patches and encoded into a 1,024-dimensional latent feature vector per eye (2,048-dimensional bilateral representation).</w:t>
        <w:br/>
        <w:t>• How RETFound Was Pretrained: It was trained using Self-Supervised Masked Autoencoding (MAE) on 1.6 million unlabeled retinal images. During pretraining, 75% of image patches are masked out, forcing the ViT encoder-decoder to reconstruct missing microvascular branches, arteriolar-venular crossings, the optic disc, and the macula from surrounding vascular context.</w:t>
        <w:br/>
        <w:t>• Why RETFound is a Perfect Fit: Traditional CNNs (e.g., ResNet-50) are pretrained on general ImageNet objects (cats, dogs, cars) and use small 7x7 local convolutions that miss subtle, global microvascular remodeling. RETFound possesses domain-specific retinal knowledge and global self-attention, enabling it to relate peripheral arteriolar narrowing to central optic nerve head perfusion.</w:t>
      </w:r>
    </w:p>
    <w:p>
      <w:pPr>
        <w:pStyle w:val="Heading2"/>
      </w:pPr>
      <w:r>
        <w:t>1.2 Datasets Used and Patient-Level Splits (Zero Data Leakage)</w:t>
      </w:r>
    </w:p>
    <w:p>
      <w:r>
        <w:t>Two complementary clinical cohorts were utilized. All splits were generated deterministically (seed=42) at the strict Patient ID level so that left and right eyes of the same patient never cross partitions: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Dataset Name</w:t>
            </w:r>
          </w:p>
        </w:tc>
        <w:tc>
          <w:tcPr>
            <w:tcW w:type="dxa" w:w="1656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Clinical Modality &amp; Labels</w:t>
            </w:r>
          </w:p>
        </w:tc>
        <w:tc>
          <w:tcPr>
            <w:tcW w:type="dxa" w:w="1656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Training Split</w:t>
            </w:r>
          </w:p>
        </w:tc>
        <w:tc>
          <w:tcPr>
            <w:tcW w:type="dxa" w:w="1656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Validation Split</w:t>
            </w:r>
          </w:p>
        </w:tc>
        <w:tc>
          <w:tcPr>
            <w:tcW w:type="dxa" w:w="1656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Testing Split</w:t>
            </w:r>
          </w:p>
        </w:tc>
        <w:tc>
          <w:tcPr>
            <w:tcW w:type="dxa" w:w="1656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Total Volume</w:t>
            </w:r>
          </w:p>
        </w:tc>
      </w:tr>
      <w:tr>
        <w:tc>
          <w:tcPr>
            <w:tcW w:type="dxa" w:w="1656"/>
            <w:shd w:fill="FFFFFF"/>
          </w:tcPr>
          <w:p>
            <w:pPr>
              <w:jc w:val="left"/>
            </w:pPr>
            <w:r>
              <w:rPr>
                <w:b/>
                <w:sz w:val="17"/>
              </w:rPr>
              <w:t>China Fundus-CIMT Cohort (Fundus_CIMT_2903)</w:t>
            </w:r>
          </w:p>
        </w:tc>
        <w:tc>
          <w:tcPr>
            <w:tcW w:type="dxa" w:w="1656"/>
            <w:shd w:fill="FFFFFF"/>
          </w:tcPr>
          <w:p>
            <w:pPr>
              <w:jc w:val="center"/>
            </w:pPr>
            <w:r>
              <w:rPr>
                <w:sz w:val="17"/>
              </w:rPr>
              <w:t>Bilateral fundus photos paired with B-mode carotid ultrasound CIMT (mm), binary plaque label (&gt;= 0.90 mm), Age, and Sex</w:t>
            </w:r>
          </w:p>
        </w:tc>
        <w:tc>
          <w:tcPr>
            <w:tcW w:type="dxa" w:w="1656"/>
            <w:shd w:fill="FFFFFF"/>
          </w:tcPr>
          <w:p>
            <w:pPr>
              <w:jc w:val="center"/>
            </w:pPr>
            <w:r>
              <w:rPr>
                <w:sz w:val="17"/>
              </w:rPr>
              <w:t>2,603 Patients</w:t>
              <w:br/>
              <w:t>(5,206 Images)</w:t>
            </w:r>
          </w:p>
        </w:tc>
        <w:tc>
          <w:tcPr>
            <w:tcW w:type="dxa" w:w="1656"/>
            <w:shd w:fill="FFFFFF"/>
          </w:tcPr>
          <w:p>
            <w:pPr>
              <w:jc w:val="center"/>
            </w:pPr>
            <w:r>
              <w:rPr>
                <w:sz w:val="17"/>
              </w:rPr>
              <w:t>200 Patients</w:t>
              <w:br/>
              <w:t>(400 Images)</w:t>
            </w:r>
          </w:p>
        </w:tc>
        <w:tc>
          <w:tcPr>
            <w:tcW w:type="dxa" w:w="1656"/>
            <w:shd w:fill="FFFFFF"/>
          </w:tcPr>
          <w:p>
            <w:pPr>
              <w:jc w:val="center"/>
            </w:pPr>
            <w:r>
              <w:rPr>
                <w:sz w:val="17"/>
              </w:rPr>
              <w:t>100 Patients</w:t>
              <w:br/>
              <w:t>(200 Images)</w:t>
            </w:r>
          </w:p>
        </w:tc>
        <w:tc>
          <w:tcPr>
            <w:tcW w:type="dxa" w:w="1656"/>
            <w:shd w:fill="FFFFFF"/>
          </w:tcPr>
          <w:p>
            <w:pPr>
              <w:jc w:val="center"/>
            </w:pPr>
            <w:r>
              <w:rPr>
                <w:sz w:val="17"/>
              </w:rPr>
              <w:t>2,903 Patients</w:t>
              <w:br/>
              <w:t>(5,806 Images)</w:t>
            </w:r>
          </w:p>
        </w:tc>
      </w:tr>
      <w:tr>
        <w:tc>
          <w:tcPr>
            <w:tcW w:type="dxa" w:w="1656"/>
            <w:shd w:fill="F2F6FA"/>
          </w:tcPr>
          <w:p>
            <w:pPr>
              <w:jc w:val="left"/>
            </w:pPr>
            <w:r>
              <w:rPr>
                <w:b/>
                <w:sz w:val="17"/>
              </w:rPr>
              <w:t>MuReD Ophthalmic Cohort</w:t>
            </w:r>
          </w:p>
        </w:tc>
        <w:tc>
          <w:tcPr>
            <w:tcW w:type="dxa" w:w="1656"/>
            <w:shd w:fill="F2F6FA"/>
          </w:tcPr>
          <w:p>
            <w:pPr>
              <w:jc w:val="center"/>
            </w:pPr>
            <w:r>
              <w:rPr>
                <w:sz w:val="17"/>
              </w:rPr>
              <w:t>High-resolution color fundus images annotated for 5 retinal diseases: DR, MYA, ODC, TSLN, BRVO</w:t>
            </w:r>
          </w:p>
        </w:tc>
        <w:tc>
          <w:tcPr>
            <w:tcW w:type="dxa" w:w="1656"/>
            <w:shd w:fill="F2F6FA"/>
          </w:tcPr>
          <w:p>
            <w:pPr>
              <w:jc w:val="center"/>
            </w:pPr>
            <w:r>
              <w:rPr>
                <w:sz w:val="17"/>
              </w:rPr>
              <w:t>1,588 Images</w:t>
            </w:r>
          </w:p>
        </w:tc>
        <w:tc>
          <w:tcPr>
            <w:tcW w:type="dxa" w:w="1656"/>
            <w:shd w:fill="F2F6FA"/>
          </w:tcPr>
          <w:p>
            <w:pPr>
              <w:jc w:val="center"/>
            </w:pPr>
            <w:r>
              <w:rPr>
                <w:sz w:val="17"/>
              </w:rPr>
              <w:t>176 Images</w:t>
            </w:r>
          </w:p>
        </w:tc>
        <w:tc>
          <w:tcPr>
            <w:tcW w:type="dxa" w:w="1656"/>
            <w:shd w:fill="F2F6FA"/>
          </w:tcPr>
          <w:p>
            <w:pPr>
              <w:jc w:val="center"/>
            </w:pPr>
            <w:r>
              <w:rPr>
                <w:sz w:val="17"/>
              </w:rPr>
              <w:t>444 Images</w:t>
            </w:r>
          </w:p>
        </w:tc>
        <w:tc>
          <w:tcPr>
            <w:tcW w:type="dxa" w:w="1656"/>
            <w:shd w:fill="F2F6FA"/>
          </w:tcPr>
          <w:p>
            <w:pPr>
              <w:jc w:val="center"/>
            </w:pPr>
            <w:r>
              <w:rPr>
                <w:sz w:val="17"/>
              </w:rPr>
              <w:t>2,208 Images</w:t>
            </w:r>
          </w:p>
        </w:tc>
      </w:tr>
    </w:tbl>
    <w:p/>
    <w:p>
      <w:pPr>
        <w:pStyle w:val="Heading1"/>
      </w:pPr>
      <w:r>
        <w:t>2. Methodology Flowchart, Comparison with Existing Systems &amp; Novelty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413093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_methodology_flow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1309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64646"/>
          <w:sz w:val="18"/>
        </w:rPr>
        <w:t>Figure 1: End-to-End Methodology Flowchart &amp; Unified Web GUI Architecture.</w:t>
      </w:r>
    </w:p>
    <w:p>
      <w:pPr>
        <w:pStyle w:val="Heading2"/>
      </w:pPr>
      <w:r>
        <w:t>2.1 How Our Methodology Differs from Existing Systems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Technical Dimension</w:t>
            </w:r>
          </w:p>
        </w:tc>
        <w:tc>
          <w:tcPr>
            <w:tcW w:type="dxa" w:w="3312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Existing Systems (ResNet-50 / Standard CNNs)</w:t>
            </w:r>
          </w:p>
        </w:tc>
        <w:tc>
          <w:tcPr>
            <w:tcW w:type="dxa" w:w="3312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Proposed RETFound Multimodal System</w:t>
            </w:r>
          </w:p>
        </w:tc>
      </w:tr>
      <w:tr>
        <w:tc>
          <w:tcPr>
            <w:tcW w:type="dxa" w:w="3312"/>
            <w:shd w:fill="FFFFFF"/>
          </w:tcPr>
          <w:p>
            <w:pPr>
              <w:jc w:val="left"/>
            </w:pPr>
            <w:r>
              <w:rPr>
                <w:b/>
                <w:sz w:val="17"/>
              </w:rPr>
              <w:t>Backbone &amp; Pretraining</w:t>
            </w:r>
          </w:p>
        </w:tc>
        <w:tc>
          <w:tcPr>
            <w:tcW w:type="dxa" w:w="3312"/>
            <w:shd w:fill="FFFFFF"/>
          </w:tcPr>
          <w:p>
            <w:pPr>
              <w:jc w:val="center"/>
            </w:pPr>
            <w:r>
              <w:rPr>
                <w:sz w:val="17"/>
              </w:rPr>
              <w:t>25M parameters pretrained on ImageNet natural photos</w:t>
            </w:r>
          </w:p>
        </w:tc>
        <w:tc>
          <w:tcPr>
            <w:tcW w:type="dxa" w:w="3312"/>
            <w:shd w:fill="FFFFFF"/>
          </w:tcPr>
          <w:p>
            <w:pPr>
              <w:jc w:val="center"/>
            </w:pPr>
            <w:r>
              <w:rPr>
                <w:sz w:val="17"/>
              </w:rPr>
              <w:t>304M ViT-Large pretrained on 1.6M retinal images via MAE</w:t>
            </w:r>
          </w:p>
        </w:tc>
      </w:tr>
      <w:tr>
        <w:tc>
          <w:tcPr>
            <w:tcW w:type="dxa" w:w="3312"/>
            <w:shd w:fill="F2F6FA"/>
          </w:tcPr>
          <w:p>
            <w:pPr>
              <w:jc w:val="left"/>
            </w:pPr>
            <w:r>
              <w:rPr>
                <w:b/>
                <w:sz w:val="17"/>
              </w:rPr>
              <w:t>Receptive Field</w:t>
            </w:r>
          </w:p>
        </w:tc>
        <w:tc>
          <w:tcPr>
            <w:tcW w:type="dxa" w:w="3312"/>
            <w:shd w:fill="F2F6FA"/>
          </w:tcPr>
          <w:p>
            <w:pPr>
              <w:jc w:val="center"/>
            </w:pPr>
            <w:r>
              <w:rPr>
                <w:sz w:val="17"/>
              </w:rPr>
              <w:t>Local 7x7 convolutional kernels</w:t>
            </w:r>
          </w:p>
        </w:tc>
        <w:tc>
          <w:tcPr>
            <w:tcW w:type="dxa" w:w="3312"/>
            <w:shd w:fill="F2F6FA"/>
          </w:tcPr>
          <w:p>
            <w:pPr>
              <w:jc w:val="center"/>
            </w:pPr>
            <w:r>
              <w:rPr>
                <w:sz w:val="17"/>
              </w:rPr>
              <w:t>Global Multi-Head Self-Attention across all 196 retinal patches</w:t>
            </w:r>
          </w:p>
        </w:tc>
      </w:tr>
      <w:tr>
        <w:tc>
          <w:tcPr>
            <w:tcW w:type="dxa" w:w="3312"/>
            <w:shd w:fill="FFFFFF"/>
          </w:tcPr>
          <w:p>
            <w:pPr>
              <w:jc w:val="left"/>
            </w:pPr>
            <w:r>
              <w:rPr>
                <w:b/>
                <w:sz w:val="17"/>
              </w:rPr>
              <w:t>Classification Head</w:t>
            </w:r>
          </w:p>
        </w:tc>
        <w:tc>
          <w:tcPr>
            <w:tcW w:type="dxa" w:w="3312"/>
            <w:shd w:fill="FFFFFF"/>
          </w:tcPr>
          <w:p>
            <w:pPr>
              <w:jc w:val="center"/>
            </w:pPr>
            <w:r>
              <w:rPr>
                <w:sz w:val="17"/>
              </w:rPr>
              <w:t>Deep unregularized MLPs that overfit and stall at 75% accuracy</w:t>
            </w:r>
          </w:p>
        </w:tc>
        <w:tc>
          <w:tcPr>
            <w:tcW w:type="dxa" w:w="3312"/>
            <w:shd w:fill="FFFFFF"/>
          </w:tcPr>
          <w:p>
            <w:pPr>
              <w:jc w:val="center"/>
            </w:pPr>
            <w:r>
              <w:rPr>
                <w:sz w:val="17"/>
              </w:rPr>
              <w:t>L2 Maximum-Margin Synergistic Fusion reaching 89.0%–95.0% accuracy</w:t>
            </w:r>
          </w:p>
        </w:tc>
      </w:tr>
      <w:tr>
        <w:tc>
          <w:tcPr>
            <w:tcW w:type="dxa" w:w="3312"/>
            <w:shd w:fill="F2F6FA"/>
          </w:tcPr>
          <w:p>
            <w:pPr>
              <w:jc w:val="left"/>
            </w:pPr>
            <w:r>
              <w:rPr>
                <w:b/>
                <w:sz w:val="17"/>
              </w:rPr>
              <w:t>Clinical Outputs</w:t>
            </w:r>
          </w:p>
        </w:tc>
        <w:tc>
          <w:tcPr>
            <w:tcW w:type="dxa" w:w="3312"/>
            <w:shd w:fill="F2F6FA"/>
          </w:tcPr>
          <w:p>
            <w:pPr>
              <w:jc w:val="center"/>
            </w:pPr>
            <w:r>
              <w:rPr>
                <w:sz w:val="17"/>
              </w:rPr>
              <w:t>Binary classification only (High vs. Low risk)</w:t>
            </w:r>
          </w:p>
        </w:tc>
        <w:tc>
          <w:tcPr>
            <w:tcW w:type="dxa" w:w="3312"/>
            <w:shd w:fill="F2F6FA"/>
          </w:tcPr>
          <w:p>
            <w:pPr>
              <w:jc w:val="center"/>
            </w:pPr>
            <w:r>
              <w:rPr>
                <w:sz w:val="17"/>
              </w:rPr>
              <w:t>Continuous CIMT (mm) + CVD Risk % + Retinal Age Gap + 5 Eye Diseases</w:t>
            </w:r>
          </w:p>
        </w:tc>
      </w:tr>
      <w:tr>
        <w:tc>
          <w:tcPr>
            <w:tcW w:type="dxa" w:w="3312"/>
            <w:shd w:fill="FFFFFF"/>
          </w:tcPr>
          <w:p>
            <w:pPr>
              <w:jc w:val="left"/>
            </w:pPr>
            <w:r>
              <w:rPr>
                <w:b/>
                <w:sz w:val="17"/>
              </w:rPr>
              <w:t>Explainable AI (XAI)</w:t>
            </w:r>
          </w:p>
        </w:tc>
        <w:tc>
          <w:tcPr>
            <w:tcW w:type="dxa" w:w="3312"/>
            <w:shd w:fill="FFFFFF"/>
          </w:tcPr>
          <w:p>
            <w:pPr>
              <w:jc w:val="center"/>
            </w:pPr>
            <w:r>
              <w:rPr>
                <w:sz w:val="17"/>
              </w:rPr>
              <w:t>Coarse final-layer CNN saliency blobs</w:t>
            </w:r>
          </w:p>
        </w:tc>
        <w:tc>
          <w:tcPr>
            <w:tcW w:type="dxa" w:w="3312"/>
            <w:shd w:fill="FFFFFF"/>
          </w:tcPr>
          <w:p>
            <w:pPr>
              <w:jc w:val="center"/>
            </w:pPr>
            <w:r>
              <w:rPr>
                <w:sz w:val="17"/>
              </w:rPr>
              <w:t>Layer 20/24 ViT Grad-CAM with dynamic peak (y, x) &amp; quadrant localization</w:t>
            </w:r>
          </w:p>
        </w:tc>
      </w:tr>
    </w:tbl>
    <w:p/>
    <w:p>
      <w:pPr>
        <w:pStyle w:val="Heading2"/>
      </w:pPr>
      <w:r>
        <w:t>2.2 Uniqueness and Novelty of Our System</w:t>
      </w:r>
    </w:p>
    <w:p>
      <w:r>
        <w:t>1. Non-Invasive Ultrasound Surrogate: Converts a 30-second fundus camera photo into a quantitative estimator of Carotid Intima-Media Thickness (continuous millimeter wall thickness + plaque risk).</w:t>
        <w:br/>
        <w:t>2. Simultaneous Dual-Specialty Screening: Screens 5 vision-threatening ophthalmic pathologies (DR, MYA, ODC, TSLN, BRVO) and systemic carotid atherosclerosis in a single forward pass.</w:t>
        <w:br/>
        <w:t>3. Dual Demographics Mode &amp; Retinal Age Gap: Supports both autonomous retinal biomarker prediction (AI-estimated biological vascular age and sex) and manual clinician override.</w:t>
        <w:br/>
        <w:t>4. Zero-Contradiction 4-State Diagnostic Engine: Decouples anatomical wall thickness (&gt;= 0.90 mm) from statistical risk score (&gt;= 80%) and pairs dynamic Grad-CAM vascular coordinates with tailored referrals.</w:t>
      </w:r>
    </w:p>
    <w:p>
      <w:pPr>
        <w:pStyle w:val="Heading1"/>
      </w:pPr>
      <w:r>
        <w:t>3. Image Preprocessing, 5 Retinal Diseases, CIMT Biology &amp; Correlations</w:t>
      </w:r>
    </w:p>
    <w:p>
      <w:pPr>
        <w:pStyle w:val="Heading2"/>
      </w:pPr>
      <w:r>
        <w:t>3.1 Image Preprocessing Techniques Used</w:t>
      </w:r>
    </w:p>
    <w:p>
      <w:r>
        <w:t>• Circular Field-of-View (FOV) Masking: Thresholds RGB intensity (&gt; 15/255) and applies morphological erosion to remove circular black camera borders so background edges never trigger false attention.</w:t>
        <w:br/>
        <w:t>• Spatial Resizing &amp; Patch Tokenization: Resizes fundus photographs to 224x224 pixels using bicubic interpolation and partitions them into 14x14 = 196 non-overlapping patches of 16x16 pixels.</w:t>
        <w:br/>
        <w:t>• Channel-Wise Standardization: Normalizes RGB channels using mean = [0.485, 0.456, 0.406] and std = [0.229, 0.224, 0.225] prior to ViT patch projection.</w:t>
        <w:br/>
        <w:t>• Latent Feature Z-Score Scaling: Standardizes the extracted 1,024-D embeddings using training-set mean and standard deviation (StandardScaler) to stabilize L2 regularization.</w:t>
      </w:r>
    </w:p>
    <w:p>
      <w:pPr>
        <w:pStyle w:val="Heading2"/>
      </w:pPr>
      <w:r>
        <w:t>3.2 Biological Features of the 5 Retinal Diseases &amp; CIMT Thickness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Condition</w:t>
            </w:r>
          </w:p>
        </w:tc>
        <w:tc>
          <w:tcPr>
            <w:tcW w:type="dxa" w:w="3312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Retinal / Vascular Biological Hallmarks</w:t>
            </w:r>
          </w:p>
        </w:tc>
        <w:tc>
          <w:tcPr>
            <w:tcW w:type="dxa" w:w="3312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Pathophysiological Link to Carotid CIMT &amp; CVD Risk</w:t>
            </w:r>
          </w:p>
        </w:tc>
      </w:tr>
      <w:tr>
        <w:tc>
          <w:tcPr>
            <w:tcW w:type="dxa" w:w="3312"/>
            <w:shd w:fill="FFFFFF"/>
          </w:tcPr>
          <w:p>
            <w:pPr>
              <w:jc w:val="left"/>
            </w:pPr>
            <w:r>
              <w:rPr>
                <w:b/>
                <w:sz w:val="17"/>
              </w:rPr>
              <w:t>Diabetic Retinopathy (DR)</w:t>
            </w:r>
          </w:p>
        </w:tc>
        <w:tc>
          <w:tcPr>
            <w:tcW w:type="dxa" w:w="3312"/>
            <w:shd w:fill="FFFFFF"/>
          </w:tcPr>
          <w:p>
            <w:pPr>
              <w:jc w:val="center"/>
            </w:pPr>
            <w:r>
              <w:rPr>
                <w:sz w:val="17"/>
              </w:rPr>
              <w:t>Capillary pericyte loss, basement membrane thickening, microaneurysms, dot-blot hemorrhages, hard lipid exudates</w:t>
            </w:r>
          </w:p>
        </w:tc>
        <w:tc>
          <w:tcPr>
            <w:tcW w:type="dxa" w:w="3312"/>
            <w:shd w:fill="FFFFFF"/>
          </w:tcPr>
          <w:p>
            <w:pPr>
              <w:jc w:val="center"/>
            </w:pPr>
            <w:r>
              <w:rPr>
                <w:sz w:val="17"/>
              </w:rPr>
              <w:t>Systemic hyperglycemia and endothelial dysfunction simultaneously accelerate carotid intima-media plaque</w:t>
            </w:r>
          </w:p>
        </w:tc>
      </w:tr>
      <w:tr>
        <w:tc>
          <w:tcPr>
            <w:tcW w:type="dxa" w:w="3312"/>
            <w:shd w:fill="F2F6FA"/>
          </w:tcPr>
          <w:p>
            <w:pPr>
              <w:jc w:val="left"/>
            </w:pPr>
            <w:r>
              <w:rPr>
                <w:b/>
                <w:sz w:val="17"/>
              </w:rPr>
              <w:t>Pathological Myopia (MYA)</w:t>
            </w:r>
          </w:p>
        </w:tc>
        <w:tc>
          <w:tcPr>
            <w:tcW w:type="dxa" w:w="3312"/>
            <w:shd w:fill="F2F6FA"/>
          </w:tcPr>
          <w:p>
            <w:pPr>
              <w:jc w:val="center"/>
            </w:pPr>
            <w:r>
              <w:rPr>
                <w:sz w:val="17"/>
              </w:rPr>
              <w:t>Axial globe elongation, chorioretinal atrophy, lacquer cracks, scleral and choroidal vascular thinning</w:t>
            </w:r>
          </w:p>
        </w:tc>
        <w:tc>
          <w:tcPr>
            <w:tcW w:type="dxa" w:w="3312"/>
            <w:shd w:fill="F2F6FA"/>
          </w:tcPr>
          <w:p>
            <w:pPr>
              <w:jc w:val="center"/>
            </w:pPr>
            <w:r>
              <w:rPr>
                <w:sz w:val="17"/>
              </w:rPr>
              <w:t>Reflects structural chorioretinal stretching and altered ocular pulse blood flow</w:t>
            </w:r>
          </w:p>
        </w:tc>
      </w:tr>
      <w:tr>
        <w:tc>
          <w:tcPr>
            <w:tcW w:type="dxa" w:w="3312"/>
            <w:shd w:fill="FFFFFF"/>
          </w:tcPr>
          <w:p>
            <w:pPr>
              <w:jc w:val="left"/>
            </w:pPr>
            <w:r>
              <w:rPr>
                <w:b/>
                <w:sz w:val="17"/>
              </w:rPr>
              <w:t>Optic Disc Cupping (ODC)</w:t>
            </w:r>
          </w:p>
        </w:tc>
        <w:tc>
          <w:tcPr>
            <w:tcW w:type="dxa" w:w="3312"/>
            <w:shd w:fill="FFFFFF"/>
          </w:tcPr>
          <w:p>
            <w:pPr>
              <w:jc w:val="center"/>
            </w:pPr>
            <w:r>
              <w:rPr>
                <w:sz w:val="17"/>
              </w:rPr>
              <w:t>Neuroretinal rim thinning, enlarged cup-to-disc ratio (CDR &gt; 0.5), retinal nerve fiber layer loss</w:t>
            </w:r>
          </w:p>
        </w:tc>
        <w:tc>
          <w:tcPr>
            <w:tcW w:type="dxa" w:w="3312"/>
            <w:shd w:fill="FFFFFF"/>
          </w:tcPr>
          <w:p>
            <w:pPr>
              <w:jc w:val="center"/>
            </w:pPr>
            <w:r>
              <w:rPr>
                <w:sz w:val="17"/>
              </w:rPr>
              <w:t>Carotid stenosis lowers ophthalmic artery perfusion pressure, causing chronic posterior ciliary micro-ischemia (r = +0.259**)</w:t>
            </w:r>
          </w:p>
        </w:tc>
      </w:tr>
      <w:tr>
        <w:tc>
          <w:tcPr>
            <w:tcW w:type="dxa" w:w="3312"/>
            <w:shd w:fill="F2F6FA"/>
          </w:tcPr>
          <w:p>
            <w:pPr>
              <w:jc w:val="left"/>
            </w:pPr>
            <w:r>
              <w:rPr>
                <w:b/>
                <w:sz w:val="17"/>
              </w:rPr>
              <w:t>Tessellated Fundus (TSLN)</w:t>
            </w:r>
          </w:p>
        </w:tc>
        <w:tc>
          <w:tcPr>
            <w:tcW w:type="dxa" w:w="3312"/>
            <w:shd w:fill="F2F6FA"/>
          </w:tcPr>
          <w:p>
            <w:pPr>
              <w:jc w:val="center"/>
            </w:pPr>
            <w:r>
              <w:rPr>
                <w:sz w:val="17"/>
              </w:rPr>
              <w:t>Retinal pigment epithelium (RPE) hypopigmentation exposing polygonal choroidal vascular beds</w:t>
            </w:r>
          </w:p>
        </w:tc>
        <w:tc>
          <w:tcPr>
            <w:tcW w:type="dxa" w:w="3312"/>
            <w:shd w:fill="F2F6FA"/>
          </w:tcPr>
          <w:p>
            <w:pPr>
              <w:jc w:val="center"/>
            </w:pPr>
            <w:r>
              <w:rPr>
                <w:sz w:val="17"/>
              </w:rPr>
              <w:t>Early marker of choriocapillaris attenuation and age-related vascular remodeling</w:t>
            </w:r>
          </w:p>
        </w:tc>
      </w:tr>
      <w:tr>
        <w:tc>
          <w:tcPr>
            <w:tcW w:type="dxa" w:w="3312"/>
            <w:shd w:fill="FFFFFF"/>
          </w:tcPr>
          <w:p>
            <w:pPr>
              <w:jc w:val="left"/>
            </w:pPr>
            <w:r>
              <w:rPr>
                <w:b/>
                <w:sz w:val="17"/>
              </w:rPr>
              <w:t>Branch Retinal Vein Occlusion (BRVO)</w:t>
            </w:r>
          </w:p>
        </w:tc>
        <w:tc>
          <w:tcPr>
            <w:tcW w:type="dxa" w:w="3312"/>
            <w:shd w:fill="FFFFFF"/>
          </w:tcPr>
          <w:p>
            <w:pPr>
              <w:jc w:val="center"/>
            </w:pPr>
            <w:r>
              <w:rPr>
                <w:sz w:val="17"/>
              </w:rPr>
              <w:t>Thickened arteriole compressing an underlying venule at a shared adventitial crossing (AV nicking), flame hemorrhages</w:t>
            </w:r>
          </w:p>
        </w:tc>
        <w:tc>
          <w:tcPr>
            <w:tcW w:type="dxa" w:w="3312"/>
            <w:shd w:fill="FFFFFF"/>
          </w:tcPr>
          <w:p>
            <w:pPr>
              <w:jc w:val="center"/>
            </w:pPr>
            <w:r>
              <w:rPr>
                <w:sz w:val="17"/>
              </w:rPr>
              <w:t>Direct microvascular manifestation of systemic arterial stiffening and hypertensive arteriolosclerosis</w:t>
            </w:r>
          </w:p>
        </w:tc>
      </w:tr>
      <w:tr>
        <w:tc>
          <w:tcPr>
            <w:tcW w:type="dxa" w:w="3312"/>
            <w:shd w:fill="F2F6FA"/>
          </w:tcPr>
          <w:p>
            <w:pPr>
              <w:jc w:val="left"/>
            </w:pPr>
            <w:r>
              <w:rPr>
                <w:b/>
                <w:sz w:val="17"/>
              </w:rPr>
              <w:t>Carotid Intima-Media Thickness (CIMT)</w:t>
            </w:r>
          </w:p>
        </w:tc>
        <w:tc>
          <w:tcPr>
            <w:tcW w:type="dxa" w:w="3312"/>
            <w:shd w:fill="F2F6FA"/>
          </w:tcPr>
          <w:p>
            <w:pPr>
              <w:jc w:val="center"/>
            </w:pPr>
            <w:r>
              <w:rPr>
                <w:sz w:val="17"/>
              </w:rPr>
              <w:t>Smooth muscle hypertrophy and lipid plaque deposition in the carotid tunica intima/media (&gt;= 0.90 mm)</w:t>
            </w:r>
          </w:p>
        </w:tc>
        <w:tc>
          <w:tcPr>
            <w:tcW w:type="dxa" w:w="3312"/>
            <w:shd w:fill="F2F6FA"/>
          </w:tcPr>
          <w:p>
            <w:pPr>
              <w:jc w:val="center"/>
            </w:pPr>
            <w:r>
              <w:rPr>
                <w:sz w:val="17"/>
              </w:rPr>
              <w:t>Shares neuroectodermal lineage and wall-shear stress with retinal arterioles (narrowed Arteriolar-to-Venular Ratio)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46240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biological_correlation_heatma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46240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64646"/>
          <w:sz w:val="18"/>
        </w:rPr>
        <w:t>Figure 2: Cross-Modal Biological Pearson Correlation Matrix Between Retinal Biomarkers &amp; Carotid Ultrasound CIMT.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167877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cimt_biomarker_trend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6787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64646"/>
          <w:sz w:val="18"/>
        </w:rPr>
        <w:t>Figure 3: Quantitative Regression Trends: (A) CIMT vs. CVD Risk, (B) CIMT vs. BRVO, and (C) True vs. AI Predicted CIMT (r = 0.748).</w:t>
      </w:r>
    </w:p>
    <w:p>
      <w:pPr>
        <w:pStyle w:val="Heading1"/>
      </w:pPr>
      <w:r>
        <w:t>4. Conversion of Features to Numerical Scores: Algorithms &amp; Mathematical Formulas</w:t>
      </w:r>
    </w:p>
    <w:p>
      <w:r>
        <w:t>Step 1 — ViT Patch Embedding &amp; Multi-Head Self-Attention:</w:t>
        <w:br/>
        <w:t>Each 224x224 image I is flattened into N_p = 196 patches x_p of size 16x16x3 and projected into D = 1024 dimensions:</w:t>
        <w:br/>
        <w:t xml:space="preserve">   z_0 = [x_class ; x_p^1 E ; x_p^2 E ; ... ; x_p^196 E] + E_pos</w:t>
        <w:br/>
        <w:t>Across L = 24 transformer blocks, Multi-Head Self-Attention computes global vascular relationships:</w:t>
        <w:br/>
        <w:t xml:space="preserve">   Attention(Q, K, V) = softmax((Q * K^T) / sqrt(d_k)) * V</w:t>
        <w:br/>
        <w:br/>
        <w:t>Step 2 — Feature Standardization:</w:t>
        <w:br/>
        <w:t>Let z in R^1024 be the extracted retinal embedding and x_dem = [Age, Sex]^T be the demographic vector:</w:t>
        <w:br/>
        <w:t xml:space="preserve">   z_tilde = (z - mu_z) / sigma_z ,    x_tilde = (x_dem - mu_x) / sigma_x</w:t>
        <w:br/>
        <w:br/>
        <w:t>Step 3 — L2 Maximum-Margin Logistic Probing (Objective Function):</w:t>
        <w:br/>
        <w:t xml:space="preserve">   min_w  (1/2)||w||_2^2 + C * sum_{i=1}^N log(1 + exp(-y_i * (w^T x_i + b)))</w:t>
        <w:br/>
        <w:t>where C_retina = 0.005 suppresses high-frequency retinal noise and C_demog = 1.0 models hemodynamic priors.</w:t>
        <w:br/>
        <w:br/>
        <w:t>Step 4 — Component Probabilities &amp; Synergistic Late Fusion Score:</w:t>
        <w:br/>
        <w:t xml:space="preserve">   P_retina = 1 / (1 + exp(-(w_r^T * z_tilde + b_r)))</w:t>
        <w:br/>
        <w:t xml:space="preserve">   P_demog  = 1 / (1 + exp(-(w_d^T * x_tilde + b_d)))</w:t>
        <w:br/>
        <w:t xml:space="preserve">   P(CVD)   = w * P_demog + (1 - w) * P_retina   (where w = 0.83, 1 - w = 0.17)</w:t>
        <w:br/>
        <w:br/>
        <w:t>Step 5 — Continuous Millimeter CIMT Ridge Regression &amp; 5-Disease Scores:</w:t>
        <w:br/>
        <w:t xml:space="preserve">   CIMT_mm = clip(w_cimt^T * [Age, Sex, z_tilde] + b_cimt, 0.60 mm, 1.60 mm)</w:t>
        <w:br/>
        <w:t xml:space="preserve">   P(Disease_k) = 1 / (1 + exp(-(w_k^T * z_tilde_mured + b_k)))   for k in {DR, MYA, ODC, TSLN, BRVO}</w:t>
        <w:br/>
        <w:br/>
        <w:t>Step 6 — Biological Retinal Age &amp; Retinal Age Gap:</w:t>
        <w:br/>
        <w:t xml:space="preserve">   Retinal_Age = w_age^T * z_tilde + b_age ,    Retinal_Age_Gap = Retinal_Age - Chronological_Age</w:t>
      </w:r>
    </w:p>
    <w:p>
      <w:pPr>
        <w:pStyle w:val="Heading1"/>
      </w:pPr>
      <w:r>
        <w:t>5. Individual Dataset Confusion Matrices (Train, Validation &amp; Test for CIMT and MuReD)</w:t>
      </w:r>
    </w:p>
    <w:p>
      <w:pPr>
        <w:pStyle w:val="Heading2"/>
      </w:pPr>
      <w:r>
        <w:t>5.1 CIMT Dataset Individual Splits (Train N=2,603, Val N=200, Test N=100)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28"/>
        <w:gridCol w:w="828"/>
        <w:gridCol w:w="828"/>
        <w:gridCol w:w="828"/>
        <w:gridCol w:w="828"/>
        <w:gridCol w:w="828"/>
        <w:gridCol w:w="828"/>
        <w:gridCol w:w="828"/>
        <w:gridCol w:w="828"/>
        <w:gridCol w:w="828"/>
        <w:gridCol w:w="828"/>
        <w:gridCol w:w="828"/>
      </w:tblGrid>
      <w:tr>
        <w:tc>
          <w:tcPr>
            <w:tcW w:type="dxa" w:w="828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CIMT Split</w:t>
            </w:r>
          </w:p>
        </w:tc>
        <w:tc>
          <w:tcPr>
            <w:tcW w:type="dxa" w:w="828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Patients (Images)</w:t>
            </w:r>
          </w:p>
        </w:tc>
        <w:tc>
          <w:tcPr>
            <w:tcW w:type="dxa" w:w="828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TN</w:t>
            </w:r>
          </w:p>
        </w:tc>
        <w:tc>
          <w:tcPr>
            <w:tcW w:type="dxa" w:w="828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FP</w:t>
            </w:r>
          </w:p>
        </w:tc>
        <w:tc>
          <w:tcPr>
            <w:tcW w:type="dxa" w:w="828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FN</w:t>
            </w:r>
          </w:p>
        </w:tc>
        <w:tc>
          <w:tcPr>
            <w:tcW w:type="dxa" w:w="828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TP</w:t>
            </w:r>
          </w:p>
        </w:tc>
        <w:tc>
          <w:tcPr>
            <w:tcW w:type="dxa" w:w="828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Accuracy</w:t>
            </w:r>
          </w:p>
        </w:tc>
        <w:tc>
          <w:tcPr>
            <w:tcW w:type="dxa" w:w="828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AUROC</w:t>
            </w:r>
          </w:p>
        </w:tc>
        <w:tc>
          <w:tcPr>
            <w:tcW w:type="dxa" w:w="828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Sensitivity</w:t>
            </w:r>
          </w:p>
        </w:tc>
        <w:tc>
          <w:tcPr>
            <w:tcW w:type="dxa" w:w="828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Specificity</w:t>
            </w:r>
          </w:p>
        </w:tc>
        <w:tc>
          <w:tcPr>
            <w:tcW w:type="dxa" w:w="828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F1-Score</w:t>
            </w:r>
          </w:p>
        </w:tc>
        <w:tc>
          <w:tcPr>
            <w:tcW w:type="dxa" w:w="828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CIMT MAE (Pearson r)</w:t>
            </w:r>
          </w:p>
        </w:tc>
      </w:tr>
      <w:tr>
        <w:tc>
          <w:tcPr>
            <w:tcW w:type="dxa" w:w="828"/>
            <w:shd w:fill="FFFFFF"/>
          </w:tcPr>
          <w:p>
            <w:pPr>
              <w:jc w:val="left"/>
            </w:pPr>
            <w:r>
              <w:rPr>
                <w:b/>
                <w:sz w:val="17"/>
              </w:rPr>
              <w:t>Training</w:t>
            </w:r>
          </w:p>
        </w:tc>
        <w:tc>
          <w:tcPr>
            <w:tcW w:type="dxa" w:w="828"/>
            <w:shd w:fill="FFFFFF"/>
          </w:tcPr>
          <w:p>
            <w:pPr>
              <w:jc w:val="center"/>
            </w:pPr>
            <w:r>
              <w:rPr>
                <w:sz w:val="17"/>
              </w:rPr>
              <w:t>2,603 (5,206)</w:t>
            </w:r>
          </w:p>
        </w:tc>
        <w:tc>
          <w:tcPr>
            <w:tcW w:type="dxa" w:w="828"/>
            <w:shd w:fill="FFFFFF"/>
          </w:tcPr>
          <w:p>
            <w:pPr>
              <w:jc w:val="center"/>
            </w:pPr>
            <w:r>
              <w:rPr>
                <w:sz w:val="17"/>
              </w:rPr>
              <w:t>596</w:t>
            </w:r>
          </w:p>
        </w:tc>
        <w:tc>
          <w:tcPr>
            <w:tcW w:type="dxa" w:w="828"/>
            <w:shd w:fill="FFFFFF"/>
          </w:tcPr>
          <w:p>
            <w:pPr>
              <w:jc w:val="center"/>
            </w:pPr>
            <w:r>
              <w:rPr>
                <w:sz w:val="17"/>
              </w:rPr>
              <w:t>103</w:t>
            </w:r>
          </w:p>
        </w:tc>
        <w:tc>
          <w:tcPr>
            <w:tcW w:type="dxa" w:w="828"/>
            <w:shd w:fill="FFFFFF"/>
          </w:tcPr>
          <w:p>
            <w:pPr>
              <w:jc w:val="center"/>
            </w:pPr>
            <w:r>
              <w:rPr>
                <w:sz w:val="17"/>
              </w:rPr>
              <w:t>572</w:t>
            </w:r>
          </w:p>
        </w:tc>
        <w:tc>
          <w:tcPr>
            <w:tcW w:type="dxa" w:w="828"/>
            <w:shd w:fill="FFFFFF"/>
          </w:tcPr>
          <w:p>
            <w:pPr>
              <w:jc w:val="center"/>
            </w:pPr>
            <w:r>
              <w:rPr>
                <w:sz w:val="17"/>
              </w:rPr>
              <w:t>1,332</w:t>
            </w:r>
          </w:p>
        </w:tc>
        <w:tc>
          <w:tcPr>
            <w:tcW w:type="dxa" w:w="828"/>
            <w:shd w:fill="FFFFFF"/>
          </w:tcPr>
          <w:p>
            <w:pPr>
              <w:jc w:val="center"/>
            </w:pPr>
            <w:r>
              <w:rPr>
                <w:sz w:val="17"/>
              </w:rPr>
              <w:t>74.07%</w:t>
            </w:r>
          </w:p>
        </w:tc>
        <w:tc>
          <w:tcPr>
            <w:tcW w:type="dxa" w:w="828"/>
            <w:shd w:fill="FFFFFF"/>
          </w:tcPr>
          <w:p>
            <w:pPr>
              <w:jc w:val="center"/>
            </w:pPr>
            <w:r>
              <w:rPr>
                <w:sz w:val="17"/>
              </w:rPr>
              <w:t>0.8590</w:t>
            </w:r>
          </w:p>
        </w:tc>
        <w:tc>
          <w:tcPr>
            <w:tcW w:type="dxa" w:w="828"/>
            <w:shd w:fill="FFFFFF"/>
          </w:tcPr>
          <w:p>
            <w:pPr>
              <w:jc w:val="center"/>
            </w:pPr>
            <w:r>
              <w:rPr>
                <w:sz w:val="17"/>
              </w:rPr>
              <w:t>69.96%</w:t>
            </w:r>
          </w:p>
        </w:tc>
        <w:tc>
          <w:tcPr>
            <w:tcW w:type="dxa" w:w="828"/>
            <w:shd w:fill="FFFFFF"/>
          </w:tcPr>
          <w:p>
            <w:pPr>
              <w:jc w:val="center"/>
            </w:pPr>
            <w:r>
              <w:rPr>
                <w:sz w:val="17"/>
              </w:rPr>
              <w:t>85.26%</w:t>
            </w:r>
          </w:p>
        </w:tc>
        <w:tc>
          <w:tcPr>
            <w:tcW w:type="dxa" w:w="828"/>
            <w:shd w:fill="FFFFFF"/>
          </w:tcPr>
          <w:p>
            <w:pPr>
              <w:jc w:val="center"/>
            </w:pPr>
            <w:r>
              <w:rPr>
                <w:sz w:val="17"/>
              </w:rPr>
              <w:t>0.7978</w:t>
            </w:r>
          </w:p>
        </w:tc>
        <w:tc>
          <w:tcPr>
            <w:tcW w:type="dxa" w:w="828"/>
            <w:shd w:fill="FFFFFF"/>
          </w:tcPr>
          <w:p>
            <w:pPr>
              <w:jc w:val="center"/>
            </w:pPr>
            <w:r>
              <w:rPr>
                <w:sz w:val="17"/>
              </w:rPr>
              <w:t>0.112 mm (r = 0.617)</w:t>
            </w:r>
          </w:p>
        </w:tc>
      </w:tr>
      <w:tr>
        <w:tc>
          <w:tcPr>
            <w:tcW w:type="dxa" w:w="828"/>
            <w:shd w:fill="F2F6FA"/>
          </w:tcPr>
          <w:p>
            <w:pPr>
              <w:jc w:val="left"/>
            </w:pPr>
            <w:r>
              <w:rPr>
                <w:b/>
                <w:sz w:val="17"/>
              </w:rPr>
              <w:t>Validation</w:t>
            </w:r>
          </w:p>
        </w:tc>
        <w:tc>
          <w:tcPr>
            <w:tcW w:type="dxa" w:w="828"/>
            <w:shd w:fill="F2F6FA"/>
          </w:tcPr>
          <w:p>
            <w:pPr>
              <w:jc w:val="center"/>
            </w:pPr>
            <w:r>
              <w:rPr>
                <w:sz w:val="17"/>
              </w:rPr>
              <w:t>200 (400)</w:t>
            </w:r>
          </w:p>
        </w:tc>
        <w:tc>
          <w:tcPr>
            <w:tcW w:type="dxa" w:w="828"/>
            <w:shd w:fill="F2F6FA"/>
          </w:tcPr>
          <w:p>
            <w:pPr>
              <w:jc w:val="center"/>
            </w:pPr>
            <w:r>
              <w:rPr>
                <w:sz w:val="17"/>
              </w:rPr>
              <w:t>78</w:t>
            </w:r>
          </w:p>
        </w:tc>
        <w:tc>
          <w:tcPr>
            <w:tcW w:type="dxa" w:w="828"/>
            <w:shd w:fill="F2F6FA"/>
          </w:tcPr>
          <w:p>
            <w:pPr>
              <w:jc w:val="center"/>
            </w:pPr>
            <w:r>
              <w:rPr>
                <w:sz w:val="17"/>
              </w:rPr>
              <w:t>22</w:t>
            </w:r>
          </w:p>
        </w:tc>
        <w:tc>
          <w:tcPr>
            <w:tcW w:type="dxa" w:w="828"/>
            <w:shd w:fill="F2F6FA"/>
          </w:tcPr>
          <w:p>
            <w:pPr>
              <w:jc w:val="center"/>
            </w:pPr>
            <w:r>
              <w:rPr>
                <w:sz w:val="17"/>
              </w:rPr>
              <w:t>15</w:t>
            </w:r>
          </w:p>
        </w:tc>
        <w:tc>
          <w:tcPr>
            <w:tcW w:type="dxa" w:w="828"/>
            <w:shd w:fill="F2F6FA"/>
          </w:tcPr>
          <w:p>
            <w:pPr>
              <w:jc w:val="center"/>
            </w:pPr>
            <w:r>
              <w:rPr>
                <w:sz w:val="17"/>
              </w:rPr>
              <w:t>85</w:t>
            </w:r>
          </w:p>
        </w:tc>
        <w:tc>
          <w:tcPr>
            <w:tcW w:type="dxa" w:w="828"/>
            <w:shd w:fill="F2F6FA"/>
          </w:tcPr>
          <w:p>
            <w:pPr>
              <w:jc w:val="center"/>
            </w:pPr>
            <w:r>
              <w:rPr>
                <w:sz w:val="17"/>
              </w:rPr>
              <w:t>81.50%</w:t>
            </w:r>
          </w:p>
        </w:tc>
        <w:tc>
          <w:tcPr>
            <w:tcW w:type="dxa" w:w="828"/>
            <w:shd w:fill="F2F6FA"/>
          </w:tcPr>
          <w:p>
            <w:pPr>
              <w:jc w:val="center"/>
            </w:pPr>
            <w:r>
              <w:rPr>
                <w:sz w:val="17"/>
              </w:rPr>
              <w:t>0.8734</w:t>
            </w:r>
          </w:p>
        </w:tc>
        <w:tc>
          <w:tcPr>
            <w:tcW w:type="dxa" w:w="828"/>
            <w:shd w:fill="F2F6FA"/>
          </w:tcPr>
          <w:p>
            <w:pPr>
              <w:jc w:val="center"/>
            </w:pPr>
            <w:r>
              <w:rPr>
                <w:sz w:val="17"/>
              </w:rPr>
              <w:t>85.00%</w:t>
            </w:r>
          </w:p>
        </w:tc>
        <w:tc>
          <w:tcPr>
            <w:tcW w:type="dxa" w:w="828"/>
            <w:shd w:fill="F2F6FA"/>
          </w:tcPr>
          <w:p>
            <w:pPr>
              <w:jc w:val="center"/>
            </w:pPr>
            <w:r>
              <w:rPr>
                <w:sz w:val="17"/>
              </w:rPr>
              <w:t>78.00%</w:t>
            </w:r>
          </w:p>
        </w:tc>
        <w:tc>
          <w:tcPr>
            <w:tcW w:type="dxa" w:w="828"/>
            <w:shd w:fill="F2F6FA"/>
          </w:tcPr>
          <w:p>
            <w:pPr>
              <w:jc w:val="center"/>
            </w:pPr>
            <w:r>
              <w:rPr>
                <w:sz w:val="17"/>
              </w:rPr>
              <w:t>0.8213</w:t>
            </w:r>
          </w:p>
        </w:tc>
        <w:tc>
          <w:tcPr>
            <w:tcW w:type="dxa" w:w="828"/>
            <w:shd w:fill="F2F6FA"/>
          </w:tcPr>
          <w:p>
            <w:pPr>
              <w:jc w:val="center"/>
            </w:pPr>
            <w:r>
              <w:rPr>
                <w:sz w:val="17"/>
              </w:rPr>
              <w:t>0.141 mm (r = 0.656)</w:t>
            </w:r>
          </w:p>
        </w:tc>
      </w:tr>
      <w:tr>
        <w:tc>
          <w:tcPr>
            <w:tcW w:type="dxa" w:w="828"/>
            <w:shd w:fill="FFFFFF"/>
          </w:tcPr>
          <w:p>
            <w:pPr>
              <w:jc w:val="left"/>
            </w:pPr>
            <w:r>
              <w:rPr>
                <w:b/>
                <w:sz w:val="17"/>
              </w:rPr>
              <w:t>Testing (Raw)</w:t>
            </w:r>
          </w:p>
        </w:tc>
        <w:tc>
          <w:tcPr>
            <w:tcW w:type="dxa" w:w="828"/>
            <w:shd w:fill="FFFFFF"/>
          </w:tcPr>
          <w:p>
            <w:pPr>
              <w:jc w:val="center"/>
            </w:pPr>
            <w:r>
              <w:rPr>
                <w:sz w:val="17"/>
              </w:rPr>
              <w:t>100 (200)</w:t>
            </w:r>
          </w:p>
        </w:tc>
        <w:tc>
          <w:tcPr>
            <w:tcW w:type="dxa" w:w="828"/>
            <w:shd w:fill="FFFFFF"/>
          </w:tcPr>
          <w:p>
            <w:pPr>
              <w:jc w:val="center"/>
            </w:pPr>
            <w:r>
              <w:rPr>
                <w:sz w:val="17"/>
              </w:rPr>
              <w:t>44</w:t>
            </w:r>
          </w:p>
        </w:tc>
        <w:tc>
          <w:tcPr>
            <w:tcW w:type="dxa" w:w="828"/>
            <w:shd w:fill="FFFFFF"/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828"/>
            <w:shd w:fill="FFFFFF"/>
          </w:tcPr>
          <w:p>
            <w:pPr>
              <w:jc w:val="center"/>
            </w:pPr>
            <w:r>
              <w:rPr>
                <w:sz w:val="17"/>
              </w:rPr>
              <w:t>5–6</w:t>
            </w:r>
          </w:p>
        </w:tc>
        <w:tc>
          <w:tcPr>
            <w:tcW w:type="dxa" w:w="828"/>
            <w:shd w:fill="FFFFFF"/>
          </w:tcPr>
          <w:p>
            <w:pPr>
              <w:jc w:val="center"/>
            </w:pPr>
            <w:r>
              <w:rPr>
                <w:sz w:val="17"/>
              </w:rPr>
              <w:t>44–45</w:t>
            </w:r>
          </w:p>
        </w:tc>
        <w:tc>
          <w:tcPr>
            <w:tcW w:type="dxa" w:w="828"/>
            <w:shd w:fill="FFFFFF"/>
          </w:tcPr>
          <w:p>
            <w:pPr>
              <w:jc w:val="center"/>
            </w:pPr>
            <w:r>
              <w:rPr>
                <w:sz w:val="17"/>
              </w:rPr>
              <w:t>88.0%–89.0%</w:t>
            </w:r>
          </w:p>
        </w:tc>
        <w:tc>
          <w:tcPr>
            <w:tcW w:type="dxa" w:w="828"/>
            <w:shd w:fill="FFFFFF"/>
          </w:tcPr>
          <w:p>
            <w:pPr>
              <w:jc w:val="center"/>
            </w:pPr>
            <w:r>
              <w:rPr>
                <w:sz w:val="17"/>
              </w:rPr>
              <w:t>0.9428–0.9472</w:t>
            </w:r>
          </w:p>
        </w:tc>
        <w:tc>
          <w:tcPr>
            <w:tcW w:type="dxa" w:w="828"/>
            <w:shd w:fill="FFFFFF"/>
          </w:tcPr>
          <w:p>
            <w:pPr>
              <w:jc w:val="center"/>
            </w:pPr>
            <w:r>
              <w:rPr>
                <w:sz w:val="17"/>
              </w:rPr>
              <w:t>88.0%–90.0%</w:t>
            </w:r>
          </w:p>
        </w:tc>
        <w:tc>
          <w:tcPr>
            <w:tcW w:type="dxa" w:w="828"/>
            <w:shd w:fill="FFFFFF"/>
          </w:tcPr>
          <w:p>
            <w:pPr>
              <w:jc w:val="center"/>
            </w:pPr>
            <w:r>
              <w:rPr>
                <w:sz w:val="17"/>
              </w:rPr>
              <w:t>88.0%–92.0%</w:t>
            </w:r>
          </w:p>
        </w:tc>
        <w:tc>
          <w:tcPr>
            <w:tcW w:type="dxa" w:w="828"/>
            <w:shd w:fill="FFFFFF"/>
          </w:tcPr>
          <w:p>
            <w:pPr>
              <w:jc w:val="center"/>
            </w:pPr>
            <w:r>
              <w:rPr>
                <w:sz w:val="17"/>
              </w:rPr>
              <w:t>0.8800</w:t>
            </w:r>
          </w:p>
        </w:tc>
        <w:tc>
          <w:tcPr>
            <w:tcW w:type="dxa" w:w="828"/>
            <w:shd w:fill="FFFFFF"/>
          </w:tcPr>
          <w:p>
            <w:pPr>
              <w:jc w:val="center"/>
            </w:pPr>
            <w:r>
              <w:rPr>
                <w:sz w:val="17"/>
              </w:rPr>
              <w:t>0.113 mm (r = 0.748)</w:t>
            </w:r>
          </w:p>
        </w:tc>
      </w:tr>
    </w:tbl>
    <w:p/>
    <w:p>
      <w:r>
        <w:t>Explanation of CIMT Splits: Training uses strong L2 regularization (C=0.005) and class-balanced penalties to prevent memorization on the 73%-positive training set, which intentionally keeps training accuracy conservative (74.07%) while maximizing generalization on the balanced Validation (81.50%, AUROC 0.8734) and held-out Testing cohorts (88.00%–89.00%, AUROC 0.9428–0.9472).</w:t>
      </w:r>
    </w:p>
    <w:p>
      <w:pPr>
        <w:pStyle w:val="Heading2"/>
      </w:pPr>
      <w:r>
        <w:t>5.2 MuReD 5-Disease Individual Splits (Train N=1,588, Val N=176, Test N=444)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28"/>
        <w:gridCol w:w="828"/>
        <w:gridCol w:w="828"/>
        <w:gridCol w:w="828"/>
        <w:gridCol w:w="828"/>
        <w:gridCol w:w="828"/>
        <w:gridCol w:w="828"/>
        <w:gridCol w:w="828"/>
        <w:gridCol w:w="828"/>
        <w:gridCol w:w="828"/>
        <w:gridCol w:w="828"/>
        <w:gridCol w:w="828"/>
      </w:tblGrid>
      <w:tr>
        <w:tc>
          <w:tcPr>
            <w:tcW w:type="dxa" w:w="828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MuReD Split</w:t>
            </w:r>
          </w:p>
        </w:tc>
        <w:tc>
          <w:tcPr>
            <w:tcW w:type="dxa" w:w="828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Disease</w:t>
            </w:r>
          </w:p>
        </w:tc>
        <w:tc>
          <w:tcPr>
            <w:tcW w:type="dxa" w:w="828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Positives</w:t>
            </w:r>
          </w:p>
        </w:tc>
        <w:tc>
          <w:tcPr>
            <w:tcW w:type="dxa" w:w="828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TN</w:t>
            </w:r>
          </w:p>
        </w:tc>
        <w:tc>
          <w:tcPr>
            <w:tcW w:type="dxa" w:w="828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FP</w:t>
            </w:r>
          </w:p>
        </w:tc>
        <w:tc>
          <w:tcPr>
            <w:tcW w:type="dxa" w:w="828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FN</w:t>
            </w:r>
          </w:p>
        </w:tc>
        <w:tc>
          <w:tcPr>
            <w:tcW w:type="dxa" w:w="828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TP</w:t>
            </w:r>
          </w:p>
        </w:tc>
        <w:tc>
          <w:tcPr>
            <w:tcW w:type="dxa" w:w="828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Accuracy</w:t>
            </w:r>
          </w:p>
        </w:tc>
        <w:tc>
          <w:tcPr>
            <w:tcW w:type="dxa" w:w="828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AUROC</w:t>
            </w:r>
          </w:p>
        </w:tc>
        <w:tc>
          <w:tcPr>
            <w:tcW w:type="dxa" w:w="828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Sensitivity</w:t>
            </w:r>
          </w:p>
        </w:tc>
        <w:tc>
          <w:tcPr>
            <w:tcW w:type="dxa" w:w="828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Specificity</w:t>
            </w:r>
          </w:p>
        </w:tc>
        <w:tc>
          <w:tcPr>
            <w:tcW w:type="dxa" w:w="828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F1-Score</w:t>
            </w:r>
          </w:p>
        </w:tc>
      </w:tr>
      <w:tr>
        <w:tc>
          <w:tcPr>
            <w:tcW w:type="dxa" w:w="828"/>
            <w:shd w:fill="FFFFFF"/>
          </w:tcPr>
          <w:p>
            <w:pPr>
              <w:jc w:val="left"/>
            </w:pPr>
            <w:r>
              <w:rPr>
                <w:b/>
                <w:sz w:val="17"/>
              </w:rPr>
              <w:t>Train (1,588)</w:t>
            </w:r>
          </w:p>
        </w:tc>
        <w:tc>
          <w:tcPr>
            <w:tcW w:type="dxa" w:w="828"/>
            <w:shd w:fill="FFFFFF"/>
          </w:tcPr>
          <w:p>
            <w:pPr>
              <w:jc w:val="center"/>
            </w:pPr>
            <w:r>
              <w:rPr>
                <w:sz w:val="17"/>
              </w:rPr>
              <w:t>DR</w:t>
            </w:r>
          </w:p>
        </w:tc>
        <w:tc>
          <w:tcPr>
            <w:tcW w:type="dxa" w:w="828"/>
            <w:shd w:fill="FFFFFF"/>
          </w:tcPr>
          <w:p>
            <w:pPr>
              <w:jc w:val="center"/>
            </w:pPr>
            <w:r>
              <w:rPr>
                <w:sz w:val="17"/>
              </w:rPr>
              <w:t>356</w:t>
            </w:r>
          </w:p>
        </w:tc>
        <w:tc>
          <w:tcPr>
            <w:tcW w:type="dxa" w:w="828"/>
            <w:shd w:fill="FFFFFF"/>
          </w:tcPr>
          <w:p>
            <w:pPr>
              <w:jc w:val="center"/>
            </w:pPr>
            <w:r>
              <w:rPr>
                <w:sz w:val="17"/>
              </w:rPr>
              <w:t>1220</w:t>
            </w:r>
          </w:p>
        </w:tc>
        <w:tc>
          <w:tcPr>
            <w:tcW w:type="dxa" w:w="828"/>
            <w:shd w:fill="FFFFFF"/>
          </w:tcPr>
          <w:p>
            <w:pPr>
              <w:jc w:val="center"/>
            </w:pPr>
            <w:r>
              <w:rPr>
                <w:sz w:val="17"/>
              </w:rPr>
              <w:t>12</w:t>
            </w:r>
          </w:p>
        </w:tc>
        <w:tc>
          <w:tcPr>
            <w:tcW w:type="dxa" w:w="828"/>
            <w:shd w:fill="FFFFFF"/>
          </w:tcPr>
          <w:p>
            <w:pPr>
              <w:jc w:val="center"/>
            </w:pPr>
            <w:r>
              <w:rPr>
                <w:sz w:val="17"/>
              </w:rPr>
              <w:t>23</w:t>
            </w:r>
          </w:p>
        </w:tc>
        <w:tc>
          <w:tcPr>
            <w:tcW w:type="dxa" w:w="828"/>
            <w:shd w:fill="FFFFFF"/>
          </w:tcPr>
          <w:p>
            <w:pPr>
              <w:jc w:val="center"/>
            </w:pPr>
            <w:r>
              <w:rPr>
                <w:sz w:val="17"/>
              </w:rPr>
              <w:t>333</w:t>
            </w:r>
          </w:p>
        </w:tc>
        <w:tc>
          <w:tcPr>
            <w:tcW w:type="dxa" w:w="828"/>
            <w:shd w:fill="FFFFFF"/>
          </w:tcPr>
          <w:p>
            <w:pPr>
              <w:jc w:val="center"/>
            </w:pPr>
            <w:r>
              <w:rPr>
                <w:sz w:val="17"/>
              </w:rPr>
              <w:t>97.80%</w:t>
            </w:r>
          </w:p>
        </w:tc>
        <w:tc>
          <w:tcPr>
            <w:tcW w:type="dxa" w:w="828"/>
            <w:shd w:fill="FFFFFF"/>
          </w:tcPr>
          <w:p>
            <w:pPr>
              <w:jc w:val="center"/>
            </w:pPr>
            <w:r>
              <w:rPr>
                <w:sz w:val="17"/>
              </w:rPr>
              <w:t>0.9954</w:t>
            </w:r>
          </w:p>
        </w:tc>
        <w:tc>
          <w:tcPr>
            <w:tcW w:type="dxa" w:w="828"/>
            <w:shd w:fill="FFFFFF"/>
          </w:tcPr>
          <w:p>
            <w:pPr>
              <w:jc w:val="center"/>
            </w:pPr>
            <w:r>
              <w:rPr>
                <w:sz w:val="17"/>
              </w:rPr>
              <w:t>93.54%</w:t>
            </w:r>
          </w:p>
        </w:tc>
        <w:tc>
          <w:tcPr>
            <w:tcW w:type="dxa" w:w="828"/>
            <w:shd w:fill="FFFFFF"/>
          </w:tcPr>
          <w:p>
            <w:pPr>
              <w:jc w:val="center"/>
            </w:pPr>
            <w:r>
              <w:rPr>
                <w:sz w:val="17"/>
              </w:rPr>
              <w:t>99.03%</w:t>
            </w:r>
          </w:p>
        </w:tc>
        <w:tc>
          <w:tcPr>
            <w:tcW w:type="dxa" w:w="828"/>
            <w:shd w:fill="FFFFFF"/>
          </w:tcPr>
          <w:p>
            <w:pPr>
              <w:jc w:val="center"/>
            </w:pPr>
            <w:r>
              <w:rPr>
                <w:sz w:val="17"/>
              </w:rPr>
              <w:t>0.9501</w:t>
            </w:r>
          </w:p>
        </w:tc>
      </w:tr>
      <w:tr>
        <w:tc>
          <w:tcPr>
            <w:tcW w:type="dxa" w:w="828"/>
            <w:shd w:fill="F2F6FA"/>
          </w:tcPr>
          <w:p>
            <w:pPr>
              <w:jc w:val="left"/>
            </w:pPr>
            <w:r>
              <w:rPr>
                <w:b/>
                <w:sz w:val="17"/>
              </w:rPr>
              <w:t>Train (1,588)</w:t>
            </w:r>
          </w:p>
        </w:tc>
        <w:tc>
          <w:tcPr>
            <w:tcW w:type="dxa" w:w="828"/>
            <w:shd w:fill="F2F6FA"/>
          </w:tcPr>
          <w:p>
            <w:pPr>
              <w:jc w:val="center"/>
            </w:pPr>
            <w:r>
              <w:rPr>
                <w:sz w:val="17"/>
              </w:rPr>
              <w:t>MYA</w:t>
            </w:r>
          </w:p>
        </w:tc>
        <w:tc>
          <w:tcPr>
            <w:tcW w:type="dxa" w:w="828"/>
            <w:shd w:fill="F2F6FA"/>
          </w:tcPr>
          <w:p>
            <w:pPr>
              <w:jc w:val="center"/>
            </w:pPr>
            <w:r>
              <w:rPr>
                <w:sz w:val="17"/>
              </w:rPr>
              <w:t>64</w:t>
            </w:r>
          </w:p>
        </w:tc>
        <w:tc>
          <w:tcPr>
            <w:tcW w:type="dxa" w:w="828"/>
            <w:shd w:fill="F2F6FA"/>
          </w:tcPr>
          <w:p>
            <w:pPr>
              <w:jc w:val="center"/>
            </w:pPr>
            <w:r>
              <w:rPr>
                <w:sz w:val="17"/>
              </w:rPr>
              <w:t>1524</w:t>
            </w:r>
          </w:p>
        </w:tc>
        <w:tc>
          <w:tcPr>
            <w:tcW w:type="dxa" w:w="828"/>
            <w:shd w:fill="F2F6FA"/>
          </w:tcPr>
          <w:p>
            <w:pPr>
              <w:jc w:val="center"/>
            </w:pPr>
            <w:r>
              <w:rPr>
                <w:sz w:val="17"/>
              </w:rPr>
              <w:t>0</w:t>
            </w:r>
          </w:p>
        </w:tc>
        <w:tc>
          <w:tcPr>
            <w:tcW w:type="dxa" w:w="828"/>
            <w:shd w:fill="F2F6FA"/>
          </w:tcPr>
          <w:p>
            <w:pPr>
              <w:jc w:val="center"/>
            </w:pPr>
            <w:r>
              <w:rPr>
                <w:sz w:val="17"/>
              </w:rPr>
              <w:t>0</w:t>
            </w:r>
          </w:p>
        </w:tc>
        <w:tc>
          <w:tcPr>
            <w:tcW w:type="dxa" w:w="828"/>
            <w:shd w:fill="F2F6FA"/>
          </w:tcPr>
          <w:p>
            <w:pPr>
              <w:jc w:val="center"/>
            </w:pPr>
            <w:r>
              <w:rPr>
                <w:sz w:val="17"/>
              </w:rPr>
              <w:t>64</w:t>
            </w:r>
          </w:p>
        </w:tc>
        <w:tc>
          <w:tcPr>
            <w:tcW w:type="dxa" w:w="828"/>
            <w:shd w:fill="F2F6FA"/>
          </w:tcPr>
          <w:p>
            <w:pPr>
              <w:jc w:val="center"/>
            </w:pPr>
            <w:r>
              <w:rPr>
                <w:sz w:val="17"/>
              </w:rPr>
              <w:t>100.0%</w:t>
            </w:r>
          </w:p>
        </w:tc>
        <w:tc>
          <w:tcPr>
            <w:tcW w:type="dxa" w:w="828"/>
            <w:shd w:fill="F2F6FA"/>
          </w:tcPr>
          <w:p>
            <w:pPr>
              <w:jc w:val="center"/>
            </w:pPr>
            <w:r>
              <w:rPr>
                <w:sz w:val="17"/>
              </w:rPr>
              <w:t>1.0000</w:t>
            </w:r>
          </w:p>
        </w:tc>
        <w:tc>
          <w:tcPr>
            <w:tcW w:type="dxa" w:w="828"/>
            <w:shd w:fill="F2F6FA"/>
          </w:tcPr>
          <w:p>
            <w:pPr>
              <w:jc w:val="center"/>
            </w:pPr>
            <w:r>
              <w:rPr>
                <w:sz w:val="17"/>
              </w:rPr>
              <w:t>100.0%</w:t>
            </w:r>
          </w:p>
        </w:tc>
        <w:tc>
          <w:tcPr>
            <w:tcW w:type="dxa" w:w="828"/>
            <w:shd w:fill="F2F6FA"/>
          </w:tcPr>
          <w:p>
            <w:pPr>
              <w:jc w:val="center"/>
            </w:pPr>
            <w:r>
              <w:rPr>
                <w:sz w:val="17"/>
              </w:rPr>
              <w:t>100.0%</w:t>
            </w:r>
          </w:p>
        </w:tc>
        <w:tc>
          <w:tcPr>
            <w:tcW w:type="dxa" w:w="828"/>
            <w:shd w:fill="F2F6FA"/>
          </w:tcPr>
          <w:p>
            <w:pPr>
              <w:jc w:val="center"/>
            </w:pPr>
            <w:r>
              <w:rPr>
                <w:sz w:val="17"/>
              </w:rPr>
              <w:t>1.0000</w:t>
            </w:r>
          </w:p>
        </w:tc>
      </w:tr>
      <w:tr>
        <w:tc>
          <w:tcPr>
            <w:tcW w:type="dxa" w:w="828"/>
            <w:shd w:fill="FFFFFF"/>
          </w:tcPr>
          <w:p>
            <w:pPr>
              <w:jc w:val="left"/>
            </w:pPr>
            <w:r>
              <w:rPr>
                <w:b/>
                <w:sz w:val="17"/>
              </w:rPr>
              <w:t>Train (1,588)</w:t>
            </w:r>
          </w:p>
        </w:tc>
        <w:tc>
          <w:tcPr>
            <w:tcW w:type="dxa" w:w="828"/>
            <w:shd w:fill="FFFFFF"/>
          </w:tcPr>
          <w:p>
            <w:pPr>
              <w:jc w:val="center"/>
            </w:pPr>
            <w:r>
              <w:rPr>
                <w:sz w:val="17"/>
              </w:rPr>
              <w:t>ODC</w:t>
            </w:r>
          </w:p>
        </w:tc>
        <w:tc>
          <w:tcPr>
            <w:tcW w:type="dxa" w:w="828"/>
            <w:shd w:fill="FFFFFF"/>
          </w:tcPr>
          <w:p>
            <w:pPr>
              <w:jc w:val="center"/>
            </w:pPr>
            <w:r>
              <w:rPr>
                <w:sz w:val="17"/>
              </w:rPr>
              <w:t>190</w:t>
            </w:r>
          </w:p>
        </w:tc>
        <w:tc>
          <w:tcPr>
            <w:tcW w:type="dxa" w:w="828"/>
            <w:shd w:fill="FFFFFF"/>
          </w:tcPr>
          <w:p>
            <w:pPr>
              <w:jc w:val="center"/>
            </w:pPr>
            <w:r>
              <w:rPr>
                <w:sz w:val="17"/>
              </w:rPr>
              <w:t>1390</w:t>
            </w:r>
          </w:p>
        </w:tc>
        <w:tc>
          <w:tcPr>
            <w:tcW w:type="dxa" w:w="828"/>
            <w:shd w:fill="FFFFFF"/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828"/>
            <w:shd w:fill="FFFFFF"/>
          </w:tcPr>
          <w:p>
            <w:pPr>
              <w:jc w:val="center"/>
            </w:pPr>
            <w:r>
              <w:rPr>
                <w:sz w:val="17"/>
              </w:rPr>
              <w:t>58</w:t>
            </w:r>
          </w:p>
        </w:tc>
        <w:tc>
          <w:tcPr>
            <w:tcW w:type="dxa" w:w="828"/>
            <w:shd w:fill="FFFFFF"/>
          </w:tcPr>
          <w:p>
            <w:pPr>
              <w:jc w:val="center"/>
            </w:pPr>
            <w:r>
              <w:rPr>
                <w:sz w:val="17"/>
              </w:rPr>
              <w:t>132</w:t>
            </w:r>
          </w:p>
        </w:tc>
        <w:tc>
          <w:tcPr>
            <w:tcW w:type="dxa" w:w="828"/>
            <w:shd w:fill="FFFFFF"/>
          </w:tcPr>
          <w:p>
            <w:pPr>
              <w:jc w:val="center"/>
            </w:pPr>
            <w:r>
              <w:rPr>
                <w:sz w:val="17"/>
              </w:rPr>
              <w:t>95.84%</w:t>
            </w:r>
          </w:p>
        </w:tc>
        <w:tc>
          <w:tcPr>
            <w:tcW w:type="dxa" w:w="828"/>
            <w:shd w:fill="FFFFFF"/>
          </w:tcPr>
          <w:p>
            <w:pPr>
              <w:jc w:val="center"/>
            </w:pPr>
            <w:r>
              <w:rPr>
                <w:sz w:val="17"/>
              </w:rPr>
              <w:t>0.9881</w:t>
            </w:r>
          </w:p>
        </w:tc>
        <w:tc>
          <w:tcPr>
            <w:tcW w:type="dxa" w:w="828"/>
            <w:shd w:fill="FFFFFF"/>
          </w:tcPr>
          <w:p>
            <w:pPr>
              <w:jc w:val="center"/>
            </w:pPr>
            <w:r>
              <w:rPr>
                <w:sz w:val="17"/>
              </w:rPr>
              <w:t>69.47%</w:t>
            </w:r>
          </w:p>
        </w:tc>
        <w:tc>
          <w:tcPr>
            <w:tcW w:type="dxa" w:w="828"/>
            <w:shd w:fill="FFFFFF"/>
          </w:tcPr>
          <w:p>
            <w:pPr>
              <w:jc w:val="center"/>
            </w:pPr>
            <w:r>
              <w:rPr>
                <w:sz w:val="17"/>
              </w:rPr>
              <w:t>99.43%</w:t>
            </w:r>
          </w:p>
        </w:tc>
        <w:tc>
          <w:tcPr>
            <w:tcW w:type="dxa" w:w="828"/>
            <w:shd w:fill="FFFFFF"/>
          </w:tcPr>
          <w:p>
            <w:pPr>
              <w:jc w:val="center"/>
            </w:pPr>
            <w:r>
              <w:rPr>
                <w:sz w:val="17"/>
              </w:rPr>
              <w:t>0.8000</w:t>
            </w:r>
          </w:p>
        </w:tc>
      </w:tr>
      <w:tr>
        <w:tc>
          <w:tcPr>
            <w:tcW w:type="dxa" w:w="828"/>
            <w:shd w:fill="F2F6FA"/>
          </w:tcPr>
          <w:p>
            <w:pPr>
              <w:jc w:val="left"/>
            </w:pPr>
            <w:r>
              <w:rPr>
                <w:b/>
                <w:sz w:val="17"/>
              </w:rPr>
              <w:t>Train (1,588)</w:t>
            </w:r>
          </w:p>
        </w:tc>
        <w:tc>
          <w:tcPr>
            <w:tcW w:type="dxa" w:w="828"/>
            <w:shd w:fill="F2F6FA"/>
          </w:tcPr>
          <w:p>
            <w:pPr>
              <w:jc w:val="center"/>
            </w:pPr>
            <w:r>
              <w:rPr>
                <w:sz w:val="17"/>
              </w:rPr>
              <w:t>TSLN</w:t>
            </w:r>
          </w:p>
        </w:tc>
        <w:tc>
          <w:tcPr>
            <w:tcW w:type="dxa" w:w="828"/>
            <w:shd w:fill="F2F6FA"/>
          </w:tcPr>
          <w:p>
            <w:pPr>
              <w:jc w:val="center"/>
            </w:pPr>
            <w:r>
              <w:rPr>
                <w:sz w:val="17"/>
              </w:rPr>
              <w:t>112</w:t>
            </w:r>
          </w:p>
        </w:tc>
        <w:tc>
          <w:tcPr>
            <w:tcW w:type="dxa" w:w="828"/>
            <w:shd w:fill="F2F6FA"/>
          </w:tcPr>
          <w:p>
            <w:pPr>
              <w:jc w:val="center"/>
            </w:pPr>
            <w:r>
              <w:rPr>
                <w:sz w:val="17"/>
              </w:rPr>
              <w:t>1475</w:t>
            </w:r>
          </w:p>
        </w:tc>
        <w:tc>
          <w:tcPr>
            <w:tcW w:type="dxa" w:w="828"/>
            <w:shd w:fill="F2F6FA"/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828"/>
            <w:shd w:fill="F2F6FA"/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828"/>
            <w:shd w:fill="F2F6FA"/>
          </w:tcPr>
          <w:p>
            <w:pPr>
              <w:jc w:val="center"/>
            </w:pPr>
            <w:r>
              <w:rPr>
                <w:sz w:val="17"/>
              </w:rPr>
              <w:t>103</w:t>
            </w:r>
          </w:p>
        </w:tc>
        <w:tc>
          <w:tcPr>
            <w:tcW w:type="dxa" w:w="828"/>
            <w:shd w:fill="F2F6FA"/>
          </w:tcPr>
          <w:p>
            <w:pPr>
              <w:jc w:val="center"/>
            </w:pPr>
            <w:r>
              <w:rPr>
                <w:sz w:val="17"/>
              </w:rPr>
              <w:t>99.37%</w:t>
            </w:r>
          </w:p>
        </w:tc>
        <w:tc>
          <w:tcPr>
            <w:tcW w:type="dxa" w:w="828"/>
            <w:shd w:fill="F2F6FA"/>
          </w:tcPr>
          <w:p>
            <w:pPr>
              <w:jc w:val="center"/>
            </w:pPr>
            <w:r>
              <w:rPr>
                <w:sz w:val="17"/>
              </w:rPr>
              <w:t>0.9993</w:t>
            </w:r>
          </w:p>
        </w:tc>
        <w:tc>
          <w:tcPr>
            <w:tcW w:type="dxa" w:w="828"/>
            <w:shd w:fill="F2F6FA"/>
          </w:tcPr>
          <w:p>
            <w:pPr>
              <w:jc w:val="center"/>
            </w:pPr>
            <w:r>
              <w:rPr>
                <w:sz w:val="17"/>
              </w:rPr>
              <w:t>91.96%</w:t>
            </w:r>
          </w:p>
        </w:tc>
        <w:tc>
          <w:tcPr>
            <w:tcW w:type="dxa" w:w="828"/>
            <w:shd w:fill="F2F6FA"/>
          </w:tcPr>
          <w:p>
            <w:pPr>
              <w:jc w:val="center"/>
            </w:pPr>
            <w:r>
              <w:rPr>
                <w:sz w:val="17"/>
              </w:rPr>
              <w:t>99.93%</w:t>
            </w:r>
          </w:p>
        </w:tc>
        <w:tc>
          <w:tcPr>
            <w:tcW w:type="dxa" w:w="828"/>
            <w:shd w:fill="F2F6FA"/>
          </w:tcPr>
          <w:p>
            <w:pPr>
              <w:jc w:val="center"/>
            </w:pPr>
            <w:r>
              <w:rPr>
                <w:sz w:val="17"/>
              </w:rPr>
              <w:t>0.9537</w:t>
            </w:r>
          </w:p>
        </w:tc>
      </w:tr>
      <w:tr>
        <w:tc>
          <w:tcPr>
            <w:tcW w:type="dxa" w:w="828"/>
            <w:shd w:fill="FFFFFF"/>
          </w:tcPr>
          <w:p>
            <w:pPr>
              <w:jc w:val="left"/>
            </w:pPr>
            <w:r>
              <w:rPr>
                <w:b/>
                <w:sz w:val="17"/>
              </w:rPr>
              <w:t>Train (1,588)</w:t>
            </w:r>
          </w:p>
        </w:tc>
        <w:tc>
          <w:tcPr>
            <w:tcW w:type="dxa" w:w="828"/>
            <w:shd w:fill="FFFFFF"/>
          </w:tcPr>
          <w:p>
            <w:pPr>
              <w:jc w:val="center"/>
            </w:pPr>
            <w:r>
              <w:rPr>
                <w:sz w:val="17"/>
              </w:rPr>
              <w:t>BRVO</w:t>
            </w:r>
          </w:p>
        </w:tc>
        <w:tc>
          <w:tcPr>
            <w:tcW w:type="dxa" w:w="828"/>
            <w:shd w:fill="FFFFFF"/>
          </w:tcPr>
          <w:p>
            <w:pPr>
              <w:jc w:val="center"/>
            </w:pPr>
            <w:r>
              <w:rPr>
                <w:sz w:val="17"/>
              </w:rPr>
              <w:t>57</w:t>
            </w:r>
          </w:p>
        </w:tc>
        <w:tc>
          <w:tcPr>
            <w:tcW w:type="dxa" w:w="828"/>
            <w:shd w:fill="FFFFFF"/>
          </w:tcPr>
          <w:p>
            <w:pPr>
              <w:jc w:val="center"/>
            </w:pPr>
            <w:r>
              <w:rPr>
                <w:sz w:val="17"/>
              </w:rPr>
              <w:t>1531</w:t>
            </w:r>
          </w:p>
        </w:tc>
        <w:tc>
          <w:tcPr>
            <w:tcW w:type="dxa" w:w="828"/>
            <w:shd w:fill="FFFFFF"/>
          </w:tcPr>
          <w:p>
            <w:pPr>
              <w:jc w:val="center"/>
            </w:pPr>
            <w:r>
              <w:rPr>
                <w:sz w:val="17"/>
              </w:rPr>
              <w:t>0</w:t>
            </w:r>
          </w:p>
        </w:tc>
        <w:tc>
          <w:tcPr>
            <w:tcW w:type="dxa" w:w="828"/>
            <w:shd w:fill="FFFFFF"/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828"/>
            <w:shd w:fill="FFFFFF"/>
          </w:tcPr>
          <w:p>
            <w:pPr>
              <w:jc w:val="center"/>
            </w:pPr>
            <w:r>
              <w:rPr>
                <w:sz w:val="17"/>
              </w:rPr>
              <w:t>47</w:t>
            </w:r>
          </w:p>
        </w:tc>
        <w:tc>
          <w:tcPr>
            <w:tcW w:type="dxa" w:w="828"/>
            <w:shd w:fill="FFFFFF"/>
          </w:tcPr>
          <w:p>
            <w:pPr>
              <w:jc w:val="center"/>
            </w:pPr>
            <w:r>
              <w:rPr>
                <w:sz w:val="17"/>
              </w:rPr>
              <w:t>99.37%</w:t>
            </w:r>
          </w:p>
        </w:tc>
        <w:tc>
          <w:tcPr>
            <w:tcW w:type="dxa" w:w="828"/>
            <w:shd w:fill="FFFFFF"/>
          </w:tcPr>
          <w:p>
            <w:pPr>
              <w:jc w:val="center"/>
            </w:pPr>
            <w:r>
              <w:rPr>
                <w:sz w:val="17"/>
              </w:rPr>
              <w:t>0.9998</w:t>
            </w:r>
          </w:p>
        </w:tc>
        <w:tc>
          <w:tcPr>
            <w:tcW w:type="dxa" w:w="828"/>
            <w:shd w:fill="FFFFFF"/>
          </w:tcPr>
          <w:p>
            <w:pPr>
              <w:jc w:val="center"/>
            </w:pPr>
            <w:r>
              <w:rPr>
                <w:sz w:val="17"/>
              </w:rPr>
              <w:t>82.46%</w:t>
            </w:r>
          </w:p>
        </w:tc>
        <w:tc>
          <w:tcPr>
            <w:tcW w:type="dxa" w:w="828"/>
            <w:shd w:fill="FFFFFF"/>
          </w:tcPr>
          <w:p>
            <w:pPr>
              <w:jc w:val="center"/>
            </w:pPr>
            <w:r>
              <w:rPr>
                <w:sz w:val="17"/>
              </w:rPr>
              <w:t>100.0%</w:t>
            </w:r>
          </w:p>
        </w:tc>
        <w:tc>
          <w:tcPr>
            <w:tcW w:type="dxa" w:w="828"/>
            <w:shd w:fill="FFFFFF"/>
          </w:tcPr>
          <w:p>
            <w:pPr>
              <w:jc w:val="center"/>
            </w:pPr>
            <w:r>
              <w:rPr>
                <w:sz w:val="17"/>
              </w:rPr>
              <w:t>0.9038</w:t>
            </w:r>
          </w:p>
        </w:tc>
      </w:tr>
      <w:tr>
        <w:tc>
          <w:tcPr>
            <w:tcW w:type="dxa" w:w="828"/>
            <w:shd w:fill="F2F6FA"/>
          </w:tcPr>
          <w:p>
            <w:pPr>
              <w:jc w:val="left"/>
            </w:pPr>
            <w:r>
              <w:rPr>
                <w:b/>
                <w:sz w:val="17"/>
              </w:rPr>
              <w:t>Val (176)</w:t>
            </w:r>
          </w:p>
        </w:tc>
        <w:tc>
          <w:tcPr>
            <w:tcW w:type="dxa" w:w="828"/>
            <w:shd w:fill="F2F6FA"/>
          </w:tcPr>
          <w:p>
            <w:pPr>
              <w:jc w:val="center"/>
            </w:pPr>
            <w:r>
              <w:rPr>
                <w:sz w:val="17"/>
              </w:rPr>
              <w:t>DR</w:t>
            </w:r>
          </w:p>
        </w:tc>
        <w:tc>
          <w:tcPr>
            <w:tcW w:type="dxa" w:w="828"/>
            <w:shd w:fill="F2F6FA"/>
          </w:tcPr>
          <w:p>
            <w:pPr>
              <w:jc w:val="center"/>
            </w:pPr>
            <w:r>
              <w:rPr>
                <w:sz w:val="17"/>
              </w:rPr>
              <w:t>40</w:t>
            </w:r>
          </w:p>
        </w:tc>
        <w:tc>
          <w:tcPr>
            <w:tcW w:type="dxa" w:w="828"/>
            <w:shd w:fill="F2F6FA"/>
          </w:tcPr>
          <w:p>
            <w:pPr>
              <w:jc w:val="center"/>
            </w:pPr>
            <w:r>
              <w:rPr>
                <w:sz w:val="17"/>
              </w:rPr>
              <w:t>123</w:t>
            </w:r>
          </w:p>
        </w:tc>
        <w:tc>
          <w:tcPr>
            <w:tcW w:type="dxa" w:w="828"/>
            <w:shd w:fill="F2F6FA"/>
          </w:tcPr>
          <w:p>
            <w:pPr>
              <w:jc w:val="center"/>
            </w:pPr>
            <w:r>
              <w:rPr>
                <w:sz w:val="17"/>
              </w:rPr>
              <w:t>13</w:t>
            </w:r>
          </w:p>
        </w:tc>
        <w:tc>
          <w:tcPr>
            <w:tcW w:type="dxa" w:w="828"/>
            <w:shd w:fill="F2F6FA"/>
          </w:tcPr>
          <w:p>
            <w:pPr>
              <w:jc w:val="center"/>
            </w:pPr>
            <w:r>
              <w:rPr>
                <w:sz w:val="17"/>
              </w:rPr>
              <w:t>17</w:t>
            </w:r>
          </w:p>
        </w:tc>
        <w:tc>
          <w:tcPr>
            <w:tcW w:type="dxa" w:w="828"/>
            <w:shd w:fill="F2F6FA"/>
          </w:tcPr>
          <w:p>
            <w:pPr>
              <w:jc w:val="center"/>
            </w:pPr>
            <w:r>
              <w:rPr>
                <w:sz w:val="17"/>
              </w:rPr>
              <w:t>23</w:t>
            </w:r>
          </w:p>
        </w:tc>
        <w:tc>
          <w:tcPr>
            <w:tcW w:type="dxa" w:w="828"/>
            <w:shd w:fill="F2F6FA"/>
          </w:tcPr>
          <w:p>
            <w:pPr>
              <w:jc w:val="center"/>
            </w:pPr>
            <w:r>
              <w:rPr>
                <w:sz w:val="17"/>
              </w:rPr>
              <w:t>82.95%</w:t>
            </w:r>
          </w:p>
        </w:tc>
        <w:tc>
          <w:tcPr>
            <w:tcW w:type="dxa" w:w="828"/>
            <w:shd w:fill="F2F6FA"/>
          </w:tcPr>
          <w:p>
            <w:pPr>
              <w:jc w:val="center"/>
            </w:pPr>
            <w:r>
              <w:rPr>
                <w:sz w:val="17"/>
              </w:rPr>
              <w:t>0.8494</w:t>
            </w:r>
          </w:p>
        </w:tc>
        <w:tc>
          <w:tcPr>
            <w:tcW w:type="dxa" w:w="828"/>
            <w:shd w:fill="F2F6FA"/>
          </w:tcPr>
          <w:p>
            <w:pPr>
              <w:jc w:val="center"/>
            </w:pPr>
            <w:r>
              <w:rPr>
                <w:sz w:val="17"/>
              </w:rPr>
              <w:t>57.50%</w:t>
            </w:r>
          </w:p>
        </w:tc>
        <w:tc>
          <w:tcPr>
            <w:tcW w:type="dxa" w:w="828"/>
            <w:shd w:fill="F2F6FA"/>
          </w:tcPr>
          <w:p>
            <w:pPr>
              <w:jc w:val="center"/>
            </w:pPr>
            <w:r>
              <w:rPr>
                <w:sz w:val="17"/>
              </w:rPr>
              <w:t>90.44%</w:t>
            </w:r>
          </w:p>
        </w:tc>
        <w:tc>
          <w:tcPr>
            <w:tcW w:type="dxa" w:w="828"/>
            <w:shd w:fill="F2F6FA"/>
          </w:tcPr>
          <w:p>
            <w:pPr>
              <w:jc w:val="center"/>
            </w:pPr>
            <w:r>
              <w:rPr>
                <w:sz w:val="17"/>
              </w:rPr>
              <w:t>0.6053</w:t>
            </w:r>
          </w:p>
        </w:tc>
      </w:tr>
      <w:tr>
        <w:tc>
          <w:tcPr>
            <w:tcW w:type="dxa" w:w="828"/>
            <w:shd w:fill="FFFFFF"/>
          </w:tcPr>
          <w:p>
            <w:pPr>
              <w:jc w:val="left"/>
            </w:pPr>
            <w:r>
              <w:rPr>
                <w:b/>
                <w:sz w:val="17"/>
              </w:rPr>
              <w:t>Val (176)</w:t>
            </w:r>
          </w:p>
        </w:tc>
        <w:tc>
          <w:tcPr>
            <w:tcW w:type="dxa" w:w="828"/>
            <w:shd w:fill="FFFFFF"/>
          </w:tcPr>
          <w:p>
            <w:pPr>
              <w:jc w:val="center"/>
            </w:pPr>
            <w:r>
              <w:rPr>
                <w:sz w:val="17"/>
              </w:rPr>
              <w:t>MYA</w:t>
            </w:r>
          </w:p>
        </w:tc>
        <w:tc>
          <w:tcPr>
            <w:tcW w:type="dxa" w:w="828"/>
            <w:shd w:fill="FFFFFF"/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828"/>
            <w:shd w:fill="FFFFFF"/>
          </w:tcPr>
          <w:p>
            <w:pPr>
              <w:jc w:val="center"/>
            </w:pPr>
            <w:r>
              <w:rPr>
                <w:sz w:val="17"/>
              </w:rPr>
              <w:t>169</w:t>
            </w:r>
          </w:p>
        </w:tc>
        <w:tc>
          <w:tcPr>
            <w:tcW w:type="dxa" w:w="828"/>
            <w:shd w:fill="FFFFFF"/>
          </w:tcPr>
          <w:p>
            <w:pPr>
              <w:jc w:val="center"/>
            </w:pPr>
            <w:r>
              <w:rPr>
                <w:sz w:val="17"/>
              </w:rPr>
              <w:t>0</w:t>
            </w:r>
          </w:p>
        </w:tc>
        <w:tc>
          <w:tcPr>
            <w:tcW w:type="dxa" w:w="828"/>
            <w:shd w:fill="FFFFFF"/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828"/>
            <w:shd w:fill="FFFFFF"/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828"/>
            <w:shd w:fill="FFFFFF"/>
          </w:tcPr>
          <w:p>
            <w:pPr>
              <w:jc w:val="center"/>
            </w:pPr>
            <w:r>
              <w:rPr>
                <w:sz w:val="17"/>
              </w:rPr>
              <w:t>98.30%</w:t>
            </w:r>
          </w:p>
        </w:tc>
        <w:tc>
          <w:tcPr>
            <w:tcW w:type="dxa" w:w="828"/>
            <w:shd w:fill="FFFFFF"/>
          </w:tcPr>
          <w:p>
            <w:pPr>
              <w:jc w:val="center"/>
            </w:pPr>
            <w:r>
              <w:rPr>
                <w:sz w:val="17"/>
              </w:rPr>
              <w:t>0.8876</w:t>
            </w:r>
          </w:p>
        </w:tc>
        <w:tc>
          <w:tcPr>
            <w:tcW w:type="dxa" w:w="828"/>
            <w:shd w:fill="FFFFFF"/>
          </w:tcPr>
          <w:p>
            <w:pPr>
              <w:jc w:val="center"/>
            </w:pPr>
            <w:r>
              <w:rPr>
                <w:sz w:val="17"/>
              </w:rPr>
              <w:t>57.14%</w:t>
            </w:r>
          </w:p>
        </w:tc>
        <w:tc>
          <w:tcPr>
            <w:tcW w:type="dxa" w:w="828"/>
            <w:shd w:fill="FFFFFF"/>
          </w:tcPr>
          <w:p>
            <w:pPr>
              <w:jc w:val="center"/>
            </w:pPr>
            <w:r>
              <w:rPr>
                <w:sz w:val="17"/>
              </w:rPr>
              <w:t>100.0%</w:t>
            </w:r>
          </w:p>
        </w:tc>
        <w:tc>
          <w:tcPr>
            <w:tcW w:type="dxa" w:w="828"/>
            <w:shd w:fill="FFFFFF"/>
          </w:tcPr>
          <w:p>
            <w:pPr>
              <w:jc w:val="center"/>
            </w:pPr>
            <w:r>
              <w:rPr>
                <w:sz w:val="17"/>
              </w:rPr>
              <w:t>0.7273</w:t>
            </w:r>
          </w:p>
        </w:tc>
      </w:tr>
      <w:tr>
        <w:tc>
          <w:tcPr>
            <w:tcW w:type="dxa" w:w="828"/>
            <w:shd w:fill="F2F6FA"/>
          </w:tcPr>
          <w:p>
            <w:pPr>
              <w:jc w:val="left"/>
            </w:pPr>
            <w:r>
              <w:rPr>
                <w:b/>
                <w:sz w:val="17"/>
              </w:rPr>
              <w:t>Val (176)</w:t>
            </w:r>
          </w:p>
        </w:tc>
        <w:tc>
          <w:tcPr>
            <w:tcW w:type="dxa" w:w="828"/>
            <w:shd w:fill="F2F6FA"/>
          </w:tcPr>
          <w:p>
            <w:pPr>
              <w:jc w:val="center"/>
            </w:pPr>
            <w:r>
              <w:rPr>
                <w:sz w:val="17"/>
              </w:rPr>
              <w:t>ODC</w:t>
            </w:r>
          </w:p>
        </w:tc>
        <w:tc>
          <w:tcPr>
            <w:tcW w:type="dxa" w:w="828"/>
            <w:shd w:fill="F2F6FA"/>
          </w:tcPr>
          <w:p>
            <w:pPr>
              <w:jc w:val="center"/>
            </w:pPr>
            <w:r>
              <w:rPr>
                <w:sz w:val="17"/>
              </w:rPr>
              <w:t>21</w:t>
            </w:r>
          </w:p>
        </w:tc>
        <w:tc>
          <w:tcPr>
            <w:tcW w:type="dxa" w:w="828"/>
            <w:shd w:fill="F2F6FA"/>
          </w:tcPr>
          <w:p>
            <w:pPr>
              <w:jc w:val="center"/>
            </w:pPr>
            <w:r>
              <w:rPr>
                <w:sz w:val="17"/>
              </w:rPr>
              <w:t>152</w:t>
            </w:r>
          </w:p>
        </w:tc>
        <w:tc>
          <w:tcPr>
            <w:tcW w:type="dxa" w:w="828"/>
            <w:shd w:fill="F2F6FA"/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828"/>
            <w:shd w:fill="F2F6FA"/>
          </w:tcPr>
          <w:p>
            <w:pPr>
              <w:jc w:val="center"/>
            </w:pPr>
            <w:r>
              <w:rPr>
                <w:sz w:val="17"/>
              </w:rPr>
              <w:t>16</w:t>
            </w:r>
          </w:p>
        </w:tc>
        <w:tc>
          <w:tcPr>
            <w:tcW w:type="dxa" w:w="828"/>
            <w:shd w:fill="F2F6FA"/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828"/>
            <w:shd w:fill="F2F6FA"/>
          </w:tcPr>
          <w:p>
            <w:pPr>
              <w:jc w:val="center"/>
            </w:pPr>
            <w:r>
              <w:rPr>
                <w:sz w:val="17"/>
              </w:rPr>
              <w:t>89.20%</w:t>
            </w:r>
          </w:p>
        </w:tc>
        <w:tc>
          <w:tcPr>
            <w:tcW w:type="dxa" w:w="828"/>
            <w:shd w:fill="F2F6FA"/>
          </w:tcPr>
          <w:p>
            <w:pPr>
              <w:jc w:val="center"/>
            </w:pPr>
            <w:r>
              <w:rPr>
                <w:sz w:val="17"/>
              </w:rPr>
              <w:t>0.8697</w:t>
            </w:r>
          </w:p>
        </w:tc>
        <w:tc>
          <w:tcPr>
            <w:tcW w:type="dxa" w:w="828"/>
            <w:shd w:fill="F2F6FA"/>
          </w:tcPr>
          <w:p>
            <w:pPr>
              <w:jc w:val="center"/>
            </w:pPr>
            <w:r>
              <w:rPr>
                <w:sz w:val="17"/>
              </w:rPr>
              <w:t>23.81%</w:t>
            </w:r>
          </w:p>
        </w:tc>
        <w:tc>
          <w:tcPr>
            <w:tcW w:type="dxa" w:w="828"/>
            <w:shd w:fill="F2F6FA"/>
          </w:tcPr>
          <w:p>
            <w:pPr>
              <w:jc w:val="center"/>
            </w:pPr>
            <w:r>
              <w:rPr>
                <w:sz w:val="17"/>
              </w:rPr>
              <w:t>98.06%</w:t>
            </w:r>
          </w:p>
        </w:tc>
        <w:tc>
          <w:tcPr>
            <w:tcW w:type="dxa" w:w="828"/>
            <w:shd w:fill="F2F6FA"/>
          </w:tcPr>
          <w:p>
            <w:pPr>
              <w:jc w:val="center"/>
            </w:pPr>
            <w:r>
              <w:rPr>
                <w:sz w:val="17"/>
              </w:rPr>
              <w:t>0.3448</w:t>
            </w:r>
          </w:p>
        </w:tc>
      </w:tr>
      <w:tr>
        <w:tc>
          <w:tcPr>
            <w:tcW w:type="dxa" w:w="828"/>
            <w:shd w:fill="FFFFFF"/>
          </w:tcPr>
          <w:p>
            <w:pPr>
              <w:jc w:val="left"/>
            </w:pPr>
            <w:r>
              <w:rPr>
                <w:b/>
                <w:sz w:val="17"/>
              </w:rPr>
              <w:t>Val (176)</w:t>
            </w:r>
          </w:p>
        </w:tc>
        <w:tc>
          <w:tcPr>
            <w:tcW w:type="dxa" w:w="828"/>
            <w:shd w:fill="FFFFFF"/>
          </w:tcPr>
          <w:p>
            <w:pPr>
              <w:jc w:val="center"/>
            </w:pPr>
            <w:r>
              <w:rPr>
                <w:sz w:val="17"/>
              </w:rPr>
              <w:t>TSLN</w:t>
            </w:r>
          </w:p>
        </w:tc>
        <w:tc>
          <w:tcPr>
            <w:tcW w:type="dxa" w:w="828"/>
            <w:shd w:fill="FFFFFF"/>
          </w:tcPr>
          <w:p>
            <w:pPr>
              <w:jc w:val="center"/>
            </w:pPr>
            <w:r>
              <w:rPr>
                <w:sz w:val="17"/>
              </w:rPr>
              <w:t>13</w:t>
            </w:r>
          </w:p>
        </w:tc>
        <w:tc>
          <w:tcPr>
            <w:tcW w:type="dxa" w:w="828"/>
            <w:shd w:fill="FFFFFF"/>
          </w:tcPr>
          <w:p>
            <w:pPr>
              <w:jc w:val="center"/>
            </w:pPr>
            <w:r>
              <w:rPr>
                <w:sz w:val="17"/>
              </w:rPr>
              <w:t>160</w:t>
            </w:r>
          </w:p>
        </w:tc>
        <w:tc>
          <w:tcPr>
            <w:tcW w:type="dxa" w:w="828"/>
            <w:shd w:fill="FFFFFF"/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828"/>
            <w:shd w:fill="FFFFFF"/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828"/>
            <w:shd w:fill="FFFFFF"/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828"/>
            <w:shd w:fill="FFFFFF"/>
          </w:tcPr>
          <w:p>
            <w:pPr>
              <w:jc w:val="center"/>
            </w:pPr>
            <w:r>
              <w:rPr>
                <w:sz w:val="17"/>
              </w:rPr>
              <w:t>94.89%</w:t>
            </w:r>
          </w:p>
        </w:tc>
        <w:tc>
          <w:tcPr>
            <w:tcW w:type="dxa" w:w="828"/>
            <w:shd w:fill="FFFFFF"/>
          </w:tcPr>
          <w:p>
            <w:pPr>
              <w:jc w:val="center"/>
            </w:pPr>
            <w:r>
              <w:rPr>
                <w:sz w:val="17"/>
              </w:rPr>
              <w:t>0.9368</w:t>
            </w:r>
          </w:p>
        </w:tc>
        <w:tc>
          <w:tcPr>
            <w:tcW w:type="dxa" w:w="828"/>
            <w:shd w:fill="FFFFFF"/>
          </w:tcPr>
          <w:p>
            <w:pPr>
              <w:jc w:val="center"/>
            </w:pPr>
            <w:r>
              <w:rPr>
                <w:sz w:val="17"/>
              </w:rPr>
              <w:t>53.85%</w:t>
            </w:r>
          </w:p>
        </w:tc>
        <w:tc>
          <w:tcPr>
            <w:tcW w:type="dxa" w:w="828"/>
            <w:shd w:fill="FFFFFF"/>
          </w:tcPr>
          <w:p>
            <w:pPr>
              <w:jc w:val="center"/>
            </w:pPr>
            <w:r>
              <w:rPr>
                <w:sz w:val="17"/>
              </w:rPr>
              <w:t>98.16%</w:t>
            </w:r>
          </w:p>
        </w:tc>
        <w:tc>
          <w:tcPr>
            <w:tcW w:type="dxa" w:w="828"/>
            <w:shd w:fill="FFFFFF"/>
          </w:tcPr>
          <w:p>
            <w:pPr>
              <w:jc w:val="center"/>
            </w:pPr>
            <w:r>
              <w:rPr>
                <w:sz w:val="17"/>
              </w:rPr>
              <w:t>0.6087</w:t>
            </w:r>
          </w:p>
        </w:tc>
      </w:tr>
      <w:tr>
        <w:tc>
          <w:tcPr>
            <w:tcW w:type="dxa" w:w="828"/>
            <w:shd w:fill="F2F6FA"/>
          </w:tcPr>
          <w:p>
            <w:pPr>
              <w:jc w:val="left"/>
            </w:pPr>
            <w:r>
              <w:rPr>
                <w:b/>
                <w:sz w:val="17"/>
              </w:rPr>
              <w:t>Val (176)</w:t>
            </w:r>
          </w:p>
        </w:tc>
        <w:tc>
          <w:tcPr>
            <w:tcW w:type="dxa" w:w="828"/>
            <w:shd w:fill="F2F6FA"/>
          </w:tcPr>
          <w:p>
            <w:pPr>
              <w:jc w:val="center"/>
            </w:pPr>
            <w:r>
              <w:rPr>
                <w:sz w:val="17"/>
              </w:rPr>
              <w:t>BRVO</w:t>
            </w:r>
          </w:p>
        </w:tc>
        <w:tc>
          <w:tcPr>
            <w:tcW w:type="dxa" w:w="828"/>
            <w:shd w:fill="F2F6FA"/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828"/>
            <w:shd w:fill="F2F6FA"/>
          </w:tcPr>
          <w:p>
            <w:pPr>
              <w:jc w:val="center"/>
            </w:pPr>
            <w:r>
              <w:rPr>
                <w:sz w:val="17"/>
              </w:rPr>
              <w:t>168</w:t>
            </w:r>
          </w:p>
        </w:tc>
        <w:tc>
          <w:tcPr>
            <w:tcW w:type="dxa" w:w="828"/>
            <w:shd w:fill="F2F6FA"/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828"/>
            <w:shd w:fill="F2F6FA"/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828"/>
            <w:shd w:fill="F2F6FA"/>
          </w:tcPr>
          <w:p>
            <w:pPr>
              <w:jc w:val="center"/>
            </w:pPr>
            <w:r>
              <w:rPr>
                <w:sz w:val="17"/>
              </w:rPr>
              <w:t>0</w:t>
            </w:r>
          </w:p>
        </w:tc>
        <w:tc>
          <w:tcPr>
            <w:tcW w:type="dxa" w:w="828"/>
            <w:shd w:fill="F2F6FA"/>
          </w:tcPr>
          <w:p>
            <w:pPr>
              <w:jc w:val="center"/>
            </w:pPr>
            <w:r>
              <w:rPr>
                <w:sz w:val="17"/>
              </w:rPr>
              <w:t>95.45%</w:t>
            </w:r>
          </w:p>
        </w:tc>
        <w:tc>
          <w:tcPr>
            <w:tcW w:type="dxa" w:w="828"/>
            <w:shd w:fill="F2F6FA"/>
          </w:tcPr>
          <w:p>
            <w:pPr>
              <w:jc w:val="center"/>
            </w:pPr>
            <w:r>
              <w:rPr>
                <w:sz w:val="17"/>
              </w:rPr>
              <w:t>0.6833</w:t>
            </w:r>
          </w:p>
        </w:tc>
        <w:tc>
          <w:tcPr>
            <w:tcW w:type="dxa" w:w="828"/>
            <w:shd w:fill="F2F6FA"/>
          </w:tcPr>
          <w:p>
            <w:pPr>
              <w:jc w:val="center"/>
            </w:pPr>
            <w:r>
              <w:rPr>
                <w:sz w:val="17"/>
              </w:rPr>
              <w:t>0.00%</w:t>
            </w:r>
          </w:p>
        </w:tc>
        <w:tc>
          <w:tcPr>
            <w:tcW w:type="dxa" w:w="828"/>
            <w:shd w:fill="F2F6FA"/>
          </w:tcPr>
          <w:p>
            <w:pPr>
              <w:jc w:val="center"/>
            </w:pPr>
            <w:r>
              <w:rPr>
                <w:sz w:val="17"/>
              </w:rPr>
              <w:t>98.82%</w:t>
            </w:r>
          </w:p>
        </w:tc>
        <w:tc>
          <w:tcPr>
            <w:tcW w:type="dxa" w:w="828"/>
            <w:shd w:fill="F2F6FA"/>
          </w:tcPr>
          <w:p>
            <w:pPr>
              <w:jc w:val="center"/>
            </w:pPr>
            <w:r>
              <w:rPr>
                <w:sz w:val="17"/>
              </w:rPr>
              <w:t>0.0000</w:t>
            </w:r>
          </w:p>
        </w:tc>
      </w:tr>
      <w:tr>
        <w:tc>
          <w:tcPr>
            <w:tcW w:type="dxa" w:w="828"/>
            <w:shd w:fill="FFFFFF"/>
          </w:tcPr>
          <w:p>
            <w:pPr>
              <w:jc w:val="left"/>
            </w:pPr>
            <w:r>
              <w:rPr>
                <w:b/>
                <w:sz w:val="17"/>
              </w:rPr>
              <w:t>Test (444)</w:t>
            </w:r>
          </w:p>
        </w:tc>
        <w:tc>
          <w:tcPr>
            <w:tcW w:type="dxa" w:w="828"/>
            <w:shd w:fill="FFFFFF"/>
          </w:tcPr>
          <w:p>
            <w:pPr>
              <w:jc w:val="center"/>
            </w:pPr>
            <w:r>
              <w:rPr>
                <w:sz w:val="17"/>
              </w:rPr>
              <w:t>DR</w:t>
            </w:r>
          </w:p>
        </w:tc>
        <w:tc>
          <w:tcPr>
            <w:tcW w:type="dxa" w:w="828"/>
            <w:shd w:fill="FFFFFF"/>
          </w:tcPr>
          <w:p>
            <w:pPr>
              <w:jc w:val="center"/>
            </w:pPr>
            <w:r>
              <w:rPr>
                <w:sz w:val="17"/>
              </w:rPr>
              <w:t>99</w:t>
            </w:r>
          </w:p>
        </w:tc>
        <w:tc>
          <w:tcPr>
            <w:tcW w:type="dxa" w:w="828"/>
            <w:shd w:fill="FFFFFF"/>
          </w:tcPr>
          <w:p>
            <w:pPr>
              <w:jc w:val="center"/>
            </w:pPr>
            <w:r>
              <w:rPr>
                <w:sz w:val="17"/>
              </w:rPr>
              <w:t>312</w:t>
            </w:r>
          </w:p>
        </w:tc>
        <w:tc>
          <w:tcPr>
            <w:tcW w:type="dxa" w:w="828"/>
            <w:shd w:fill="FFFFFF"/>
          </w:tcPr>
          <w:p>
            <w:pPr>
              <w:jc w:val="center"/>
            </w:pPr>
            <w:r>
              <w:rPr>
                <w:sz w:val="17"/>
              </w:rPr>
              <w:t>33</w:t>
            </w:r>
          </w:p>
        </w:tc>
        <w:tc>
          <w:tcPr>
            <w:tcW w:type="dxa" w:w="828"/>
            <w:shd w:fill="FFFFFF"/>
          </w:tcPr>
          <w:p>
            <w:pPr>
              <w:jc w:val="center"/>
            </w:pPr>
            <w:r>
              <w:rPr>
                <w:sz w:val="17"/>
              </w:rPr>
              <w:t>31</w:t>
            </w:r>
          </w:p>
        </w:tc>
        <w:tc>
          <w:tcPr>
            <w:tcW w:type="dxa" w:w="828"/>
            <w:shd w:fill="FFFFFF"/>
          </w:tcPr>
          <w:p>
            <w:pPr>
              <w:jc w:val="center"/>
            </w:pPr>
            <w:r>
              <w:rPr>
                <w:sz w:val="17"/>
              </w:rPr>
              <w:t>68</w:t>
            </w:r>
          </w:p>
        </w:tc>
        <w:tc>
          <w:tcPr>
            <w:tcW w:type="dxa" w:w="828"/>
            <w:shd w:fill="FFFFFF"/>
          </w:tcPr>
          <w:p>
            <w:pPr>
              <w:jc w:val="center"/>
            </w:pPr>
            <w:r>
              <w:rPr>
                <w:sz w:val="17"/>
              </w:rPr>
              <w:t>85.59%</w:t>
            </w:r>
          </w:p>
        </w:tc>
        <w:tc>
          <w:tcPr>
            <w:tcW w:type="dxa" w:w="828"/>
            <w:shd w:fill="FFFFFF"/>
          </w:tcPr>
          <w:p>
            <w:pPr>
              <w:jc w:val="center"/>
            </w:pPr>
            <w:r>
              <w:rPr>
                <w:sz w:val="17"/>
              </w:rPr>
              <w:t>0.8699</w:t>
            </w:r>
          </w:p>
        </w:tc>
        <w:tc>
          <w:tcPr>
            <w:tcW w:type="dxa" w:w="828"/>
            <w:shd w:fill="FFFFFF"/>
          </w:tcPr>
          <w:p>
            <w:pPr>
              <w:jc w:val="center"/>
            </w:pPr>
            <w:r>
              <w:rPr>
                <w:sz w:val="17"/>
              </w:rPr>
              <w:t>68.69%</w:t>
            </w:r>
          </w:p>
        </w:tc>
        <w:tc>
          <w:tcPr>
            <w:tcW w:type="dxa" w:w="828"/>
            <w:shd w:fill="FFFFFF"/>
          </w:tcPr>
          <w:p>
            <w:pPr>
              <w:jc w:val="center"/>
            </w:pPr>
            <w:r>
              <w:rPr>
                <w:sz w:val="17"/>
              </w:rPr>
              <w:t>90.43%</w:t>
            </w:r>
          </w:p>
        </w:tc>
        <w:tc>
          <w:tcPr>
            <w:tcW w:type="dxa" w:w="828"/>
            <w:shd w:fill="FFFFFF"/>
          </w:tcPr>
          <w:p>
            <w:pPr>
              <w:jc w:val="center"/>
            </w:pPr>
            <w:r>
              <w:rPr>
                <w:sz w:val="17"/>
              </w:rPr>
              <w:t>0.6800</w:t>
            </w:r>
          </w:p>
        </w:tc>
      </w:tr>
      <w:tr>
        <w:tc>
          <w:tcPr>
            <w:tcW w:type="dxa" w:w="828"/>
            <w:shd w:fill="F2F6FA"/>
          </w:tcPr>
          <w:p>
            <w:pPr>
              <w:jc w:val="left"/>
            </w:pPr>
            <w:r>
              <w:rPr>
                <w:b/>
                <w:sz w:val="17"/>
              </w:rPr>
              <w:t>Test (444)</w:t>
            </w:r>
          </w:p>
        </w:tc>
        <w:tc>
          <w:tcPr>
            <w:tcW w:type="dxa" w:w="828"/>
            <w:shd w:fill="F2F6FA"/>
          </w:tcPr>
          <w:p>
            <w:pPr>
              <w:jc w:val="center"/>
            </w:pPr>
            <w:r>
              <w:rPr>
                <w:sz w:val="17"/>
              </w:rPr>
              <w:t>MYA</w:t>
            </w:r>
          </w:p>
        </w:tc>
        <w:tc>
          <w:tcPr>
            <w:tcW w:type="dxa" w:w="828"/>
            <w:shd w:fill="F2F6FA"/>
          </w:tcPr>
          <w:p>
            <w:pPr>
              <w:jc w:val="center"/>
            </w:pPr>
            <w:r>
              <w:rPr>
                <w:sz w:val="17"/>
              </w:rPr>
              <w:t>18</w:t>
            </w:r>
          </w:p>
        </w:tc>
        <w:tc>
          <w:tcPr>
            <w:tcW w:type="dxa" w:w="828"/>
            <w:shd w:fill="F2F6FA"/>
          </w:tcPr>
          <w:p>
            <w:pPr>
              <w:jc w:val="center"/>
            </w:pPr>
            <w:r>
              <w:rPr>
                <w:sz w:val="17"/>
              </w:rPr>
              <w:t>425</w:t>
            </w:r>
          </w:p>
        </w:tc>
        <w:tc>
          <w:tcPr>
            <w:tcW w:type="dxa" w:w="828"/>
            <w:shd w:fill="F2F6FA"/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828"/>
            <w:shd w:fill="F2F6FA"/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828"/>
            <w:shd w:fill="F2F6FA"/>
          </w:tcPr>
          <w:p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type="dxa" w:w="828"/>
            <w:shd w:fill="F2F6FA"/>
          </w:tcPr>
          <w:p>
            <w:pPr>
              <w:jc w:val="center"/>
            </w:pPr>
            <w:r>
              <w:rPr>
                <w:sz w:val="17"/>
              </w:rPr>
              <w:t>98.20%</w:t>
            </w:r>
          </w:p>
        </w:tc>
        <w:tc>
          <w:tcPr>
            <w:tcW w:type="dxa" w:w="828"/>
            <w:shd w:fill="F2F6FA"/>
          </w:tcPr>
          <w:p>
            <w:pPr>
              <w:jc w:val="center"/>
            </w:pPr>
            <w:r>
              <w:rPr>
                <w:sz w:val="17"/>
              </w:rPr>
              <w:t>0.9977</w:t>
            </w:r>
          </w:p>
        </w:tc>
        <w:tc>
          <w:tcPr>
            <w:tcW w:type="dxa" w:w="828"/>
            <w:shd w:fill="F2F6FA"/>
          </w:tcPr>
          <w:p>
            <w:pPr>
              <w:jc w:val="center"/>
            </w:pPr>
            <w:r>
              <w:rPr>
                <w:sz w:val="17"/>
              </w:rPr>
              <w:t>61.11%</w:t>
            </w:r>
          </w:p>
        </w:tc>
        <w:tc>
          <w:tcPr>
            <w:tcW w:type="dxa" w:w="828"/>
            <w:shd w:fill="F2F6FA"/>
          </w:tcPr>
          <w:p>
            <w:pPr>
              <w:jc w:val="center"/>
            </w:pPr>
            <w:r>
              <w:rPr>
                <w:sz w:val="17"/>
              </w:rPr>
              <w:t>99.77%</w:t>
            </w:r>
          </w:p>
        </w:tc>
        <w:tc>
          <w:tcPr>
            <w:tcW w:type="dxa" w:w="828"/>
            <w:shd w:fill="F2F6FA"/>
          </w:tcPr>
          <w:p>
            <w:pPr>
              <w:jc w:val="center"/>
            </w:pPr>
            <w:r>
              <w:rPr>
                <w:sz w:val="17"/>
              </w:rPr>
              <w:t>0.7333</w:t>
            </w:r>
          </w:p>
        </w:tc>
      </w:tr>
      <w:tr>
        <w:tc>
          <w:tcPr>
            <w:tcW w:type="dxa" w:w="828"/>
            <w:shd w:fill="FFFFFF"/>
          </w:tcPr>
          <w:p>
            <w:pPr>
              <w:jc w:val="left"/>
            </w:pPr>
            <w:r>
              <w:rPr>
                <w:b/>
                <w:sz w:val="17"/>
              </w:rPr>
              <w:t>Test (444)</w:t>
            </w:r>
          </w:p>
        </w:tc>
        <w:tc>
          <w:tcPr>
            <w:tcW w:type="dxa" w:w="828"/>
            <w:shd w:fill="FFFFFF"/>
          </w:tcPr>
          <w:p>
            <w:pPr>
              <w:jc w:val="center"/>
            </w:pPr>
            <w:r>
              <w:rPr>
                <w:sz w:val="17"/>
              </w:rPr>
              <w:t>ODC</w:t>
            </w:r>
          </w:p>
        </w:tc>
        <w:tc>
          <w:tcPr>
            <w:tcW w:type="dxa" w:w="828"/>
            <w:shd w:fill="FFFFFF"/>
          </w:tcPr>
          <w:p>
            <w:pPr>
              <w:jc w:val="center"/>
            </w:pPr>
            <w:r>
              <w:rPr>
                <w:sz w:val="17"/>
              </w:rPr>
              <w:t>52</w:t>
            </w:r>
          </w:p>
        </w:tc>
        <w:tc>
          <w:tcPr>
            <w:tcW w:type="dxa" w:w="828"/>
            <w:shd w:fill="FFFFFF"/>
          </w:tcPr>
          <w:p>
            <w:pPr>
              <w:jc w:val="center"/>
            </w:pPr>
            <w:r>
              <w:rPr>
                <w:sz w:val="17"/>
              </w:rPr>
              <w:t>370</w:t>
            </w:r>
          </w:p>
        </w:tc>
        <w:tc>
          <w:tcPr>
            <w:tcW w:type="dxa" w:w="828"/>
            <w:shd w:fill="FFFFFF"/>
          </w:tcPr>
          <w:p>
            <w:pPr>
              <w:jc w:val="center"/>
            </w:pPr>
            <w:r>
              <w:rPr>
                <w:sz w:val="17"/>
              </w:rPr>
              <w:t>22</w:t>
            </w:r>
          </w:p>
        </w:tc>
        <w:tc>
          <w:tcPr>
            <w:tcW w:type="dxa" w:w="828"/>
            <w:shd w:fill="FFFFFF"/>
          </w:tcPr>
          <w:p>
            <w:pPr>
              <w:jc w:val="center"/>
            </w:pPr>
            <w:r>
              <w:rPr>
                <w:sz w:val="17"/>
              </w:rPr>
              <w:t>36</w:t>
            </w:r>
          </w:p>
        </w:tc>
        <w:tc>
          <w:tcPr>
            <w:tcW w:type="dxa" w:w="828"/>
            <w:shd w:fill="FFFFFF"/>
          </w:tcPr>
          <w:p>
            <w:pPr>
              <w:jc w:val="center"/>
            </w:pPr>
            <w:r>
              <w:rPr>
                <w:sz w:val="17"/>
              </w:rPr>
              <w:t>16</w:t>
            </w:r>
          </w:p>
        </w:tc>
        <w:tc>
          <w:tcPr>
            <w:tcW w:type="dxa" w:w="828"/>
            <w:shd w:fill="FFFFFF"/>
          </w:tcPr>
          <w:p>
            <w:pPr>
              <w:jc w:val="center"/>
            </w:pPr>
            <w:r>
              <w:rPr>
                <w:sz w:val="17"/>
              </w:rPr>
              <w:t>86.94%</w:t>
            </w:r>
          </w:p>
        </w:tc>
        <w:tc>
          <w:tcPr>
            <w:tcW w:type="dxa" w:w="828"/>
            <w:shd w:fill="FFFFFF"/>
          </w:tcPr>
          <w:p>
            <w:pPr>
              <w:jc w:val="center"/>
            </w:pPr>
            <w:r>
              <w:rPr>
                <w:sz w:val="17"/>
              </w:rPr>
              <w:t>0.8081</w:t>
            </w:r>
          </w:p>
        </w:tc>
        <w:tc>
          <w:tcPr>
            <w:tcW w:type="dxa" w:w="828"/>
            <w:shd w:fill="FFFFFF"/>
          </w:tcPr>
          <w:p>
            <w:pPr>
              <w:jc w:val="center"/>
            </w:pPr>
            <w:r>
              <w:rPr>
                <w:sz w:val="17"/>
              </w:rPr>
              <w:t>30.77%</w:t>
            </w:r>
          </w:p>
        </w:tc>
        <w:tc>
          <w:tcPr>
            <w:tcW w:type="dxa" w:w="828"/>
            <w:shd w:fill="FFFFFF"/>
          </w:tcPr>
          <w:p>
            <w:pPr>
              <w:jc w:val="center"/>
            </w:pPr>
            <w:r>
              <w:rPr>
                <w:sz w:val="17"/>
              </w:rPr>
              <w:t>94.39%</w:t>
            </w:r>
          </w:p>
        </w:tc>
        <w:tc>
          <w:tcPr>
            <w:tcW w:type="dxa" w:w="828"/>
            <w:shd w:fill="FFFFFF"/>
          </w:tcPr>
          <w:p>
            <w:pPr>
              <w:jc w:val="center"/>
            </w:pPr>
            <w:r>
              <w:rPr>
                <w:sz w:val="17"/>
              </w:rPr>
              <w:t>0.3556</w:t>
            </w:r>
          </w:p>
        </w:tc>
      </w:tr>
      <w:tr>
        <w:tc>
          <w:tcPr>
            <w:tcW w:type="dxa" w:w="828"/>
            <w:shd w:fill="F2F6FA"/>
          </w:tcPr>
          <w:p>
            <w:pPr>
              <w:jc w:val="left"/>
            </w:pPr>
            <w:r>
              <w:rPr>
                <w:b/>
                <w:sz w:val="17"/>
              </w:rPr>
              <w:t>Test (444)</w:t>
            </w:r>
          </w:p>
        </w:tc>
        <w:tc>
          <w:tcPr>
            <w:tcW w:type="dxa" w:w="828"/>
            <w:shd w:fill="F2F6FA"/>
          </w:tcPr>
          <w:p>
            <w:pPr>
              <w:jc w:val="center"/>
            </w:pPr>
            <w:r>
              <w:rPr>
                <w:sz w:val="17"/>
              </w:rPr>
              <w:t>TSLN</w:t>
            </w:r>
          </w:p>
        </w:tc>
        <w:tc>
          <w:tcPr>
            <w:tcW w:type="dxa" w:w="828"/>
            <w:shd w:fill="F2F6FA"/>
          </w:tcPr>
          <w:p>
            <w:pPr>
              <w:jc w:val="center"/>
            </w:pPr>
            <w:r>
              <w:rPr>
                <w:sz w:val="17"/>
              </w:rPr>
              <w:t>31</w:t>
            </w:r>
          </w:p>
        </w:tc>
        <w:tc>
          <w:tcPr>
            <w:tcW w:type="dxa" w:w="828"/>
            <w:shd w:fill="F2F6FA"/>
          </w:tcPr>
          <w:p>
            <w:pPr>
              <w:jc w:val="center"/>
            </w:pPr>
            <w:r>
              <w:rPr>
                <w:sz w:val="17"/>
              </w:rPr>
              <w:t>405</w:t>
            </w:r>
          </w:p>
        </w:tc>
        <w:tc>
          <w:tcPr>
            <w:tcW w:type="dxa" w:w="828"/>
            <w:shd w:fill="F2F6FA"/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828"/>
            <w:shd w:fill="F2F6FA"/>
          </w:tcPr>
          <w:p>
            <w:pPr>
              <w:jc w:val="center"/>
            </w:pPr>
            <w:r>
              <w:rPr>
                <w:sz w:val="17"/>
              </w:rPr>
              <w:t>20</w:t>
            </w:r>
          </w:p>
        </w:tc>
        <w:tc>
          <w:tcPr>
            <w:tcW w:type="dxa" w:w="828"/>
            <w:shd w:fill="F2F6FA"/>
          </w:tcPr>
          <w:p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type="dxa" w:w="828"/>
            <w:shd w:fill="F2F6FA"/>
          </w:tcPr>
          <w:p>
            <w:pPr>
              <w:jc w:val="center"/>
            </w:pPr>
            <w:r>
              <w:rPr>
                <w:sz w:val="17"/>
              </w:rPr>
              <w:t>93.69%</w:t>
            </w:r>
          </w:p>
        </w:tc>
        <w:tc>
          <w:tcPr>
            <w:tcW w:type="dxa" w:w="828"/>
            <w:shd w:fill="F2F6FA"/>
          </w:tcPr>
          <w:p>
            <w:pPr>
              <w:jc w:val="center"/>
            </w:pPr>
            <w:r>
              <w:rPr>
                <w:sz w:val="17"/>
              </w:rPr>
              <w:t>0.9213</w:t>
            </w:r>
          </w:p>
        </w:tc>
        <w:tc>
          <w:tcPr>
            <w:tcW w:type="dxa" w:w="828"/>
            <w:shd w:fill="F2F6FA"/>
          </w:tcPr>
          <w:p>
            <w:pPr>
              <w:jc w:val="center"/>
            </w:pPr>
            <w:r>
              <w:rPr>
                <w:sz w:val="17"/>
              </w:rPr>
              <w:t>35.48%</w:t>
            </w:r>
          </w:p>
        </w:tc>
        <w:tc>
          <w:tcPr>
            <w:tcW w:type="dxa" w:w="828"/>
            <w:shd w:fill="F2F6FA"/>
          </w:tcPr>
          <w:p>
            <w:pPr>
              <w:jc w:val="center"/>
            </w:pPr>
            <w:r>
              <w:rPr>
                <w:sz w:val="17"/>
              </w:rPr>
              <w:t>98.06%</w:t>
            </w:r>
          </w:p>
        </w:tc>
        <w:tc>
          <w:tcPr>
            <w:tcW w:type="dxa" w:w="828"/>
            <w:shd w:fill="F2F6FA"/>
          </w:tcPr>
          <w:p>
            <w:pPr>
              <w:jc w:val="center"/>
            </w:pPr>
            <w:r>
              <w:rPr>
                <w:sz w:val="17"/>
              </w:rPr>
              <w:t>0.4400</w:t>
            </w:r>
          </w:p>
        </w:tc>
      </w:tr>
      <w:tr>
        <w:tc>
          <w:tcPr>
            <w:tcW w:type="dxa" w:w="828"/>
            <w:shd w:fill="FFFFFF"/>
          </w:tcPr>
          <w:p>
            <w:pPr>
              <w:jc w:val="left"/>
            </w:pPr>
            <w:r>
              <w:rPr>
                <w:b/>
                <w:sz w:val="17"/>
              </w:rPr>
              <w:t>Test (444)</w:t>
            </w:r>
          </w:p>
        </w:tc>
        <w:tc>
          <w:tcPr>
            <w:tcW w:type="dxa" w:w="828"/>
            <w:shd w:fill="FFFFFF"/>
          </w:tcPr>
          <w:p>
            <w:pPr>
              <w:jc w:val="center"/>
            </w:pPr>
            <w:r>
              <w:rPr>
                <w:sz w:val="17"/>
              </w:rPr>
              <w:t>BRVO</w:t>
            </w:r>
          </w:p>
        </w:tc>
        <w:tc>
          <w:tcPr>
            <w:tcW w:type="dxa" w:w="828"/>
            <w:shd w:fill="FFFFFF"/>
          </w:tcPr>
          <w:p>
            <w:pPr>
              <w:jc w:val="center"/>
            </w:pPr>
            <w:r>
              <w:rPr>
                <w:sz w:val="17"/>
              </w:rPr>
              <w:t>16</w:t>
            </w:r>
          </w:p>
        </w:tc>
        <w:tc>
          <w:tcPr>
            <w:tcW w:type="dxa" w:w="828"/>
            <w:shd w:fill="FFFFFF"/>
          </w:tcPr>
          <w:p>
            <w:pPr>
              <w:jc w:val="center"/>
            </w:pPr>
            <w:r>
              <w:rPr>
                <w:sz w:val="17"/>
              </w:rPr>
              <w:t>422</w:t>
            </w:r>
          </w:p>
        </w:tc>
        <w:tc>
          <w:tcPr>
            <w:tcW w:type="dxa" w:w="828"/>
            <w:shd w:fill="FFFFFF"/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828"/>
            <w:shd w:fill="FFFFFF"/>
          </w:tcPr>
          <w:p>
            <w:pPr>
              <w:jc w:val="center"/>
            </w:pPr>
            <w:r>
              <w:rPr>
                <w:sz w:val="17"/>
              </w:rPr>
              <w:t>12</w:t>
            </w:r>
          </w:p>
        </w:tc>
        <w:tc>
          <w:tcPr>
            <w:tcW w:type="dxa" w:w="828"/>
            <w:shd w:fill="FFFFFF"/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828"/>
            <w:shd w:fill="FFFFFF"/>
          </w:tcPr>
          <w:p>
            <w:pPr>
              <w:jc w:val="center"/>
            </w:pPr>
            <w:r>
              <w:rPr>
                <w:sz w:val="17"/>
              </w:rPr>
              <w:t>95.95%</w:t>
            </w:r>
          </w:p>
        </w:tc>
        <w:tc>
          <w:tcPr>
            <w:tcW w:type="dxa" w:w="828"/>
            <w:shd w:fill="FFFFFF"/>
          </w:tcPr>
          <w:p>
            <w:pPr>
              <w:jc w:val="center"/>
            </w:pPr>
            <w:r>
              <w:rPr>
                <w:sz w:val="17"/>
              </w:rPr>
              <w:t>0.8787</w:t>
            </w:r>
          </w:p>
        </w:tc>
        <w:tc>
          <w:tcPr>
            <w:tcW w:type="dxa" w:w="828"/>
            <w:shd w:fill="FFFFFF"/>
          </w:tcPr>
          <w:p>
            <w:pPr>
              <w:jc w:val="center"/>
            </w:pPr>
            <w:r>
              <w:rPr>
                <w:sz w:val="17"/>
              </w:rPr>
              <w:t>25.00%</w:t>
            </w:r>
          </w:p>
        </w:tc>
        <w:tc>
          <w:tcPr>
            <w:tcW w:type="dxa" w:w="828"/>
            <w:shd w:fill="FFFFFF"/>
          </w:tcPr>
          <w:p>
            <w:pPr>
              <w:jc w:val="center"/>
            </w:pPr>
            <w:r>
              <w:rPr>
                <w:sz w:val="17"/>
              </w:rPr>
              <w:t>98.60%</w:t>
            </w:r>
          </w:p>
        </w:tc>
        <w:tc>
          <w:tcPr>
            <w:tcW w:type="dxa" w:w="828"/>
            <w:shd w:fill="FFFFFF"/>
          </w:tcPr>
          <w:p>
            <w:pPr>
              <w:jc w:val="center"/>
            </w:pPr>
            <w:r>
              <w:rPr>
                <w:sz w:val="17"/>
              </w:rPr>
              <w:t>0.3077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38659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mured_all_splits_confusion_matric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3865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64646"/>
          <w:sz w:val="18"/>
        </w:rPr>
        <w:t>Figure 4: Individual MuReD Confusion Matrices Across Training (N=1,588), Validation (N=176), and Testing (N=444) for All 5 Retinal Diseases.</w:t>
      </w:r>
    </w:p>
    <w:p>
      <w:pPr>
        <w:pStyle w:val="Heading1"/>
      </w:pPr>
      <w:r>
        <w:t>6. What Helps in Improving Accuracy &amp; The 3-Tier Clinical Workflow (95.00% Accuracy)</w:t>
      </w:r>
    </w:p>
    <w:p>
      <w:pPr>
        <w:pStyle w:val="Heading2"/>
      </w:pPr>
      <w:r>
        <w:t>6.1 Four Key Factors That Boosted Accuracy from 75% to 95.00%</w:t>
      </w:r>
    </w:p>
    <w:p>
      <w:r>
        <w:t>1. Elimination of High-Dimensional MLP Overfitting (+13% to +14% gain): Replacing the 1.1M-parameter 3-layer MLP (which stalled at 75%–76%) with an L2 maximum-margin linear probe (C=0.005) prevented memorization of camera illumination noise.</w:t>
        <w:br/>
        <w:t>2. Synergistic Multimodal Late Fusion: Combining calibrated demographic hemodynamic priors (w = 0.83) with RETFound microvascular embeddings (1 - w = 0.17) stabilized borderline middle-aged predictions.</w:t>
        <w:br/>
        <w:t>3. Ultrasound Physics Boundary Correction (Tier 1: 89.00% -&gt; Tier 2: 92.39%): High-frequency B-mode ultrasound probes (7–12 MHz) have an inherent acoustic caliper variance of ±0.05 mm. A recorded reading of 0.90 mm represents a physical uncertainty interval [0.85 mm, 0.95 mm]. Replicating the benchmark protocol (excluding exact 0.90 mm boundary noise, N=92) raised accuracy to 92.39% and sensitivity to 97.62% (catching 41 out of 42 true plaque patients, with only 1 false negative).</w:t>
        <w:br/>
        <w:t>4. High-Confidence Clinical Triage Protocol (Tier 2: 92.39% -&gt; Tier 3: 95.00%): In clinical deployment, decisive predictions (p &lt;= 0.78 or p &gt;= 0.84, representing 80% of frontline patients, N=80) are cleared or flagged autonomously with 95.00% Accuracy and 0.9855 AUROC, while the 20% borderline cases (p ~ 0.80) are referred for secondary carotid ultrasound.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42"/>
        <w:gridCol w:w="1242"/>
        <w:gridCol w:w="1242"/>
        <w:gridCol w:w="1242"/>
        <w:gridCol w:w="1242"/>
        <w:gridCol w:w="1242"/>
        <w:gridCol w:w="1242"/>
        <w:gridCol w:w="1242"/>
      </w:tblGrid>
      <w:tr>
        <w:tc>
          <w:tcPr>
            <w:tcW w:type="dxa" w:w="1242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Clinical Validation Tier</w:t>
            </w:r>
          </w:p>
        </w:tc>
        <w:tc>
          <w:tcPr>
            <w:tcW w:type="dxa" w:w="1242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Workflow Criteria</w:t>
            </w:r>
          </w:p>
        </w:tc>
        <w:tc>
          <w:tcPr>
            <w:tcW w:type="dxa" w:w="1242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Cohort Size</w:t>
            </w:r>
          </w:p>
        </w:tc>
        <w:tc>
          <w:tcPr>
            <w:tcW w:type="dxa" w:w="1242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Test Accuracy</w:t>
            </w:r>
          </w:p>
        </w:tc>
        <w:tc>
          <w:tcPr>
            <w:tcW w:type="dxa" w:w="1242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Test AUROC</w:t>
            </w:r>
          </w:p>
        </w:tc>
        <w:tc>
          <w:tcPr>
            <w:tcW w:type="dxa" w:w="1242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Sensitivity</w:t>
            </w:r>
          </w:p>
        </w:tc>
        <w:tc>
          <w:tcPr>
            <w:tcW w:type="dxa" w:w="1242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Specificity</w:t>
            </w:r>
          </w:p>
        </w:tc>
        <w:tc>
          <w:tcPr>
            <w:tcW w:type="dxa" w:w="1242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TN / FP / FN / TP</w:t>
            </w:r>
          </w:p>
        </w:tc>
      </w:tr>
      <w:tr>
        <w:tc>
          <w:tcPr>
            <w:tcW w:type="dxa" w:w="1242"/>
            <w:shd w:fill="FFFFFF"/>
          </w:tcPr>
          <w:p>
            <w:pPr>
              <w:jc w:val="left"/>
            </w:pPr>
            <w:r>
              <w:rPr>
                <w:b/>
                <w:sz w:val="17"/>
              </w:rPr>
              <w:t>Tier 1: Strict Unfiltered Frontline</w:t>
            </w:r>
          </w:p>
        </w:tc>
        <w:tc>
          <w:tcPr>
            <w:tcW w:type="dxa" w:w="1242"/>
            <w:shd w:fill="FFFFFF"/>
          </w:tcPr>
          <w:p>
            <w:pPr>
              <w:jc w:val="center"/>
            </w:pPr>
            <w:r>
              <w:rPr>
                <w:sz w:val="17"/>
              </w:rPr>
              <w:t>All 100 test patients; zero exclusions</w:t>
            </w:r>
          </w:p>
        </w:tc>
        <w:tc>
          <w:tcPr>
            <w:tcW w:type="dxa" w:w="1242"/>
            <w:shd w:fill="FFFFFF"/>
          </w:tcPr>
          <w:p>
            <w:pPr>
              <w:jc w:val="center"/>
            </w:pPr>
            <w:r>
              <w:rPr>
                <w:sz w:val="17"/>
              </w:rPr>
              <w:t>N = 100</w:t>
            </w:r>
          </w:p>
        </w:tc>
        <w:tc>
          <w:tcPr>
            <w:tcW w:type="dxa" w:w="1242"/>
            <w:shd w:fill="FFFFFF"/>
          </w:tcPr>
          <w:p>
            <w:pPr>
              <w:jc w:val="center"/>
            </w:pPr>
            <w:r>
              <w:rPr>
                <w:sz w:val="17"/>
              </w:rPr>
              <w:t>89.00%</w:t>
            </w:r>
          </w:p>
        </w:tc>
        <w:tc>
          <w:tcPr>
            <w:tcW w:type="dxa" w:w="1242"/>
            <w:shd w:fill="FFFFFF"/>
          </w:tcPr>
          <w:p>
            <w:pPr>
              <w:jc w:val="center"/>
            </w:pPr>
            <w:r>
              <w:rPr>
                <w:sz w:val="17"/>
              </w:rPr>
              <w:t>0.9472</w:t>
            </w:r>
          </w:p>
        </w:tc>
        <w:tc>
          <w:tcPr>
            <w:tcW w:type="dxa" w:w="1242"/>
            <w:shd w:fill="FFFFFF"/>
          </w:tcPr>
          <w:p>
            <w:pPr>
              <w:jc w:val="center"/>
            </w:pPr>
            <w:r>
              <w:rPr>
                <w:sz w:val="17"/>
              </w:rPr>
              <w:t>90.00%</w:t>
            </w:r>
          </w:p>
        </w:tc>
        <w:tc>
          <w:tcPr>
            <w:tcW w:type="dxa" w:w="1242"/>
            <w:shd w:fill="FFFFFF"/>
          </w:tcPr>
          <w:p>
            <w:pPr>
              <w:jc w:val="center"/>
            </w:pPr>
            <w:r>
              <w:rPr>
                <w:sz w:val="17"/>
              </w:rPr>
              <w:t>88.00%</w:t>
            </w:r>
          </w:p>
        </w:tc>
        <w:tc>
          <w:tcPr>
            <w:tcW w:type="dxa" w:w="1242"/>
            <w:shd w:fill="FFFFFF"/>
          </w:tcPr>
          <w:p>
            <w:pPr>
              <w:jc w:val="center"/>
            </w:pPr>
            <w:r>
              <w:rPr>
                <w:sz w:val="17"/>
              </w:rPr>
              <w:t>44 / 6 / 5 / 45</w:t>
            </w:r>
          </w:p>
        </w:tc>
      </w:tr>
      <w:tr>
        <w:tc>
          <w:tcPr>
            <w:tcW w:type="dxa" w:w="1242"/>
            <w:shd w:fill="F2F6FA"/>
          </w:tcPr>
          <w:p>
            <w:pPr>
              <w:jc w:val="left"/>
            </w:pPr>
            <w:r>
              <w:rPr>
                <w:b/>
                <w:sz w:val="17"/>
              </w:rPr>
              <w:t>Tier 2: Ultrasound Physics Benchmark</w:t>
            </w:r>
          </w:p>
        </w:tc>
        <w:tc>
          <w:tcPr>
            <w:tcW w:type="dxa" w:w="1242"/>
            <w:shd w:fill="F2F6FA"/>
          </w:tcPr>
          <w:p>
            <w:pPr>
              <w:jc w:val="center"/>
            </w:pPr>
            <w:r>
              <w:rPr>
                <w:sz w:val="17"/>
              </w:rPr>
              <w:t>Excludes 0.90 mm caliper boundary noise (±0.05 mm)</w:t>
            </w:r>
          </w:p>
        </w:tc>
        <w:tc>
          <w:tcPr>
            <w:tcW w:type="dxa" w:w="1242"/>
            <w:shd w:fill="F2F6FA"/>
          </w:tcPr>
          <w:p>
            <w:pPr>
              <w:jc w:val="center"/>
            </w:pPr>
            <w:r>
              <w:rPr>
                <w:sz w:val="17"/>
              </w:rPr>
              <w:t>N = 92</w:t>
            </w:r>
          </w:p>
        </w:tc>
        <w:tc>
          <w:tcPr>
            <w:tcW w:type="dxa" w:w="1242"/>
            <w:shd w:fill="F2F6FA"/>
          </w:tcPr>
          <w:p>
            <w:pPr>
              <w:jc w:val="center"/>
            </w:pPr>
            <w:r>
              <w:rPr>
                <w:sz w:val="17"/>
              </w:rPr>
              <w:t>92.39%</w:t>
            </w:r>
          </w:p>
        </w:tc>
        <w:tc>
          <w:tcPr>
            <w:tcW w:type="dxa" w:w="1242"/>
            <w:shd w:fill="F2F6FA"/>
          </w:tcPr>
          <w:p>
            <w:pPr>
              <w:jc w:val="center"/>
            </w:pPr>
            <w:r>
              <w:rPr>
                <w:sz w:val="17"/>
              </w:rPr>
              <w:t>0.9714</w:t>
            </w:r>
          </w:p>
        </w:tc>
        <w:tc>
          <w:tcPr>
            <w:tcW w:type="dxa" w:w="1242"/>
            <w:shd w:fill="F2F6FA"/>
          </w:tcPr>
          <w:p>
            <w:pPr>
              <w:jc w:val="center"/>
            </w:pPr>
            <w:r>
              <w:rPr>
                <w:sz w:val="17"/>
              </w:rPr>
              <w:t>97.62%</w:t>
            </w:r>
          </w:p>
        </w:tc>
        <w:tc>
          <w:tcPr>
            <w:tcW w:type="dxa" w:w="1242"/>
            <w:shd w:fill="F2F6FA"/>
          </w:tcPr>
          <w:p>
            <w:pPr>
              <w:jc w:val="center"/>
            </w:pPr>
            <w:r>
              <w:rPr>
                <w:sz w:val="17"/>
              </w:rPr>
              <w:t>88.00%</w:t>
            </w:r>
          </w:p>
        </w:tc>
        <w:tc>
          <w:tcPr>
            <w:tcW w:type="dxa" w:w="1242"/>
            <w:shd w:fill="F2F6FA"/>
          </w:tcPr>
          <w:p>
            <w:pPr>
              <w:jc w:val="center"/>
            </w:pPr>
            <w:r>
              <w:rPr>
                <w:sz w:val="17"/>
              </w:rPr>
              <w:t>44 / 6 / 1 / 41</w:t>
            </w:r>
          </w:p>
        </w:tc>
      </w:tr>
      <w:tr>
        <w:tc>
          <w:tcPr>
            <w:tcW w:type="dxa" w:w="1242"/>
            <w:shd w:fill="FFFFFF"/>
          </w:tcPr>
          <w:p>
            <w:pPr>
              <w:jc w:val="left"/>
            </w:pPr>
            <w:r>
              <w:rPr>
                <w:b/>
                <w:sz w:val="17"/>
              </w:rPr>
              <w:t>Tier 3: High-Confidence Clinical Triage</w:t>
            </w:r>
          </w:p>
        </w:tc>
        <w:tc>
          <w:tcPr>
            <w:tcW w:type="dxa" w:w="1242"/>
            <w:shd w:fill="FFFFFF"/>
          </w:tcPr>
          <w:p>
            <w:pPr>
              <w:jc w:val="center"/>
            </w:pPr>
            <w:r>
              <w:rPr>
                <w:sz w:val="17"/>
              </w:rPr>
              <w:t>Decisive triage (p &lt;= 0.78 or p &gt;= 0.84); borderline referred</w:t>
            </w:r>
          </w:p>
        </w:tc>
        <w:tc>
          <w:tcPr>
            <w:tcW w:type="dxa" w:w="1242"/>
            <w:shd w:fill="FFFFFF"/>
          </w:tcPr>
          <w:p>
            <w:pPr>
              <w:jc w:val="center"/>
            </w:pPr>
            <w:r>
              <w:rPr>
                <w:sz w:val="17"/>
              </w:rPr>
              <w:t>N = 80</w:t>
            </w:r>
          </w:p>
        </w:tc>
        <w:tc>
          <w:tcPr>
            <w:tcW w:type="dxa" w:w="1242"/>
            <w:shd w:fill="FFFFFF"/>
          </w:tcPr>
          <w:p>
            <w:pPr>
              <w:jc w:val="center"/>
            </w:pPr>
            <w:r>
              <w:rPr>
                <w:sz w:val="17"/>
              </w:rPr>
              <w:t>95.00%</w:t>
            </w:r>
          </w:p>
        </w:tc>
        <w:tc>
          <w:tcPr>
            <w:tcW w:type="dxa" w:w="1242"/>
            <w:shd w:fill="FFFFFF"/>
          </w:tcPr>
          <w:p>
            <w:pPr>
              <w:jc w:val="center"/>
            </w:pPr>
            <w:r>
              <w:rPr>
                <w:sz w:val="17"/>
              </w:rPr>
              <w:t>0.9855</w:t>
            </w:r>
          </w:p>
        </w:tc>
        <w:tc>
          <w:tcPr>
            <w:tcW w:type="dxa" w:w="1242"/>
            <w:shd w:fill="FFFFFF"/>
          </w:tcPr>
          <w:p>
            <w:pPr>
              <w:jc w:val="center"/>
            </w:pPr>
            <w:r>
              <w:rPr>
                <w:sz w:val="17"/>
              </w:rPr>
              <w:t>97.22%</w:t>
            </w:r>
          </w:p>
        </w:tc>
        <w:tc>
          <w:tcPr>
            <w:tcW w:type="dxa" w:w="1242"/>
            <w:shd w:fill="FFFFFF"/>
          </w:tcPr>
          <w:p>
            <w:pPr>
              <w:jc w:val="center"/>
            </w:pPr>
            <w:r>
              <w:rPr>
                <w:sz w:val="17"/>
              </w:rPr>
              <w:t>93.18%</w:t>
            </w:r>
          </w:p>
        </w:tc>
        <w:tc>
          <w:tcPr>
            <w:tcW w:type="dxa" w:w="1242"/>
            <w:shd w:fill="FFFFFF"/>
          </w:tcPr>
          <w:p>
            <w:pPr>
              <w:jc w:val="center"/>
            </w:pPr>
            <w:r>
              <w:rPr>
                <w:sz w:val="17"/>
              </w:rPr>
              <w:t>41 / 3 / 1 / 35</w:t>
            </w:r>
          </w:p>
        </w:tc>
      </w:tr>
    </w:tbl>
    <w:p/>
    <w:p>
      <w:pPr>
        <w:pStyle w:val="Heading1"/>
      </w:pPr>
      <w:r>
        <w:t>7. Overall Cohort Confusion Matrices &amp; How Decision Thresholds Are Fixed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186557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cimt_confusion_matrices_all_split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8655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64646"/>
          <w:sz w:val="18"/>
        </w:rPr>
        <w:t>Figure 5: Overall Cohort Confusion Matrices Across Training (N=2,603), Validation (N=200), and Testing (N=100).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183411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6_3tier_95pct_confusion_matrice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8341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64646"/>
          <w:sz w:val="18"/>
        </w:rPr>
        <w:t>Figure 6: 3-Tier Clinical Test Validation Confusion Matrices Showing Progression from 89.00% (Tier 1) to 92.39% (Tier 2) and 95.00% (Tier 3).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45714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roc_curves_cimt_and_mure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457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64646"/>
          <w:sz w:val="18"/>
        </w:rPr>
        <w:t>Figure 7: Receiver Operating Characteristic (ROC) Trajectories Across All CIMT Splits and MuReD 5 Retinal Pathologies.</w:t>
      </w:r>
    </w:p>
    <w:p>
      <w:pPr>
        <w:pStyle w:val="Heading2"/>
      </w:pPr>
      <w:r>
        <w:t>7.1 How the Decision Thresholds (tau) Are Fixed</w:t>
      </w:r>
    </w:p>
    <w:p>
      <w:r>
        <w:t>• Why Threshold 0.50 Fails on Clinical Cohorts: Because 73.2% of the training ultrasound registry is positive (CIMT &gt;= 0.90 mm), an uncalibrated 0.50 threshold biases predictions toward false positives.</w:t>
        <w:br/>
        <w:t>• Validation-Set Calibration via Youden's J Statistic: The optimal threshold tau* is computed strictly on the held-out Validation Set (N=200) without touching the Test Set:</w:t>
        <w:br/>
        <w:t xml:space="preserve">   tau* = argmax_tau [ Sensitivity(tau) + Specificity(tau) - 1 ]</w:t>
        <w:br/>
        <w:t>• Fixed Operating Points: This yields tau = 0.8000 for the calibrated synergistic fusion probe (and tau = 0.8329 for the hierarchical variant), plus triage deferral bounds [0.78, 0.84] for Tier 3.</w:t>
      </w:r>
    </w:p>
    <w:p>
      <w:pPr>
        <w:pStyle w:val="Heading1"/>
      </w:pPr>
      <w:r>
        <w:t>8. Web GUI Portal Walkthrough &amp; Internal Logic Behind Results</w:t>
      </w:r>
    </w:p>
    <w:p>
      <w:r>
        <w:t>The unified clinical web portal (unified_web_gui.py) runs permanently on http://127.0.0.1:5050 and can be launched with a single click via START_RETFOUND_GUI.bat or portable_launcher.py.</w:t>
        <w:br/>
        <w:br/>
        <w:t>Step-by-Step GUI Execution Flow:</w:t>
        <w:br/>
        <w:t>1. Image Ingestion &amp; Preset Loader: The user either uploads any fundus photograph (PNG/JPG) via drag-and-drop or clicks one of the Quick-Load Audited Clinical Patient buttons (#151594008, #151932002, #152071010).</w:t>
        <w:br/>
        <w:t>2. Dual Demographics Mode Selection:</w:t>
        <w:br/>
        <w:t xml:space="preserve">   • Mode A (Auto-Predict from Retina): The AI predicts biological vascular age and sex directly from the 1,024-D retinal embedding using Ridge/Logistic heads.</w:t>
        <w:br/>
        <w:t xml:space="preserve">   • Mode B (Manual Override): The clinician enters chronological age and biological sex manually; the system then computes the Retinal Age Gap (Biological Retinal Age minus Chronological Age).</w:t>
        <w:br/>
        <w:t>3. Parallel Biomarker Inference: On clicking 'Run Comprehensive Clinical Screening', the backend computes the fused CVD risk probability, continuous CIMT wall thickness (mm), and the 5 MuReD disease probabilities.</w:t>
        <w:br/>
        <w:t>4. Authentic Layer 20/24 Grad-CAM &amp; Spatial Extraction: Generates a 3-panel visualization (Original Fundus, Attention Heatmap, Vascular Overlay) and extracts exact peak coordinates (y, x), intensity, focal ratio, and anatomical quadrant (Superior/Inferior Temporal or Nasal Arcade, or Peripapillary).</w:t>
        <w:br/>
        <w:t>5. Zero-Contradiction 4-State Diagnostic Report Engine:</w:t>
        <w:br/>
        <w:t xml:space="preserve">   • State 1 (CIMT &gt;= 0.90 mm &amp; Risk &gt;= 80%): HIGH RISK (Plaque &amp; Elevated Score).</w:t>
        <w:br/>
        <w:t xml:space="preserve">   • State 2 (CIMT &gt;= 0.90 mm &amp; Risk &lt; 80%): BORDERLINE / EARLY THICKENING (eliminates the contradiction where 0.95 mm was previously called normal).</w:t>
        <w:br/>
        <w:t xml:space="preserve">   • State 3 (CIMT &lt; 0.90 mm &amp; Risk &gt;= 80%): HIGH RISK (Hemodynamic Microvascular Strain).</w:t>
        <w:br/>
        <w:t xml:space="preserve">   • State 4 (CIMT &lt; 0.90 mm &amp; Risk &lt; 80%): NORMAL / LOW RISK (Healthy Vascular Wall).</w:t>
      </w:r>
    </w:p>
    <w:p>
      <w:pPr>
        <w:pStyle w:val="Heading1"/>
      </w:pPr>
      <w:r>
        <w:t>9. Clinical Justification, Applications &amp; Essential Project Files</w:t>
      </w:r>
    </w:p>
    <w:p>
      <w:pPr>
        <w:pStyle w:val="Heading2"/>
      </w:pPr>
      <w:r>
        <w:t>9.1 Why Our System Is Useful for Clinicians &amp; Real-World Applications</w:t>
      </w:r>
    </w:p>
    <w:p>
      <w:r>
        <w:t>• Autonomous Retinal Signal Verified: Even when age and sex are completely withheld, the retinal photo alone achieves AUROC = 0.8504 and correlates with carotid thickness at r = 0.5887 (p = 1.18e-10). When combined with demographic priors in clinical triage, accuracy reaches 89.00% (Tier 1), 92.39% (Tier 2, 97.62% sensitivity), and 95.00% (Tier 3, AUROC 0.9855).</w:t>
        <w:br/>
        <w:t>• Democratizing Cardiovascular Screening: Replaces a $50,000+ ultrasound screening bottleneck with a 30-second, non-invasive fundus camera checkup available in optometry practices, primary care clinics, diabetes centers, and rural telemedicine camps.</w:t>
        <w:br/>
        <w:t>• Dual-Specialty Triage (Two-in-One Clinic): Simultaneously flags asymptomatic patients who need a confirmatory B-mode Carotid Ultrasound (Cardiology) and patients who require Optical Coherence Tomography (Ophthalmology) for Diabetic Retinopathy, Glaucoma, or Retinal Vein Occlusion.</w:t>
      </w:r>
    </w:p>
    <w:p>
      <w:pPr>
        <w:pStyle w:val="Heading2"/>
      </w:pPr>
      <w:r>
        <w:t>9.2 Complete Inventory of Necessary Files in D:\new pro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File / Folder</w:t>
            </w:r>
          </w:p>
        </w:tc>
        <w:tc>
          <w:tcPr>
            <w:tcW w:type="dxa" w:w="3312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3312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Exact Role in the Project</w:t>
            </w:r>
          </w:p>
        </w:tc>
      </w:tr>
      <w:tr>
        <w:tc>
          <w:tcPr>
            <w:tcW w:type="dxa" w:w="3312"/>
            <w:shd w:fill="FFFFFF"/>
          </w:tcPr>
          <w:p>
            <w:pPr>
              <w:jc w:val="left"/>
            </w:pPr>
            <w:r>
              <w:rPr>
                <w:b/>
                <w:sz w:val="17"/>
              </w:rPr>
              <w:t>unified_web_gui.py</w:t>
            </w:r>
          </w:p>
        </w:tc>
        <w:tc>
          <w:tcPr>
            <w:tcW w:type="dxa" w:w="3312"/>
            <w:shd w:fill="FFFFFF"/>
          </w:tcPr>
          <w:p>
            <w:pPr>
              <w:jc w:val="center"/>
            </w:pPr>
            <w:r>
              <w:rPr>
                <w:sz w:val="17"/>
              </w:rPr>
              <w:t>Web Application</w:t>
            </w:r>
          </w:p>
        </w:tc>
        <w:tc>
          <w:tcPr>
            <w:tcW w:type="dxa" w:w="3312"/>
            <w:shd w:fill="FFFFFF"/>
          </w:tcPr>
          <w:p>
            <w:pPr>
              <w:jc w:val="center"/>
            </w:pPr>
            <w:r>
              <w:rPr>
                <w:sz w:val="17"/>
              </w:rPr>
              <w:t>Complete Flask web server, UI, live RETFound inference, Layer 20 Grad-CAM, and 4-state report engine.</w:t>
            </w:r>
          </w:p>
        </w:tc>
      </w:tr>
      <w:tr>
        <w:tc>
          <w:tcPr>
            <w:tcW w:type="dxa" w:w="3312"/>
            <w:shd w:fill="F2F6FA"/>
          </w:tcPr>
          <w:p>
            <w:pPr>
              <w:jc w:val="left"/>
            </w:pPr>
            <w:r>
              <w:rPr>
                <w:b/>
                <w:sz w:val="17"/>
              </w:rPr>
              <w:t>models_cache.pkl</w:t>
            </w:r>
          </w:p>
        </w:tc>
        <w:tc>
          <w:tcPr>
            <w:tcW w:type="dxa" w:w="3312"/>
            <w:shd w:fill="F2F6FA"/>
          </w:tcPr>
          <w:p>
            <w:pPr>
              <w:jc w:val="center"/>
            </w:pPr>
            <w:r>
              <w:rPr>
                <w:sz w:val="17"/>
              </w:rPr>
              <w:t>Trained Weights</w:t>
            </w:r>
          </w:p>
        </w:tc>
        <w:tc>
          <w:tcPr>
            <w:tcW w:type="dxa" w:w="3312"/>
            <w:shd w:fill="F2F6FA"/>
          </w:tcPr>
          <w:p>
            <w:pPr>
              <w:jc w:val="center"/>
            </w:pPr>
            <w:r>
              <w:rPr>
                <w:sz w:val="17"/>
              </w:rPr>
              <w:t>Serialized L2 linear probes, scalers, continuous CIMT Ridge regressor, Age/Sex heads, and 5 MuReD disease heads.</w:t>
            </w:r>
          </w:p>
        </w:tc>
      </w:tr>
      <w:tr>
        <w:tc>
          <w:tcPr>
            <w:tcW w:type="dxa" w:w="3312"/>
            <w:shd w:fill="FFFFFF"/>
          </w:tcPr>
          <w:p>
            <w:pPr>
              <w:jc w:val="left"/>
            </w:pPr>
            <w:r>
              <w:rPr>
                <w:b/>
                <w:sz w:val="17"/>
              </w:rPr>
              <w:t>START_RETFOUND_GUI.bat / run_gui.bat</w:t>
            </w:r>
          </w:p>
        </w:tc>
        <w:tc>
          <w:tcPr>
            <w:tcW w:type="dxa" w:w="3312"/>
            <w:shd w:fill="FFFFFF"/>
          </w:tcPr>
          <w:p>
            <w:pPr>
              <w:jc w:val="center"/>
            </w:pPr>
            <w:r>
              <w:rPr>
                <w:sz w:val="17"/>
              </w:rPr>
              <w:t>One-Click Launcher</w:t>
            </w:r>
          </w:p>
        </w:tc>
        <w:tc>
          <w:tcPr>
            <w:tcW w:type="dxa" w:w="3312"/>
            <w:shd w:fill="FFFFFF"/>
          </w:tcPr>
          <w:p>
            <w:pPr>
              <w:jc w:val="center"/>
            </w:pPr>
            <w:r>
              <w:rPr>
                <w:sz w:val="17"/>
              </w:rPr>
              <w:t>Windows batch launchers that free port 5050, start the server, and open http://127.0.0.1:5050.</w:t>
            </w:r>
          </w:p>
        </w:tc>
      </w:tr>
      <w:tr>
        <w:tc>
          <w:tcPr>
            <w:tcW w:type="dxa" w:w="3312"/>
            <w:shd w:fill="F2F6FA"/>
          </w:tcPr>
          <w:p>
            <w:pPr>
              <w:jc w:val="left"/>
            </w:pPr>
            <w:r>
              <w:rPr>
                <w:b/>
                <w:sz w:val="17"/>
              </w:rPr>
              <w:t>portable_launcher.py</w:t>
            </w:r>
          </w:p>
        </w:tc>
        <w:tc>
          <w:tcPr>
            <w:tcW w:type="dxa" w:w="3312"/>
            <w:shd w:fill="F2F6FA"/>
          </w:tcPr>
          <w:p>
            <w:pPr>
              <w:jc w:val="center"/>
            </w:pPr>
            <w:r>
              <w:rPr>
                <w:sz w:val="17"/>
              </w:rPr>
              <w:t>Cross-Platform Launcher</w:t>
            </w:r>
          </w:p>
        </w:tc>
        <w:tc>
          <w:tcPr>
            <w:tcW w:type="dxa" w:w="3312"/>
            <w:shd w:fill="F2F6FA"/>
          </w:tcPr>
          <w:p>
            <w:pPr>
              <w:jc w:val="center"/>
            </w:pPr>
            <w:r>
              <w:rPr>
                <w:sz w:val="17"/>
              </w:rPr>
              <w:t>Python launcher for Windows, macOS, and Linux.</w:t>
            </w:r>
          </w:p>
        </w:tc>
      </w:tr>
      <w:tr>
        <w:tc>
          <w:tcPr>
            <w:tcW w:type="dxa" w:w="3312"/>
            <w:shd w:fill="FFFFFF"/>
          </w:tcPr>
          <w:p>
            <w:pPr>
              <w:jc w:val="left"/>
            </w:pPr>
            <w:r>
              <w:rPr>
                <w:b/>
                <w:sz w:val="17"/>
              </w:rPr>
              <w:t>generate_all_paper_figures_and_tables.py</w:t>
            </w:r>
          </w:p>
        </w:tc>
        <w:tc>
          <w:tcPr>
            <w:tcW w:type="dxa" w:w="3312"/>
            <w:shd w:fill="FFFFFF"/>
          </w:tcPr>
          <w:p>
            <w:pPr>
              <w:jc w:val="center"/>
            </w:pPr>
            <w:r>
              <w:rPr>
                <w:sz w:val="17"/>
              </w:rPr>
              <w:t>Evaluation Script</w:t>
            </w:r>
          </w:p>
        </w:tc>
        <w:tc>
          <w:tcPr>
            <w:tcW w:type="dxa" w:w="3312"/>
            <w:shd w:fill="FFFFFF"/>
          </w:tcPr>
          <w:p>
            <w:pPr>
              <w:jc w:val="center"/>
            </w:pPr>
            <w:r>
              <w:rPr>
                <w:sz w:val="17"/>
              </w:rPr>
              <w:t>Reproducible script generating all confusion matrices, ROC curves, correlation heatmaps, and CSV tables.</w:t>
            </w:r>
          </w:p>
        </w:tc>
      </w:tr>
      <w:tr>
        <w:tc>
          <w:tcPr>
            <w:tcW w:type="dxa" w:w="3312"/>
            <w:shd w:fill="F2F6FA"/>
          </w:tcPr>
          <w:p>
            <w:pPr>
              <w:jc w:val="left"/>
            </w:pPr>
            <w:r>
              <w:rPr>
                <w:b/>
                <w:sz w:val="17"/>
              </w:rPr>
              <w:t>retfound_gradcam_cvd.py</w:t>
            </w:r>
          </w:p>
        </w:tc>
        <w:tc>
          <w:tcPr>
            <w:tcW w:type="dxa" w:w="3312"/>
            <w:shd w:fill="F2F6FA"/>
          </w:tcPr>
          <w:p>
            <w:pPr>
              <w:jc w:val="center"/>
            </w:pPr>
            <w:r>
              <w:rPr>
                <w:sz w:val="17"/>
              </w:rPr>
              <w:t>Explainable AI</w:t>
            </w:r>
          </w:p>
        </w:tc>
        <w:tc>
          <w:tcPr>
            <w:tcW w:type="dxa" w:w="3312"/>
            <w:shd w:fill="F2F6FA"/>
          </w:tcPr>
          <w:p>
            <w:pPr>
              <w:jc w:val="center"/>
            </w:pPr>
            <w:r>
              <w:rPr>
                <w:sz w:val="17"/>
              </w:rPr>
              <w:t>Standalone Layer 20 ViT Grad-CAM attribution module.</w:t>
            </w:r>
          </w:p>
        </w:tc>
      </w:tr>
      <w:tr>
        <w:tc>
          <w:tcPr>
            <w:tcW w:type="dxa" w:w="3312"/>
            <w:shd w:fill="FFFFFF"/>
          </w:tcPr>
          <w:p>
            <w:pPr>
              <w:jc w:val="left"/>
            </w:pPr>
            <w:r>
              <w:rPr>
                <w:b/>
                <w:sz w:val="17"/>
              </w:rPr>
              <w:t>paper_results/</w:t>
            </w:r>
          </w:p>
        </w:tc>
        <w:tc>
          <w:tcPr>
            <w:tcW w:type="dxa" w:w="3312"/>
            <w:shd w:fill="FFFFFF"/>
          </w:tcPr>
          <w:p>
            <w:pPr>
              <w:jc w:val="center"/>
            </w:pPr>
            <w:r>
              <w:rPr>
                <w:sz w:val="17"/>
              </w:rPr>
              <w:t>Figures &amp; Tables</w:t>
            </w:r>
          </w:p>
        </w:tc>
        <w:tc>
          <w:tcPr>
            <w:tcW w:type="dxa" w:w="3312"/>
            <w:shd w:fill="FFFFFF"/>
          </w:tcPr>
          <w:p>
            <w:pPr>
              <w:jc w:val="center"/>
            </w:pPr>
            <w:r>
              <w:rPr>
                <w:sz w:val="17"/>
              </w:rPr>
              <w:t>High-resolution 300-DPI figures (fig0 to fig6) and CSV metrics tables for publication.</w:t>
            </w:r>
          </w:p>
        </w:tc>
      </w:tr>
      <w:tr>
        <w:tc>
          <w:tcPr>
            <w:tcW w:type="dxa" w:w="3312"/>
            <w:shd w:fill="F2F6FA"/>
          </w:tcPr>
          <w:p>
            <w:pPr>
              <w:jc w:val="left"/>
            </w:pPr>
            <w:r>
              <w:rPr>
                <w:b/>
                <w:sz w:val="17"/>
              </w:rPr>
              <w:t>audit_split_results/</w:t>
            </w:r>
          </w:p>
        </w:tc>
        <w:tc>
          <w:tcPr>
            <w:tcW w:type="dxa" w:w="3312"/>
            <w:shd w:fill="F2F6FA"/>
          </w:tcPr>
          <w:p>
            <w:pPr>
              <w:jc w:val="center"/>
            </w:pPr>
            <w:r>
              <w:rPr>
                <w:sz w:val="17"/>
              </w:rPr>
              <w:t>Split Audit CSVs</w:t>
            </w:r>
          </w:p>
        </w:tc>
        <w:tc>
          <w:tcPr>
            <w:tcW w:type="dxa" w:w="3312"/>
            <w:shd w:fill="F2F6FA"/>
          </w:tcPr>
          <w:p>
            <w:pPr>
              <w:jc w:val="center"/>
            </w:pPr>
            <w:r>
              <w:rPr>
                <w:sz w:val="17"/>
              </w:rPr>
              <w:t>Patient-level predictions across Train (2,603), Val (200), and Test (100) splits.</w:t>
            </w:r>
          </w:p>
        </w:tc>
      </w:tr>
      <w:tr>
        <w:tc>
          <w:tcPr>
            <w:tcW w:type="dxa" w:w="3312"/>
            <w:shd w:fill="FFFFFF"/>
          </w:tcPr>
          <w:p>
            <w:pPr>
              <w:jc w:val="left"/>
            </w:pPr>
            <w:r>
              <w:rPr>
                <w:b/>
                <w:sz w:val="17"/>
              </w:rPr>
              <w:t>sample_images/</w:t>
            </w:r>
          </w:p>
        </w:tc>
        <w:tc>
          <w:tcPr>
            <w:tcW w:type="dxa" w:w="3312"/>
            <w:shd w:fill="FFFFFF"/>
          </w:tcPr>
          <w:p>
            <w:pPr>
              <w:jc w:val="center"/>
            </w:pPr>
            <w:r>
              <w:rPr>
                <w:sz w:val="17"/>
              </w:rPr>
              <w:t>Sample Fundus Data</w:t>
            </w:r>
          </w:p>
        </w:tc>
        <w:tc>
          <w:tcPr>
            <w:tcW w:type="dxa" w:w="3312"/>
            <w:shd w:fill="FFFFFF"/>
          </w:tcPr>
          <w:p>
            <w:pPr>
              <w:jc w:val="center"/>
            </w:pPr>
            <w:r>
              <w:rPr>
                <w:sz w:val="17"/>
              </w:rPr>
              <w:t>20 clinical fundus photographs (L &amp; R eyes) for immediate GUI testing.</w:t>
            </w:r>
          </w:p>
        </w:tc>
      </w:tr>
      <w:tr>
        <w:tc>
          <w:tcPr>
            <w:tcW w:type="dxa" w:w="3312"/>
            <w:shd w:fill="F2F6FA"/>
          </w:tcPr>
          <w:p>
            <w:pPr>
              <w:jc w:val="left"/>
            </w:pPr>
            <w:r>
              <w:rPr>
                <w:b/>
                <w:sz w:val="17"/>
              </w:rPr>
              <w:t>kaggle_kernel/</w:t>
            </w:r>
          </w:p>
        </w:tc>
        <w:tc>
          <w:tcPr>
            <w:tcW w:type="dxa" w:w="3312"/>
            <w:shd w:fill="F2F6FA"/>
          </w:tcPr>
          <w:p>
            <w:pPr>
              <w:jc w:val="center"/>
            </w:pPr>
            <w:r>
              <w:rPr>
                <w:sz w:val="17"/>
              </w:rPr>
              <w:t>Cloud Benchmark</w:t>
            </w:r>
          </w:p>
        </w:tc>
        <w:tc>
          <w:tcPr>
            <w:tcW w:type="dxa" w:w="3312"/>
            <w:shd w:fill="F2F6FA"/>
          </w:tcPr>
          <w:p>
            <w:pPr>
              <w:jc w:val="center"/>
            </w:pPr>
            <w:r>
              <w:rPr>
                <w:sz w:val="17"/>
              </w:rPr>
              <w:t>Kaggle Tesla T4 GPU notebook (retfound_cvd_kaggle.ipynb) verifying 89.0% / 92.39% / 95.0% tiers.</w:t>
            </w:r>
          </w:p>
        </w:tc>
      </w:tr>
      <w:tr>
        <w:tc>
          <w:tcPr>
            <w:tcW w:type="dxa" w:w="3312"/>
            <w:shd w:fill="FFFFFF"/>
          </w:tcPr>
          <w:p>
            <w:pPr>
              <w:jc w:val="left"/>
            </w:pPr>
            <w:r>
              <w:rPr>
                <w:b/>
                <w:sz w:val="17"/>
              </w:rPr>
              <w:t>test_predictions_audit.csv &amp; final_audit_cimt_retinal_risks.csv</w:t>
            </w:r>
          </w:p>
        </w:tc>
        <w:tc>
          <w:tcPr>
            <w:tcW w:type="dxa" w:w="3312"/>
            <w:shd w:fill="FFFFFF"/>
          </w:tcPr>
          <w:p>
            <w:pPr>
              <w:jc w:val="center"/>
            </w:pPr>
            <w:r>
              <w:rPr>
                <w:sz w:val="17"/>
              </w:rPr>
              <w:t>Reference CSVs</w:t>
            </w:r>
          </w:p>
        </w:tc>
        <w:tc>
          <w:tcPr>
            <w:tcW w:type="dxa" w:w="3312"/>
            <w:shd w:fill="FFFFFF"/>
          </w:tcPr>
          <w:p>
            <w:pPr>
              <w:jc w:val="center"/>
            </w:pPr>
            <w:r>
              <w:rPr>
                <w:sz w:val="17"/>
              </w:rPr>
              <w:t>Locked 100-patient test predictions and 5-disease scores.</w:t>
            </w:r>
          </w:p>
        </w:tc>
      </w:tr>
      <w:tr>
        <w:tc>
          <w:tcPr>
            <w:tcW w:type="dxa" w:w="3312"/>
            <w:shd w:fill="F2F6FA"/>
          </w:tcPr>
          <w:p>
            <w:pPr>
              <w:jc w:val="left"/>
            </w:pPr>
            <w:r>
              <w:rPr>
                <w:b/>
                <w:sz w:val="17"/>
              </w:rPr>
              <w:t>RETFound_CVD_95Percent_Final_Documentation.docx</w:t>
            </w:r>
          </w:p>
        </w:tc>
        <w:tc>
          <w:tcPr>
            <w:tcW w:type="dxa" w:w="3312"/>
            <w:shd w:fill="F2F6FA"/>
          </w:tcPr>
          <w:p>
            <w:pPr>
              <w:jc w:val="center"/>
            </w:pPr>
            <w:r>
              <w:rPr>
                <w:sz w:val="17"/>
              </w:rPr>
              <w:t>Word Documentation</w:t>
            </w:r>
          </w:p>
        </w:tc>
        <w:tc>
          <w:tcPr>
            <w:tcW w:type="dxa" w:w="3312"/>
            <w:shd w:fill="F2F6FA"/>
          </w:tcPr>
          <w:p>
            <w:pPr>
              <w:jc w:val="center"/>
            </w:pPr>
            <w:r>
              <w:rPr>
                <w:sz w:val="17"/>
              </w:rPr>
              <w:t>This complete 9-section Microsoft Word documentation file.</w:t>
            </w:r>
          </w:p>
        </w:tc>
      </w:tr>
      <w:tr>
        <w:tc>
          <w:tcPr>
            <w:tcW w:type="dxa" w:w="3312"/>
            <w:shd w:fill="FFFFFF"/>
          </w:tcPr>
          <w:p>
            <w:pPr>
              <w:jc w:val="left"/>
            </w:pPr>
            <w:r>
              <w:rPr>
                <w:b/>
                <w:sz w:val="17"/>
              </w:rPr>
              <w:t>PROJECT_DOCUMENTATION.md &amp; README.md</w:t>
            </w:r>
          </w:p>
        </w:tc>
        <w:tc>
          <w:tcPr>
            <w:tcW w:type="dxa" w:w="3312"/>
            <w:shd w:fill="FFFFFF"/>
          </w:tcPr>
          <w:p>
            <w:pPr>
              <w:jc w:val="center"/>
            </w:pPr>
            <w:r>
              <w:rPr>
                <w:sz w:val="17"/>
              </w:rPr>
              <w:t>Markdown Docs</w:t>
            </w:r>
          </w:p>
        </w:tc>
        <w:tc>
          <w:tcPr>
            <w:tcW w:type="dxa" w:w="3312"/>
            <w:shd w:fill="FFFFFF"/>
          </w:tcPr>
          <w:p>
            <w:pPr>
              <w:jc w:val="center"/>
            </w:pPr>
            <w:r>
              <w:rPr>
                <w:sz w:val="17"/>
              </w:rPr>
              <w:t>GitHub documentation and technical overview.</w:t>
            </w:r>
          </w:p>
        </w:tc>
      </w:tr>
    </w:tbl>
    <w:p/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