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4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3-month senior-developer engagement at GEBHARDT Fördertechnik (German materials-handling automation), delivering C# / .NET Core features within their existing GitLab + YouTrack workflow.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eManager — Element Logic’s flagship warehouse-automation platform — across more than five years. Delivered features in C# / Akka.NET / Blazor across REST and GraphQL APIs. Initiated and lead Element Logic’s Security Champions Guild — the company’s internal security-governance program — driving secure-coding practices across the development organization.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6-month senior-developer engagement at ABB on a cloud-native stack: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01/2018 – 04/2019</w:t>
      </w:r>
    </w:p>
    <w:p>
      <w:pPr>
        <w:pStyle w:val="BodyText"/>
      </w:pPr>
      <w:r>
        <w:t xml:space="preserve">In-house architect responsible for technical planning and quality assurance of customer proposals — including bids to Skatteetaten (Norwegian Tax Authority) and Helsedirektoratet (Directorate of Health), two of Norway’s largest public-sector IT clients. Owned pre-sales architecture decisions across C#/.NET, Episerver CMS, ASP.NET MVC and SQL Server.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2"/>
    <w:bookmarkStart w:id="13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3"/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Current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2026-05-08T15:26:44Z</dcterms:created>
  <dcterms:modified xsi:type="dcterms:W3CDTF">2026-05-08T15:26:44Z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