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6B4AE" w14:textId="34822DA8" w:rsidR="006A08E1" w:rsidRPr="005E580E" w:rsidRDefault="006A08E1" w:rsidP="005E580E">
      <w:pPr>
        <w:rPr>
          <w:b/>
          <w:sz w:val="22"/>
          <w:szCs w:val="22"/>
        </w:rPr>
      </w:pPr>
      <w:r w:rsidRPr="005E580E">
        <w:rPr>
          <w:b/>
          <w:sz w:val="22"/>
          <w:szCs w:val="22"/>
        </w:rPr>
        <w:t>Method.</w:t>
      </w:r>
    </w:p>
    <w:p w14:paraId="03B92CDC" w14:textId="4AFC8070" w:rsidR="002D3E2C" w:rsidRDefault="006A08E1" w:rsidP="005E580E">
      <w:pPr>
        <w:rPr>
          <w:sz w:val="22"/>
          <w:szCs w:val="22"/>
        </w:rPr>
      </w:pPr>
      <w:r w:rsidRPr="00894B5E">
        <w:rPr>
          <w:i/>
          <w:iCs/>
          <w:sz w:val="22"/>
          <w:szCs w:val="22"/>
        </w:rPr>
        <w:t>Participants.</w:t>
      </w:r>
      <w:r w:rsidR="00894B5E">
        <w:rPr>
          <w:i/>
          <w:iCs/>
          <w:sz w:val="22"/>
          <w:szCs w:val="22"/>
        </w:rPr>
        <w:t xml:space="preserve"> </w:t>
      </w:r>
      <w:r w:rsidRPr="005E580E">
        <w:rPr>
          <w:sz w:val="22"/>
          <w:szCs w:val="22"/>
        </w:rPr>
        <w:t>Twenty adults</w:t>
      </w:r>
      <w:r w:rsidR="002D3E2C">
        <w:rPr>
          <w:sz w:val="22"/>
          <w:szCs w:val="22"/>
        </w:rPr>
        <w:t xml:space="preserve"> (mean age: 28 </w:t>
      </w:r>
      <w:r w:rsidR="002D3E2C">
        <w:rPr>
          <w:rFonts w:cstheme="minorHAnsi"/>
          <w:sz w:val="22"/>
          <w:szCs w:val="22"/>
        </w:rPr>
        <w:t>± 2.5, range: 18 – 62 years)</w:t>
      </w:r>
      <w:r w:rsidR="002D3E2C">
        <w:rPr>
          <w:sz w:val="22"/>
          <w:szCs w:val="22"/>
        </w:rPr>
        <w:t xml:space="preserve"> </w:t>
      </w:r>
      <w:r w:rsidRPr="005E580E">
        <w:rPr>
          <w:sz w:val="22"/>
          <w:szCs w:val="22"/>
        </w:rPr>
        <w:t xml:space="preserve">with normal or corrected-to-normal vision </w:t>
      </w:r>
      <w:r w:rsidR="005E580E" w:rsidRPr="005E580E">
        <w:rPr>
          <w:sz w:val="22"/>
          <w:szCs w:val="22"/>
        </w:rPr>
        <w:t xml:space="preserve">and </w:t>
      </w:r>
      <w:r w:rsidR="002D3E2C">
        <w:rPr>
          <w:sz w:val="22"/>
          <w:szCs w:val="22"/>
        </w:rPr>
        <w:t>no</w:t>
      </w:r>
      <w:r w:rsidRPr="005E580E">
        <w:rPr>
          <w:sz w:val="22"/>
          <w:szCs w:val="22"/>
        </w:rPr>
        <w:t xml:space="preserve"> ocular pathologies </w:t>
      </w:r>
      <w:r w:rsidR="005E580E">
        <w:rPr>
          <w:sz w:val="22"/>
          <w:szCs w:val="22"/>
        </w:rPr>
        <w:t>participated</w:t>
      </w:r>
      <w:r w:rsidRPr="005E580E">
        <w:rPr>
          <w:sz w:val="22"/>
          <w:szCs w:val="22"/>
        </w:rPr>
        <w:t xml:space="preserve"> the training study.</w:t>
      </w:r>
      <w:r w:rsidR="002D3E2C">
        <w:rPr>
          <w:sz w:val="22"/>
          <w:szCs w:val="22"/>
        </w:rPr>
        <w:t xml:space="preserve"> All participants completed 40 hours of training </w:t>
      </w:r>
      <w:proofErr w:type="gramStart"/>
      <w:r w:rsidR="002D3E2C">
        <w:rPr>
          <w:sz w:val="22"/>
          <w:szCs w:val="22"/>
        </w:rPr>
        <w:t>with the exception of</w:t>
      </w:r>
      <w:proofErr w:type="gramEnd"/>
      <w:r w:rsidR="002D3E2C">
        <w:rPr>
          <w:sz w:val="22"/>
          <w:szCs w:val="22"/>
        </w:rPr>
        <w:t xml:space="preserve"> DL and AJ who completed 20 hours total. Participants were recruited by telephone from the</w:t>
      </w:r>
      <w:r w:rsidR="002D3E2C">
        <w:rPr>
          <w:sz w:val="22"/>
          <w:szCs w:val="22"/>
        </w:rPr>
        <w:t xml:space="preserve"> </w:t>
      </w:r>
      <w:r w:rsidR="002D3E2C" w:rsidRPr="005E580E">
        <w:rPr>
          <w:sz w:val="22"/>
          <w:szCs w:val="22"/>
        </w:rPr>
        <w:t>Meredith W. Morgan University Eye Center</w:t>
      </w:r>
      <w:r w:rsidR="002D3E2C">
        <w:rPr>
          <w:sz w:val="22"/>
          <w:szCs w:val="22"/>
        </w:rPr>
        <w:t>’s</w:t>
      </w:r>
      <w:r w:rsidR="002D3E2C" w:rsidRPr="005E580E">
        <w:rPr>
          <w:sz w:val="22"/>
          <w:szCs w:val="22"/>
        </w:rPr>
        <w:t xml:space="preserve"> internal list of patients who</w:t>
      </w:r>
      <w:r w:rsidR="002D3E2C">
        <w:rPr>
          <w:sz w:val="22"/>
          <w:szCs w:val="22"/>
        </w:rPr>
        <w:t xml:space="preserve"> gave written consent to be contacted for research studies and through internal UC Berkeley email list serves</w:t>
      </w:r>
      <w:r w:rsidR="002D3E2C">
        <w:rPr>
          <w:sz w:val="22"/>
          <w:szCs w:val="22"/>
        </w:rPr>
        <w:t xml:space="preserve">. </w:t>
      </w:r>
      <w:r w:rsidR="002D3E2C" w:rsidRPr="005E580E">
        <w:rPr>
          <w:sz w:val="22"/>
          <w:szCs w:val="22"/>
        </w:rPr>
        <w:t xml:space="preserve">The </w:t>
      </w:r>
      <w:r w:rsidR="00894B5E">
        <w:rPr>
          <w:sz w:val="22"/>
          <w:szCs w:val="22"/>
        </w:rPr>
        <w:t>study protocol</w:t>
      </w:r>
      <w:r w:rsidR="002D3E2C" w:rsidRPr="005E580E">
        <w:rPr>
          <w:sz w:val="22"/>
          <w:szCs w:val="22"/>
        </w:rPr>
        <w:t xml:space="preserve"> was approved by the Institutional Review Board of the University of California, Berkeley.</w:t>
      </w:r>
    </w:p>
    <w:p w14:paraId="53D83808" w14:textId="28EA619A" w:rsidR="00894B5E" w:rsidRDefault="00894B5E" w:rsidP="005E580E">
      <w:pPr>
        <w:rPr>
          <w:sz w:val="22"/>
          <w:szCs w:val="22"/>
        </w:rPr>
      </w:pPr>
    </w:p>
    <w:p w14:paraId="42AF0A7E" w14:textId="50324A6E" w:rsidR="00894B5E" w:rsidRPr="00894B5E" w:rsidRDefault="00894B5E" w:rsidP="005E580E">
      <w:pPr>
        <w:rPr>
          <w:i/>
          <w:iCs/>
          <w:sz w:val="22"/>
          <w:szCs w:val="22"/>
        </w:rPr>
      </w:pPr>
      <w:r>
        <w:rPr>
          <w:sz w:val="22"/>
          <w:szCs w:val="22"/>
        </w:rPr>
        <w:t xml:space="preserve">Exclusion criteria for the study included: (1) </w:t>
      </w:r>
      <w:r w:rsidRPr="005E580E">
        <w:rPr>
          <w:sz w:val="22"/>
          <w:szCs w:val="22"/>
        </w:rPr>
        <w:t>ocular pathologies</w:t>
      </w:r>
      <w:r>
        <w:rPr>
          <w:sz w:val="22"/>
          <w:szCs w:val="22"/>
        </w:rPr>
        <w:t xml:space="preserve"> (e.g., macular abnormalities) or nystagmus</w:t>
      </w:r>
      <w:r w:rsidRPr="005E580E">
        <w:rPr>
          <w:sz w:val="22"/>
          <w:szCs w:val="22"/>
        </w:rPr>
        <w:t>,</w:t>
      </w:r>
      <w:r>
        <w:rPr>
          <w:sz w:val="22"/>
          <w:szCs w:val="22"/>
        </w:rPr>
        <w:t xml:space="preserve"> (2) non-concomitant or large angle constant strabismus (&gt; 30 prism diopter), (3) </w:t>
      </w:r>
      <w:r w:rsidRPr="005E580E">
        <w:rPr>
          <w:sz w:val="22"/>
          <w:szCs w:val="22"/>
        </w:rPr>
        <w:t>inability to fuse,</w:t>
      </w:r>
      <w:r>
        <w:rPr>
          <w:sz w:val="22"/>
          <w:szCs w:val="22"/>
        </w:rPr>
        <w:t xml:space="preserve"> (4)</w:t>
      </w:r>
      <w:r w:rsidRPr="005E580E">
        <w:rPr>
          <w:sz w:val="22"/>
          <w:szCs w:val="22"/>
        </w:rPr>
        <w:t xml:space="preserve"> constant esotropia </w:t>
      </w:r>
      <w:r>
        <w:rPr>
          <w:sz w:val="22"/>
          <w:szCs w:val="22"/>
        </w:rPr>
        <w:t xml:space="preserve">(&gt; </w:t>
      </w:r>
      <w:r w:rsidRPr="005E580E">
        <w:rPr>
          <w:sz w:val="22"/>
          <w:szCs w:val="22"/>
        </w:rPr>
        <w:t>20 prism diopters</w:t>
      </w:r>
      <w:r>
        <w:rPr>
          <w:sz w:val="22"/>
          <w:szCs w:val="22"/>
        </w:rPr>
        <w:t xml:space="preserve">), (5) visual acuity (VA) </w:t>
      </w:r>
      <w:r>
        <w:rPr>
          <w:rFonts w:cstheme="minorHAnsi"/>
          <w:sz w:val="22"/>
          <w:szCs w:val="22"/>
        </w:rPr>
        <w:t>≥</w:t>
      </w:r>
      <w:r>
        <w:rPr>
          <w:sz w:val="22"/>
          <w:szCs w:val="22"/>
        </w:rPr>
        <w:t xml:space="preserve"> 20/200, and (6) </w:t>
      </w:r>
      <w:r w:rsidRPr="005E580E">
        <w:rPr>
          <w:sz w:val="22"/>
          <w:szCs w:val="22"/>
        </w:rPr>
        <w:t>dichoptic visual training of more than 10 hours</w:t>
      </w:r>
      <w:r>
        <w:rPr>
          <w:sz w:val="22"/>
          <w:szCs w:val="22"/>
        </w:rPr>
        <w:t>.</w:t>
      </w:r>
    </w:p>
    <w:p w14:paraId="1AF4247F" w14:textId="2328CB1E" w:rsidR="008A10B1" w:rsidRDefault="008A10B1" w:rsidP="005E580E">
      <w:pPr>
        <w:rPr>
          <w:sz w:val="22"/>
          <w:szCs w:val="22"/>
        </w:rPr>
      </w:pPr>
    </w:p>
    <w:p w14:paraId="3E35DEFD" w14:textId="2F863719" w:rsidR="008A10B1" w:rsidRDefault="008A10B1" w:rsidP="005E580E">
      <w:pPr>
        <w:rPr>
          <w:sz w:val="22"/>
          <w:szCs w:val="22"/>
        </w:rPr>
      </w:pPr>
      <w:r w:rsidRPr="00894B5E">
        <w:rPr>
          <w:i/>
          <w:iCs/>
          <w:sz w:val="22"/>
          <w:szCs w:val="22"/>
        </w:rPr>
        <w:t>Screening.</w:t>
      </w:r>
      <w:r w:rsidR="00894B5E">
        <w:rPr>
          <w:sz w:val="22"/>
          <w:szCs w:val="22"/>
        </w:rPr>
        <w:t xml:space="preserve"> </w:t>
      </w:r>
      <w:r>
        <w:rPr>
          <w:sz w:val="22"/>
          <w:szCs w:val="22"/>
        </w:rPr>
        <w:t xml:space="preserve">All participants were screened by a </w:t>
      </w:r>
      <w:r>
        <w:rPr>
          <w:sz w:val="22"/>
          <w:szCs w:val="22"/>
        </w:rPr>
        <w:t xml:space="preserve">UC Berkeley </w:t>
      </w:r>
      <w:r>
        <w:rPr>
          <w:sz w:val="22"/>
          <w:szCs w:val="22"/>
        </w:rPr>
        <w:t xml:space="preserve">Optometry student before and after the study. Measurements collected include: (1) </w:t>
      </w:r>
      <w:r w:rsidR="005A72E3">
        <w:rPr>
          <w:sz w:val="22"/>
          <w:szCs w:val="22"/>
        </w:rPr>
        <w:t>visual acuity,</w:t>
      </w:r>
      <w:r>
        <w:rPr>
          <w:sz w:val="22"/>
          <w:szCs w:val="22"/>
        </w:rPr>
        <w:t xml:space="preserve"> (2) current prescription, (3) refraction at distance, (4) clinical stereoacuity (</w:t>
      </w:r>
      <w:proofErr w:type="spellStart"/>
      <w:r>
        <w:rPr>
          <w:sz w:val="22"/>
          <w:szCs w:val="22"/>
        </w:rPr>
        <w:t>Randot</w:t>
      </w:r>
      <w:proofErr w:type="spellEnd"/>
      <w:r>
        <w:rPr>
          <w:sz w:val="22"/>
          <w:szCs w:val="22"/>
        </w:rPr>
        <w:t xml:space="preserve">), (5) ocular deviation (cover test), (6) binocular fusion (Worth Dot), and (7) retinal health. Participants were categorized as </w:t>
      </w:r>
      <w:proofErr w:type="spellStart"/>
      <w:r>
        <w:rPr>
          <w:sz w:val="22"/>
          <w:szCs w:val="22"/>
        </w:rPr>
        <w:t>anisometropic</w:t>
      </w:r>
      <w:proofErr w:type="spellEnd"/>
      <w:r>
        <w:rPr>
          <w:sz w:val="22"/>
          <w:szCs w:val="22"/>
        </w:rPr>
        <w:t xml:space="preserve"> if there was a difference </w:t>
      </w:r>
      <w:r>
        <w:rPr>
          <w:rFonts w:cstheme="minorHAnsi"/>
          <w:sz w:val="22"/>
          <w:szCs w:val="22"/>
        </w:rPr>
        <w:t>≥</w:t>
      </w:r>
      <w:r>
        <w:rPr>
          <w:sz w:val="22"/>
          <w:szCs w:val="22"/>
        </w:rPr>
        <w:t xml:space="preserve"> 0.50D in spherical equivalent refraction or </w:t>
      </w:r>
      <w:r>
        <w:rPr>
          <w:rFonts w:cstheme="minorHAnsi"/>
          <w:sz w:val="22"/>
          <w:szCs w:val="22"/>
        </w:rPr>
        <w:t>≥</w:t>
      </w:r>
      <w:r>
        <w:rPr>
          <w:sz w:val="22"/>
          <w:szCs w:val="22"/>
        </w:rPr>
        <w:t xml:space="preserve"> 1.5D difference in astigmatism in any meridian, between the two eyes (Wallace et al., 2011). Strabismus was classified by</w:t>
      </w:r>
      <w:r w:rsidR="00894B5E">
        <w:rPr>
          <w:sz w:val="22"/>
          <w:szCs w:val="22"/>
        </w:rPr>
        <w:t xml:space="preserve"> a presence of tropia with</w:t>
      </w:r>
      <w:r>
        <w:rPr>
          <w:sz w:val="22"/>
          <w:szCs w:val="22"/>
        </w:rPr>
        <w:t xml:space="preserve"> the cover test. Clinical details of each participants can be found in Table 1.</w:t>
      </w:r>
      <w:r w:rsidR="00894B5E">
        <w:rPr>
          <w:sz w:val="22"/>
          <w:szCs w:val="22"/>
        </w:rPr>
        <w:t xml:space="preserve"> </w:t>
      </w:r>
    </w:p>
    <w:p w14:paraId="43BDE7EF" w14:textId="77777777" w:rsidR="008A10B1" w:rsidRDefault="008A10B1" w:rsidP="005E580E">
      <w:pPr>
        <w:rPr>
          <w:sz w:val="22"/>
          <w:szCs w:val="22"/>
        </w:rPr>
      </w:pPr>
    </w:p>
    <w:p w14:paraId="3A564723" w14:textId="1A24F08A" w:rsidR="005A72E3" w:rsidRDefault="008A10B1" w:rsidP="005E580E">
      <w:pPr>
        <w:rPr>
          <w:sz w:val="22"/>
          <w:szCs w:val="22"/>
        </w:rPr>
      </w:pPr>
      <w:r w:rsidRPr="00894B5E">
        <w:rPr>
          <w:i/>
          <w:iCs/>
          <w:sz w:val="22"/>
          <w:szCs w:val="22"/>
        </w:rPr>
        <w:t>Study design</w:t>
      </w:r>
      <w:r w:rsidR="00894B5E">
        <w:rPr>
          <w:i/>
          <w:iCs/>
          <w:sz w:val="22"/>
          <w:szCs w:val="22"/>
        </w:rPr>
        <w:t xml:space="preserve"> and training</w:t>
      </w:r>
      <w:r w:rsidRPr="00894B5E">
        <w:rPr>
          <w:i/>
          <w:iCs/>
          <w:sz w:val="22"/>
          <w:szCs w:val="22"/>
        </w:rPr>
        <w:t>.</w:t>
      </w:r>
      <w:r w:rsidR="00894B5E">
        <w:rPr>
          <w:sz w:val="22"/>
          <w:szCs w:val="22"/>
        </w:rPr>
        <w:t xml:space="preserve"> </w:t>
      </w:r>
      <w:r w:rsidR="005A72E3">
        <w:rPr>
          <w:sz w:val="22"/>
          <w:szCs w:val="22"/>
        </w:rPr>
        <w:t>Following consent and screening, eligible participants were placed in either the stereo-normal or stereo-anomalous group</w:t>
      </w:r>
      <w:r w:rsidR="00894B5E">
        <w:rPr>
          <w:sz w:val="22"/>
          <w:szCs w:val="22"/>
        </w:rPr>
        <w:t xml:space="preserve"> based on their initial </w:t>
      </w:r>
      <w:proofErr w:type="spellStart"/>
      <w:r w:rsidR="00894B5E">
        <w:rPr>
          <w:sz w:val="22"/>
          <w:szCs w:val="22"/>
        </w:rPr>
        <w:t>Randot</w:t>
      </w:r>
      <w:proofErr w:type="spellEnd"/>
      <w:r w:rsidR="00894B5E">
        <w:rPr>
          <w:sz w:val="22"/>
          <w:szCs w:val="22"/>
        </w:rPr>
        <w:t xml:space="preserve"> stereoacuity measurement. </w:t>
      </w:r>
      <w:r w:rsidR="00894B5E" w:rsidRPr="005E580E">
        <w:rPr>
          <w:sz w:val="22"/>
          <w:szCs w:val="22"/>
        </w:rPr>
        <w:t>Inclusion</w:t>
      </w:r>
      <w:r w:rsidR="00894B5E">
        <w:rPr>
          <w:sz w:val="22"/>
          <w:szCs w:val="22"/>
        </w:rPr>
        <w:t xml:space="preserve"> criteria</w:t>
      </w:r>
      <w:r w:rsidR="00894B5E" w:rsidRPr="005E580E">
        <w:rPr>
          <w:sz w:val="22"/>
          <w:szCs w:val="22"/>
        </w:rPr>
        <w:t xml:space="preserve"> for the stereo-anomalous group included a clinical baseline stereoacuity </w:t>
      </w:r>
      <w:r w:rsidR="00894B5E">
        <w:rPr>
          <w:sz w:val="22"/>
          <w:szCs w:val="22"/>
        </w:rPr>
        <w:t xml:space="preserve">worse than </w:t>
      </w:r>
      <w:r w:rsidR="00894B5E" w:rsidRPr="005E580E">
        <w:rPr>
          <w:sz w:val="22"/>
          <w:szCs w:val="22"/>
        </w:rPr>
        <w:t>40</w:t>
      </w:r>
      <w:r w:rsidR="00894B5E">
        <w:rPr>
          <w:sz w:val="22"/>
          <w:szCs w:val="22"/>
        </w:rPr>
        <w:t xml:space="preserve"> arc</w:t>
      </w:r>
      <w:r w:rsidR="00894B5E" w:rsidRPr="005E580E">
        <w:rPr>
          <w:sz w:val="22"/>
          <w:szCs w:val="22"/>
        </w:rPr>
        <w:t xml:space="preserve"> secs.</w:t>
      </w:r>
      <w:r w:rsidR="00894B5E">
        <w:rPr>
          <w:sz w:val="22"/>
          <w:szCs w:val="22"/>
        </w:rPr>
        <w:t xml:space="preserve"> Once placed in a group, participants completed a series of tests to measure contrast sensitivity and stereoacuity. </w:t>
      </w:r>
      <w:r w:rsidR="005A72E3">
        <w:rPr>
          <w:sz w:val="22"/>
          <w:szCs w:val="22"/>
        </w:rPr>
        <w:t>For contrast sensitivity, we used the quick CSF method (Hou et al., 2016)</w:t>
      </w:r>
      <w:r w:rsidR="00894B5E">
        <w:rPr>
          <w:sz w:val="22"/>
          <w:szCs w:val="22"/>
        </w:rPr>
        <w:t xml:space="preserve"> displayed on a 46” NEC LCD monitor (model p463) with a resolution of 1920 x 1080 and a contrast ratio of 4,000:1. </w:t>
      </w:r>
      <w:r w:rsidR="005A72E3">
        <w:rPr>
          <w:sz w:val="22"/>
          <w:szCs w:val="22"/>
        </w:rPr>
        <w:t xml:space="preserve"> </w:t>
      </w:r>
    </w:p>
    <w:p w14:paraId="5CBFCF88" w14:textId="45898D31" w:rsidR="00894B5E" w:rsidRDefault="00894B5E" w:rsidP="005E580E">
      <w:pPr>
        <w:rPr>
          <w:sz w:val="22"/>
          <w:szCs w:val="22"/>
        </w:rPr>
      </w:pPr>
    </w:p>
    <w:p w14:paraId="19D8E8C4" w14:textId="21164332" w:rsidR="00894B5E" w:rsidRDefault="00894B5E" w:rsidP="00894B5E">
      <w:pPr>
        <w:rPr>
          <w:sz w:val="22"/>
          <w:szCs w:val="22"/>
        </w:rPr>
      </w:pPr>
      <w:r>
        <w:rPr>
          <w:sz w:val="22"/>
          <w:szCs w:val="22"/>
        </w:rPr>
        <w:t>To measure</w:t>
      </w:r>
      <w:r>
        <w:rPr>
          <w:sz w:val="22"/>
          <w:szCs w:val="22"/>
        </w:rPr>
        <w:t xml:space="preserve">, we administered both clinical and psychophysical tests. For </w:t>
      </w:r>
      <w:r>
        <w:rPr>
          <w:sz w:val="22"/>
          <w:szCs w:val="22"/>
        </w:rPr>
        <w:t xml:space="preserve">a </w:t>
      </w:r>
      <w:r>
        <w:rPr>
          <w:sz w:val="22"/>
          <w:szCs w:val="22"/>
        </w:rPr>
        <w:t xml:space="preserve">clinical stereoacuity measurement, we used the clinical random-dot stereogram </w:t>
      </w:r>
      <w:proofErr w:type="spellStart"/>
      <w:r>
        <w:rPr>
          <w:sz w:val="22"/>
          <w:szCs w:val="22"/>
        </w:rPr>
        <w:t>Randot</w:t>
      </w:r>
      <w:proofErr w:type="spellEnd"/>
      <w:r>
        <w:rPr>
          <w:sz w:val="22"/>
          <w:szCs w:val="22"/>
        </w:rPr>
        <w:t xml:space="preserve"> circles and </w:t>
      </w:r>
      <w:proofErr w:type="spellStart"/>
      <w:r>
        <w:rPr>
          <w:sz w:val="22"/>
          <w:szCs w:val="22"/>
        </w:rPr>
        <w:t>Randot</w:t>
      </w:r>
      <w:proofErr w:type="spellEnd"/>
      <w:r>
        <w:rPr>
          <w:sz w:val="22"/>
          <w:szCs w:val="22"/>
        </w:rPr>
        <w:t xml:space="preserve"> 3 with polarized glasses. For psychophysical tests, we used the Pure Disparity Test (PDT) and dynamic random-dot stereogram (DRS) (Ding &amp; Levi, 2011). Both PDT and DRS stimuli were viewed through a stereoscope and presented on a Sony CRT monitor (need model) at a viewing distance of 60 cm from the participant. </w:t>
      </w:r>
    </w:p>
    <w:p w14:paraId="013088B6" w14:textId="4C42A145" w:rsidR="00894B5E" w:rsidRDefault="00894B5E" w:rsidP="005A72E3">
      <w:pPr>
        <w:rPr>
          <w:sz w:val="22"/>
          <w:szCs w:val="22"/>
        </w:rPr>
      </w:pPr>
    </w:p>
    <w:p w14:paraId="3E9B5DC0" w14:textId="6E2BF3E8" w:rsidR="00894B5E" w:rsidRDefault="00894B5E" w:rsidP="005A72E3">
      <w:pPr>
        <w:rPr>
          <w:sz w:val="22"/>
          <w:szCs w:val="22"/>
        </w:rPr>
      </w:pPr>
      <w:r>
        <w:rPr>
          <w:sz w:val="22"/>
          <w:szCs w:val="22"/>
        </w:rPr>
        <w:t xml:space="preserve">Following the pre-tests, </w:t>
      </w:r>
      <w:r w:rsidR="005A72E3" w:rsidRPr="005E580E">
        <w:rPr>
          <w:sz w:val="22"/>
          <w:szCs w:val="22"/>
        </w:rPr>
        <w:t>participant</w:t>
      </w:r>
      <w:r>
        <w:rPr>
          <w:sz w:val="22"/>
          <w:szCs w:val="22"/>
        </w:rPr>
        <w:t>s</w:t>
      </w:r>
      <w:r w:rsidR="005A72E3" w:rsidRPr="005E580E">
        <w:rPr>
          <w:sz w:val="22"/>
          <w:szCs w:val="22"/>
        </w:rPr>
        <w:t xml:space="preserve"> </w:t>
      </w:r>
      <w:r>
        <w:rPr>
          <w:sz w:val="22"/>
          <w:szCs w:val="22"/>
        </w:rPr>
        <w:t xml:space="preserve">alternated every 10 hours between the Halloween and </w:t>
      </w:r>
      <w:proofErr w:type="spellStart"/>
      <w:r>
        <w:rPr>
          <w:sz w:val="22"/>
          <w:szCs w:val="22"/>
        </w:rPr>
        <w:t>DartBoard</w:t>
      </w:r>
      <w:proofErr w:type="spellEnd"/>
      <w:r>
        <w:rPr>
          <w:sz w:val="22"/>
          <w:szCs w:val="22"/>
        </w:rPr>
        <w:t xml:space="preserve"> game until they reached 40 hours of training (except for DL and AJ who completed 20 hours). After every 10 hours, the tests were administered to monitor learning. At the end of 40 hours, participants completed the screening that was administered by a UC Berkeley optometry student. </w:t>
      </w:r>
    </w:p>
    <w:p w14:paraId="1F198FEF" w14:textId="77777777" w:rsidR="006A08E1" w:rsidRPr="005E580E" w:rsidRDefault="006A08E1" w:rsidP="005E580E">
      <w:pPr>
        <w:rPr>
          <w:sz w:val="22"/>
          <w:szCs w:val="22"/>
        </w:rPr>
      </w:pPr>
    </w:p>
    <w:p w14:paraId="29DD97AE" w14:textId="2ED24C0C" w:rsidR="006A08E1" w:rsidRPr="005E580E" w:rsidRDefault="006A08E1" w:rsidP="005E580E">
      <w:pPr>
        <w:rPr>
          <w:sz w:val="22"/>
          <w:szCs w:val="22"/>
        </w:rPr>
      </w:pPr>
      <w:r w:rsidRPr="00894B5E">
        <w:rPr>
          <w:i/>
          <w:iCs/>
          <w:sz w:val="22"/>
          <w:szCs w:val="22"/>
        </w:rPr>
        <w:t>Apparatus.</w:t>
      </w:r>
      <w:r w:rsidR="00894B5E">
        <w:rPr>
          <w:sz w:val="22"/>
          <w:szCs w:val="22"/>
        </w:rPr>
        <w:t xml:space="preserve"> </w:t>
      </w:r>
      <w:r w:rsidR="005E580E">
        <w:rPr>
          <w:sz w:val="22"/>
          <w:szCs w:val="22"/>
        </w:rPr>
        <w:t>T</w:t>
      </w:r>
      <w:r w:rsidRPr="005E580E">
        <w:rPr>
          <w:sz w:val="22"/>
          <w:szCs w:val="22"/>
        </w:rPr>
        <w:t>he</w:t>
      </w:r>
      <w:r w:rsidR="005E580E">
        <w:rPr>
          <w:sz w:val="22"/>
          <w:szCs w:val="22"/>
        </w:rPr>
        <w:t xml:space="preserve"> games were presented on the</w:t>
      </w:r>
      <w:r w:rsidRPr="005E580E">
        <w:rPr>
          <w:sz w:val="22"/>
          <w:szCs w:val="22"/>
        </w:rPr>
        <w:t xml:space="preserve"> Oculus Rift</w:t>
      </w:r>
      <w:r w:rsidR="005E580E" w:rsidRPr="006A08E1">
        <w:rPr>
          <w:rFonts w:ascii="Calibri" w:eastAsia="Times New Roman" w:hAnsi="Calibri" w:cs="Calibri"/>
          <w:color w:val="222222"/>
          <w:sz w:val="22"/>
          <w:szCs w:val="22"/>
        </w:rPr>
        <w:t>®</w:t>
      </w:r>
      <w:r w:rsidRPr="005E580E">
        <w:rPr>
          <w:sz w:val="22"/>
          <w:szCs w:val="22"/>
        </w:rPr>
        <w:t xml:space="preserve"> Developer Kit </w:t>
      </w:r>
      <w:r w:rsidR="005E580E">
        <w:rPr>
          <w:sz w:val="22"/>
          <w:szCs w:val="22"/>
        </w:rPr>
        <w:t>(</w:t>
      </w:r>
      <w:r w:rsidRPr="005E580E">
        <w:rPr>
          <w:sz w:val="22"/>
          <w:szCs w:val="22"/>
        </w:rPr>
        <w:t>DK) 2,</w:t>
      </w:r>
      <w:r w:rsidR="005E580E">
        <w:rPr>
          <w:sz w:val="22"/>
          <w:szCs w:val="22"/>
        </w:rPr>
        <w:t xml:space="preserve"> which</w:t>
      </w:r>
      <w:r w:rsidRPr="005E580E">
        <w:rPr>
          <w:sz w:val="22"/>
          <w:szCs w:val="22"/>
        </w:rPr>
        <w:t xml:space="preserve"> is equipped with a gyroscope, accelerometer, and a magnetometer with an update rate of 1000 Hz. The Oculus Rift DK-2 has a resolution of 960 x 1080 for each eye</w:t>
      </w:r>
      <w:r w:rsidR="005E580E">
        <w:rPr>
          <w:sz w:val="22"/>
          <w:szCs w:val="22"/>
        </w:rPr>
        <w:t>,</w:t>
      </w:r>
      <w:r w:rsidRPr="005E580E">
        <w:rPr>
          <w:sz w:val="22"/>
          <w:szCs w:val="22"/>
        </w:rPr>
        <w:t xml:space="preserve"> a field of view of 100 degrees</w:t>
      </w:r>
      <w:r w:rsidR="005E580E">
        <w:rPr>
          <w:sz w:val="22"/>
          <w:szCs w:val="22"/>
        </w:rPr>
        <w:t xml:space="preserve">, </w:t>
      </w:r>
      <w:r w:rsidRPr="005E580E">
        <w:rPr>
          <w:sz w:val="22"/>
          <w:szCs w:val="22"/>
        </w:rPr>
        <w:t>a refresh rate of 60-75 Hz</w:t>
      </w:r>
      <w:r w:rsidR="005E580E">
        <w:rPr>
          <w:sz w:val="22"/>
          <w:szCs w:val="22"/>
        </w:rPr>
        <w:t>,</w:t>
      </w:r>
      <w:r w:rsidRPr="005E580E">
        <w:rPr>
          <w:sz w:val="22"/>
          <w:szCs w:val="22"/>
        </w:rPr>
        <w:t xml:space="preserve"> and a position tracking refresh rate of 60 Hz. </w:t>
      </w:r>
      <w:r w:rsidR="005A72E3">
        <w:rPr>
          <w:sz w:val="22"/>
          <w:szCs w:val="22"/>
        </w:rPr>
        <w:t xml:space="preserve">To run the software, we used the Alienware AREA51R2 computer with Intel® Core™ i7-5820K CPU and an NVIDIA GeForce GTX 980 graphics card. </w:t>
      </w:r>
    </w:p>
    <w:p w14:paraId="4CF1F49C" w14:textId="77777777" w:rsidR="006A08E1" w:rsidRPr="005E580E" w:rsidRDefault="006A08E1" w:rsidP="005E580E">
      <w:pPr>
        <w:rPr>
          <w:sz w:val="22"/>
          <w:szCs w:val="22"/>
        </w:rPr>
      </w:pPr>
    </w:p>
    <w:p w14:paraId="1C75CDD4" w14:textId="50949BB9" w:rsidR="006A08E1" w:rsidRPr="00894B5E" w:rsidRDefault="006A08E1" w:rsidP="00894B5E">
      <w:pPr>
        <w:rPr>
          <w:i/>
          <w:iCs/>
          <w:sz w:val="22"/>
          <w:szCs w:val="22"/>
        </w:rPr>
      </w:pPr>
      <w:r w:rsidRPr="00894B5E">
        <w:rPr>
          <w:i/>
          <w:iCs/>
          <w:sz w:val="22"/>
          <w:szCs w:val="22"/>
        </w:rPr>
        <w:t>Games.</w:t>
      </w:r>
      <w:r w:rsidR="00894B5E">
        <w:rPr>
          <w:i/>
          <w:iCs/>
          <w:sz w:val="22"/>
          <w:szCs w:val="22"/>
        </w:rPr>
        <w:t xml:space="preserve"> </w:t>
      </w:r>
      <w:bookmarkStart w:id="0" w:name="_GoBack"/>
      <w:bookmarkEnd w:id="0"/>
      <w:r w:rsidRPr="005E580E">
        <w:rPr>
          <w:rFonts w:ascii="Calibri" w:eastAsia="Times New Roman" w:hAnsi="Calibri" w:cs="Calibri"/>
          <w:color w:val="222222"/>
          <w:sz w:val="22"/>
          <w:szCs w:val="22"/>
        </w:rPr>
        <w:t xml:space="preserve">We designed two video games (Halloween and </w:t>
      </w:r>
      <w:proofErr w:type="spellStart"/>
      <w:r w:rsidRPr="005E580E">
        <w:rPr>
          <w:rFonts w:ascii="Calibri" w:eastAsia="Times New Roman" w:hAnsi="Calibri" w:cs="Calibri"/>
          <w:color w:val="222222"/>
          <w:sz w:val="22"/>
          <w:szCs w:val="22"/>
        </w:rPr>
        <w:t>DartBoard</w:t>
      </w:r>
      <w:proofErr w:type="spellEnd"/>
      <w:r w:rsidRPr="005E580E">
        <w:rPr>
          <w:rFonts w:ascii="Calibri" w:eastAsia="Times New Roman" w:hAnsi="Calibri" w:cs="Calibri"/>
          <w:color w:val="222222"/>
          <w:sz w:val="22"/>
          <w:szCs w:val="22"/>
        </w:rPr>
        <w:t xml:space="preserve">) to train stereovision using the </w:t>
      </w:r>
      <w:r w:rsidRPr="006A08E1">
        <w:rPr>
          <w:rFonts w:ascii="Calibri" w:eastAsia="Times New Roman" w:hAnsi="Calibri" w:cs="Calibri"/>
          <w:color w:val="222222"/>
          <w:sz w:val="22"/>
          <w:szCs w:val="22"/>
        </w:rPr>
        <w:t>Oculus Rift® VR glasses</w:t>
      </w:r>
      <w:r w:rsidRPr="005E580E">
        <w:rPr>
          <w:sz w:val="22"/>
          <w:szCs w:val="22"/>
        </w:rPr>
        <w:t>.</w:t>
      </w:r>
      <w:r w:rsidRPr="005E580E">
        <w:rPr>
          <w:sz w:val="22"/>
          <w:szCs w:val="22"/>
        </w:rPr>
        <w:t xml:space="preserve"> </w:t>
      </w:r>
      <w:r w:rsidRPr="006A08E1">
        <w:rPr>
          <w:rFonts w:ascii="Calibri" w:eastAsia="Times New Roman" w:hAnsi="Calibri" w:cs="Calibri"/>
          <w:color w:val="222222"/>
          <w:sz w:val="22"/>
          <w:szCs w:val="22"/>
        </w:rPr>
        <w:t>Both games start</w:t>
      </w:r>
      <w:r w:rsidRPr="005E580E">
        <w:rPr>
          <w:rFonts w:ascii="Calibri" w:eastAsia="Times New Roman" w:hAnsi="Calibri" w:cs="Calibri"/>
          <w:color w:val="222222"/>
          <w:sz w:val="22"/>
          <w:szCs w:val="22"/>
        </w:rPr>
        <w:t>ed</w:t>
      </w:r>
      <w:r w:rsidRPr="006A08E1">
        <w:rPr>
          <w:rFonts w:ascii="Calibri" w:eastAsia="Times New Roman" w:hAnsi="Calibri" w:cs="Calibri"/>
          <w:color w:val="222222"/>
          <w:sz w:val="22"/>
          <w:szCs w:val="22"/>
        </w:rPr>
        <w:t xml:space="preserve"> with a </w:t>
      </w:r>
      <w:proofErr w:type="spellStart"/>
      <w:r w:rsidRPr="006A08E1">
        <w:rPr>
          <w:rFonts w:ascii="Calibri" w:eastAsia="Times New Roman" w:hAnsi="Calibri" w:cs="Calibri"/>
          <w:color w:val="222222"/>
          <w:sz w:val="22"/>
          <w:szCs w:val="22"/>
        </w:rPr>
        <w:t>synoptophoric</w:t>
      </w:r>
      <w:proofErr w:type="spellEnd"/>
      <w:r w:rsidRPr="006A08E1">
        <w:rPr>
          <w:rFonts w:ascii="Calibri" w:eastAsia="Times New Roman" w:hAnsi="Calibri" w:cs="Calibri"/>
          <w:color w:val="222222"/>
          <w:sz w:val="22"/>
          <w:szCs w:val="22"/>
        </w:rPr>
        <w:t xml:space="preserve"> high contrast dichoptic fusion-lock frame </w:t>
      </w:r>
      <w:r w:rsidRPr="006A08E1">
        <w:rPr>
          <w:rFonts w:ascii="Calibri" w:eastAsia="Times New Roman" w:hAnsi="Calibri" w:cs="Calibri"/>
          <w:color w:val="222222"/>
          <w:sz w:val="22"/>
          <w:szCs w:val="22"/>
        </w:rPr>
        <w:lastRenderedPageBreak/>
        <w:t>calibration (Fig 1), where</w:t>
      </w:r>
      <w:r w:rsidRPr="005E580E">
        <w:rPr>
          <w:rFonts w:ascii="Calibri" w:eastAsia="Times New Roman" w:hAnsi="Calibri" w:cs="Calibri"/>
          <w:color w:val="222222"/>
          <w:sz w:val="22"/>
          <w:szCs w:val="22"/>
        </w:rPr>
        <w:t xml:space="preserve"> deviation angle for strabismic participants could be corrected and suppression can be suspended by adjusting a virtual luminance filter. To correct for deviation angles, the researcher manually adjusted the images presented to each eye (horizontal, vertical, and </w:t>
      </w:r>
      <w:proofErr w:type="spellStart"/>
      <w:r w:rsidRPr="005E580E">
        <w:rPr>
          <w:rFonts w:ascii="Calibri" w:eastAsia="Times New Roman" w:hAnsi="Calibri" w:cs="Calibri"/>
          <w:color w:val="222222"/>
          <w:sz w:val="22"/>
          <w:szCs w:val="22"/>
        </w:rPr>
        <w:t>cyclo</w:t>
      </w:r>
      <w:proofErr w:type="spellEnd"/>
      <w:r w:rsidRPr="005E580E">
        <w:rPr>
          <w:rFonts w:ascii="Calibri" w:eastAsia="Times New Roman" w:hAnsi="Calibri" w:cs="Calibri"/>
          <w:color w:val="222222"/>
          <w:sz w:val="22"/>
          <w:szCs w:val="22"/>
        </w:rPr>
        <w:t xml:space="preserve"> deviations, plus aniseikonia) until the dichoptic cross presented at the center of the frame reached complete alignment for the participant. </w:t>
      </w:r>
      <w:r w:rsidRPr="006A08E1">
        <w:rPr>
          <w:rFonts w:ascii="Calibri" w:eastAsia="Times New Roman" w:hAnsi="Calibri" w:cs="Calibri"/>
          <w:color w:val="222222"/>
          <w:sz w:val="22"/>
          <w:szCs w:val="22"/>
        </w:rPr>
        <w:t>Thus, this step allowed the researcher to correct for any ocular deviation in subjective angle of squint.</w:t>
      </w:r>
      <w:r w:rsidRPr="005E580E">
        <w:rPr>
          <w:rFonts w:ascii="Calibri" w:eastAsia="Times New Roman" w:hAnsi="Calibri" w:cs="Calibri"/>
          <w:color w:val="222222"/>
          <w:sz w:val="22"/>
          <w:szCs w:val="22"/>
        </w:rPr>
        <w:t xml:space="preserve"> </w:t>
      </w:r>
      <w:r w:rsidRPr="006A08E1">
        <w:rPr>
          <w:rFonts w:ascii="Calibri" w:eastAsia="Times New Roman" w:hAnsi="Calibri" w:cs="Calibri"/>
          <w:color w:val="222222"/>
          <w:sz w:val="22"/>
          <w:szCs w:val="22"/>
        </w:rPr>
        <w:t xml:space="preserve">To </w:t>
      </w:r>
      <w:r w:rsidRPr="005E580E">
        <w:rPr>
          <w:rFonts w:ascii="Calibri" w:eastAsia="Times New Roman" w:hAnsi="Calibri" w:cs="Calibri"/>
          <w:color w:val="222222"/>
          <w:sz w:val="22"/>
          <w:szCs w:val="22"/>
        </w:rPr>
        <w:t>avoid</w:t>
      </w:r>
      <w:r w:rsidRPr="006A08E1">
        <w:rPr>
          <w:rFonts w:ascii="Calibri" w:eastAsia="Times New Roman" w:hAnsi="Calibri" w:cs="Calibri"/>
          <w:color w:val="222222"/>
          <w:sz w:val="22"/>
          <w:szCs w:val="22"/>
        </w:rPr>
        <w:t xml:space="preserve"> suppression, image luminance</w:t>
      </w:r>
      <w:r w:rsidRPr="005E580E">
        <w:rPr>
          <w:rFonts w:ascii="Calibri" w:eastAsia="Times New Roman" w:hAnsi="Calibri" w:cs="Calibri"/>
          <w:color w:val="222222"/>
          <w:sz w:val="22"/>
          <w:szCs w:val="22"/>
        </w:rPr>
        <w:t xml:space="preserve"> (ranging from equal luminance between both images to complete occlusion of one eye)</w:t>
      </w:r>
      <w:r w:rsidRPr="006A08E1">
        <w:rPr>
          <w:rFonts w:ascii="Calibri" w:eastAsia="Times New Roman" w:hAnsi="Calibri" w:cs="Calibri"/>
          <w:color w:val="222222"/>
          <w:sz w:val="22"/>
          <w:szCs w:val="22"/>
        </w:rPr>
        <w:t xml:space="preserve"> </w:t>
      </w:r>
      <w:r w:rsidRPr="005E580E">
        <w:rPr>
          <w:rFonts w:ascii="Calibri" w:eastAsia="Times New Roman" w:hAnsi="Calibri" w:cs="Calibri"/>
          <w:color w:val="222222"/>
          <w:sz w:val="22"/>
          <w:szCs w:val="22"/>
        </w:rPr>
        <w:t>was</w:t>
      </w:r>
      <w:r w:rsidRPr="006A08E1">
        <w:rPr>
          <w:rFonts w:ascii="Calibri" w:eastAsia="Times New Roman" w:hAnsi="Calibri" w:cs="Calibri"/>
          <w:color w:val="222222"/>
          <w:sz w:val="22"/>
          <w:szCs w:val="22"/>
        </w:rPr>
        <w:t xml:space="preserve"> adjusted </w:t>
      </w:r>
      <w:r w:rsidRPr="005E580E">
        <w:rPr>
          <w:rFonts w:ascii="Calibri" w:eastAsia="Times New Roman" w:hAnsi="Calibri" w:cs="Calibri"/>
          <w:color w:val="222222"/>
          <w:sz w:val="22"/>
          <w:szCs w:val="22"/>
        </w:rPr>
        <w:t xml:space="preserve">for the dominant eye until the participant perceived equal luminance of the dichoptic lines crossing the reference frame. </w:t>
      </w:r>
    </w:p>
    <w:p w14:paraId="3D89E871" w14:textId="252EB93F" w:rsidR="006A08E1" w:rsidRPr="005E580E" w:rsidRDefault="006A08E1" w:rsidP="005E580E">
      <w:pPr>
        <w:shd w:val="clear" w:color="auto" w:fill="FFFFFF"/>
        <w:spacing w:after="160" w:line="235" w:lineRule="atLeast"/>
        <w:rPr>
          <w:rFonts w:ascii="Calibri" w:eastAsia="Times New Roman" w:hAnsi="Calibri" w:cs="Calibri"/>
          <w:color w:val="222222"/>
          <w:sz w:val="22"/>
          <w:szCs w:val="22"/>
        </w:rPr>
      </w:pPr>
      <w:r w:rsidRPr="006A08E1">
        <w:rPr>
          <w:rFonts w:ascii="Calibri" w:eastAsia="Times New Roman" w:hAnsi="Calibri" w:cs="Calibri"/>
          <w:color w:val="222222"/>
          <w:sz w:val="22"/>
          <w:szCs w:val="22"/>
        </w:rPr>
        <w:t xml:space="preserve">Both games were presented in three consecutive difficulty levels (Natural, Advanced, and Expert). Each session began with the Natural level, which consisted of monocular and binocular cues to depth such as shadows, perspective, motion parallax, and binocular disparity. In the Advanced level, shadows were no longer </w:t>
      </w:r>
      <w:proofErr w:type="gramStart"/>
      <w:r w:rsidRPr="006A08E1">
        <w:rPr>
          <w:rFonts w:ascii="Calibri" w:eastAsia="Times New Roman" w:hAnsi="Calibri" w:cs="Calibri"/>
          <w:color w:val="222222"/>
          <w:sz w:val="22"/>
          <w:szCs w:val="22"/>
        </w:rPr>
        <w:t>available</w:t>
      </w:r>
      <w:proofErr w:type="gramEnd"/>
      <w:r w:rsidRPr="006A08E1">
        <w:rPr>
          <w:rFonts w:ascii="Calibri" w:eastAsia="Times New Roman" w:hAnsi="Calibri" w:cs="Calibri"/>
          <w:color w:val="222222"/>
          <w:sz w:val="22"/>
          <w:szCs w:val="22"/>
        </w:rPr>
        <w:t xml:space="preserve"> and perspective was reduced, which meant that relative size was no longer a cue</w:t>
      </w:r>
      <w:r w:rsidRPr="005E580E">
        <w:rPr>
          <w:rFonts w:ascii="Calibri" w:eastAsia="Times New Roman" w:hAnsi="Calibri" w:cs="Calibri"/>
          <w:color w:val="222222"/>
          <w:sz w:val="22"/>
          <w:szCs w:val="22"/>
        </w:rPr>
        <w:t xml:space="preserve"> (i.e., object size was not relative to object distance and varied from trial to trial). </w:t>
      </w:r>
      <w:r w:rsidRPr="006A08E1">
        <w:rPr>
          <w:rFonts w:ascii="Calibri" w:eastAsia="Times New Roman" w:hAnsi="Calibri" w:cs="Calibri"/>
          <w:color w:val="222222"/>
          <w:sz w:val="22"/>
          <w:szCs w:val="22"/>
        </w:rPr>
        <w:t>Lastly, in the Expert level, motion parallax is limited (only rotational movements of the head were allowed by the software)</w:t>
      </w:r>
      <w:r w:rsidRPr="005E580E">
        <w:rPr>
          <w:rFonts w:ascii="Calibri" w:eastAsia="Times New Roman" w:hAnsi="Calibri" w:cs="Calibri"/>
          <w:color w:val="222222"/>
          <w:sz w:val="22"/>
          <w:szCs w:val="22"/>
        </w:rPr>
        <w:t>,</w:t>
      </w:r>
      <w:r w:rsidRPr="006A08E1">
        <w:rPr>
          <w:rFonts w:ascii="Calibri" w:eastAsia="Times New Roman" w:hAnsi="Calibri" w:cs="Calibri"/>
          <w:color w:val="222222"/>
          <w:sz w:val="22"/>
          <w:szCs w:val="22"/>
          <w:lang w:val="en-GB"/>
        </w:rPr>
        <w:t> making </w:t>
      </w:r>
      <w:r w:rsidRPr="006A08E1">
        <w:rPr>
          <w:rFonts w:ascii="Calibri" w:eastAsia="Times New Roman" w:hAnsi="Calibri" w:cs="Calibri"/>
          <w:color w:val="222222"/>
          <w:sz w:val="22"/>
          <w:szCs w:val="22"/>
        </w:rPr>
        <w:t xml:space="preserve">binocular disparity clearly the most helpful (almost unique) cue to </w:t>
      </w:r>
      <w:r w:rsidRPr="005E580E">
        <w:rPr>
          <w:rFonts w:ascii="Calibri" w:eastAsia="Times New Roman" w:hAnsi="Calibri" w:cs="Calibri"/>
          <w:color w:val="222222"/>
          <w:sz w:val="22"/>
          <w:szCs w:val="22"/>
        </w:rPr>
        <w:t>calculate</w:t>
      </w:r>
      <w:r w:rsidRPr="006A08E1">
        <w:rPr>
          <w:rFonts w:ascii="Calibri" w:eastAsia="Times New Roman" w:hAnsi="Calibri" w:cs="Calibri"/>
          <w:color w:val="222222"/>
          <w:sz w:val="22"/>
          <w:szCs w:val="22"/>
        </w:rPr>
        <w:t xml:space="preserve"> distance.</w:t>
      </w:r>
      <w:r w:rsidRPr="005E580E">
        <w:rPr>
          <w:rFonts w:ascii="Calibri" w:eastAsia="Times New Roman" w:hAnsi="Calibri" w:cs="Calibri"/>
          <w:color w:val="222222"/>
          <w:sz w:val="22"/>
          <w:szCs w:val="22"/>
        </w:rPr>
        <w:t xml:space="preserve"> </w:t>
      </w:r>
      <w:r w:rsidRPr="006A08E1">
        <w:rPr>
          <w:rFonts w:ascii="Calibri" w:eastAsia="Times New Roman" w:hAnsi="Calibri" w:cs="Calibri"/>
          <w:color w:val="222222"/>
          <w:sz w:val="22"/>
          <w:szCs w:val="22"/>
        </w:rPr>
        <w:t xml:space="preserve">Anti-suppression tasks by means of dichoptic images were also inserted in </w:t>
      </w:r>
      <w:r w:rsidRPr="005E580E">
        <w:rPr>
          <w:rFonts w:ascii="Calibri" w:eastAsia="Times New Roman" w:hAnsi="Calibri" w:cs="Calibri"/>
          <w:color w:val="222222"/>
          <w:sz w:val="22"/>
          <w:szCs w:val="22"/>
        </w:rPr>
        <w:t>each</w:t>
      </w:r>
      <w:r w:rsidRPr="006A08E1">
        <w:rPr>
          <w:rFonts w:ascii="Calibri" w:eastAsia="Times New Roman" w:hAnsi="Calibri" w:cs="Calibri"/>
          <w:color w:val="222222"/>
          <w:sz w:val="22"/>
          <w:szCs w:val="22"/>
        </w:rPr>
        <w:t xml:space="preserve"> games</w:t>
      </w:r>
      <w:r w:rsidRPr="005E580E">
        <w:rPr>
          <w:rFonts w:ascii="Calibri" w:eastAsia="Times New Roman" w:hAnsi="Calibri" w:cs="Calibri"/>
          <w:color w:val="222222"/>
          <w:sz w:val="22"/>
          <w:szCs w:val="22"/>
        </w:rPr>
        <w:t>’</w:t>
      </w:r>
      <w:r w:rsidRPr="006A08E1">
        <w:rPr>
          <w:rFonts w:ascii="Calibri" w:eastAsia="Times New Roman" w:hAnsi="Calibri" w:cs="Calibri"/>
          <w:color w:val="222222"/>
          <w:sz w:val="22"/>
          <w:szCs w:val="22"/>
        </w:rPr>
        <w:t xml:space="preserve"> mechanics.</w:t>
      </w:r>
    </w:p>
    <w:p w14:paraId="0EE2FF84" w14:textId="05DA2CA5" w:rsidR="006A08E1" w:rsidRPr="005E580E" w:rsidRDefault="006A08E1" w:rsidP="005E580E">
      <w:pPr>
        <w:shd w:val="clear" w:color="auto" w:fill="FFFFFF"/>
        <w:spacing w:after="160" w:line="235" w:lineRule="atLeast"/>
        <w:rPr>
          <w:rFonts w:ascii="Calibri" w:eastAsia="Times New Roman" w:hAnsi="Calibri" w:cs="Calibri"/>
          <w:color w:val="222222"/>
          <w:sz w:val="22"/>
          <w:szCs w:val="22"/>
        </w:rPr>
      </w:pPr>
      <w:r w:rsidRPr="006A08E1">
        <w:rPr>
          <w:rFonts w:ascii="Calibri" w:eastAsia="Times New Roman" w:hAnsi="Calibri" w:cs="Calibri"/>
          <w:color w:val="222222"/>
          <w:sz w:val="22"/>
          <w:szCs w:val="22"/>
        </w:rPr>
        <w:t xml:space="preserve">The difference between </w:t>
      </w:r>
      <w:r w:rsidRPr="005E580E">
        <w:rPr>
          <w:rFonts w:ascii="Calibri" w:eastAsia="Times New Roman" w:hAnsi="Calibri" w:cs="Calibri"/>
          <w:color w:val="222222"/>
          <w:sz w:val="22"/>
          <w:szCs w:val="22"/>
        </w:rPr>
        <w:t xml:space="preserve">Halloween and </w:t>
      </w:r>
      <w:proofErr w:type="spellStart"/>
      <w:r w:rsidRPr="005E580E">
        <w:rPr>
          <w:rFonts w:ascii="Calibri" w:eastAsia="Times New Roman" w:hAnsi="Calibri" w:cs="Calibri"/>
          <w:color w:val="222222"/>
          <w:sz w:val="22"/>
          <w:szCs w:val="22"/>
        </w:rPr>
        <w:t>DartBoard</w:t>
      </w:r>
      <w:proofErr w:type="spellEnd"/>
      <w:r w:rsidRPr="006A08E1">
        <w:rPr>
          <w:rFonts w:ascii="Calibri" w:eastAsia="Times New Roman" w:hAnsi="Calibri" w:cs="Calibri"/>
          <w:color w:val="222222"/>
          <w:sz w:val="22"/>
          <w:szCs w:val="22"/>
        </w:rPr>
        <w:t>, apart from their</w:t>
      </w:r>
      <w:r w:rsidRPr="005E580E">
        <w:rPr>
          <w:rFonts w:ascii="Calibri" w:eastAsia="Times New Roman" w:hAnsi="Calibri" w:cs="Calibri"/>
          <w:color w:val="222222"/>
          <w:sz w:val="22"/>
          <w:szCs w:val="22"/>
        </w:rPr>
        <w:t xml:space="preserve"> game</w:t>
      </w:r>
      <w:r w:rsidRPr="006A08E1">
        <w:rPr>
          <w:rFonts w:ascii="Calibri" w:eastAsia="Times New Roman" w:hAnsi="Calibri" w:cs="Calibri"/>
          <w:color w:val="222222"/>
          <w:sz w:val="22"/>
          <w:szCs w:val="22"/>
        </w:rPr>
        <w:t xml:space="preserve"> mecha</w:t>
      </w:r>
      <w:r w:rsidRPr="005E580E">
        <w:rPr>
          <w:rFonts w:ascii="Calibri" w:eastAsia="Times New Roman" w:hAnsi="Calibri" w:cs="Calibri"/>
          <w:color w:val="222222"/>
          <w:sz w:val="22"/>
          <w:szCs w:val="22"/>
        </w:rPr>
        <w:t xml:space="preserve">nics, lies in the stereoscopic strategy best suited for each stimulus. </w:t>
      </w:r>
      <w:r w:rsidRPr="006A08E1">
        <w:rPr>
          <w:rFonts w:ascii="Calibri" w:eastAsia="Times New Roman" w:hAnsi="Calibri" w:cs="Calibri"/>
          <w:color w:val="222222"/>
          <w:sz w:val="22"/>
          <w:szCs w:val="22"/>
        </w:rPr>
        <w:t xml:space="preserve">In </w:t>
      </w:r>
      <w:proofErr w:type="spellStart"/>
      <w:r w:rsidRPr="006A08E1">
        <w:rPr>
          <w:rFonts w:ascii="Calibri" w:eastAsia="Times New Roman" w:hAnsi="Calibri" w:cs="Calibri"/>
          <w:color w:val="222222"/>
          <w:sz w:val="22"/>
          <w:szCs w:val="22"/>
        </w:rPr>
        <w:t>DartBoard</w:t>
      </w:r>
      <w:proofErr w:type="spellEnd"/>
      <w:r w:rsidRPr="006A08E1">
        <w:rPr>
          <w:rFonts w:ascii="Calibri" w:eastAsia="Times New Roman" w:hAnsi="Calibri" w:cs="Calibri"/>
          <w:color w:val="222222"/>
          <w:sz w:val="22"/>
          <w:szCs w:val="22"/>
        </w:rPr>
        <w:t>,</w:t>
      </w:r>
      <w:r w:rsidRPr="005E580E">
        <w:rPr>
          <w:rFonts w:ascii="Calibri" w:eastAsia="Times New Roman" w:hAnsi="Calibri" w:cs="Calibri"/>
          <w:color w:val="222222"/>
          <w:sz w:val="22"/>
          <w:szCs w:val="22"/>
        </w:rPr>
        <w:t xml:space="preserve"> the</w:t>
      </w:r>
      <w:r w:rsidRPr="006A08E1">
        <w:rPr>
          <w:rFonts w:ascii="Calibri" w:eastAsia="Times New Roman" w:hAnsi="Calibri" w:cs="Calibri"/>
          <w:color w:val="222222"/>
          <w:sz w:val="22"/>
          <w:szCs w:val="22"/>
        </w:rPr>
        <w:t xml:space="preserve"> user </w:t>
      </w:r>
      <w:r w:rsidRPr="005E580E">
        <w:rPr>
          <w:rFonts w:ascii="Calibri" w:eastAsia="Times New Roman" w:hAnsi="Calibri" w:cs="Calibri"/>
          <w:color w:val="222222"/>
          <w:sz w:val="22"/>
          <w:szCs w:val="22"/>
        </w:rPr>
        <w:t>is instructed</w:t>
      </w:r>
      <w:r w:rsidRPr="006A08E1">
        <w:rPr>
          <w:rFonts w:ascii="Calibri" w:eastAsia="Times New Roman" w:hAnsi="Calibri" w:cs="Calibri"/>
          <w:color w:val="222222"/>
          <w:sz w:val="22"/>
          <w:szCs w:val="22"/>
        </w:rPr>
        <w:t xml:space="preserve"> to </w:t>
      </w:r>
      <w:r w:rsidRPr="005E580E">
        <w:rPr>
          <w:rFonts w:ascii="Calibri" w:eastAsia="Times New Roman" w:hAnsi="Calibri" w:cs="Calibri"/>
          <w:color w:val="222222"/>
          <w:sz w:val="22"/>
          <w:szCs w:val="22"/>
        </w:rPr>
        <w:t>launch</w:t>
      </w:r>
      <w:r w:rsidRPr="006A08E1">
        <w:rPr>
          <w:rFonts w:ascii="Calibri" w:eastAsia="Times New Roman" w:hAnsi="Calibri" w:cs="Calibri"/>
          <w:color w:val="222222"/>
          <w:sz w:val="22"/>
          <w:szCs w:val="22"/>
        </w:rPr>
        <w:t xml:space="preserve"> a dart</w:t>
      </w:r>
      <w:r w:rsidRPr="005E580E">
        <w:rPr>
          <w:rFonts w:ascii="Calibri" w:eastAsia="Times New Roman" w:hAnsi="Calibri" w:cs="Calibri"/>
          <w:color w:val="222222"/>
          <w:sz w:val="22"/>
          <w:szCs w:val="22"/>
        </w:rPr>
        <w:t>, which is presented at the center of the screen,</w:t>
      </w:r>
      <w:r w:rsidRPr="006A08E1">
        <w:rPr>
          <w:rFonts w:ascii="Calibri" w:eastAsia="Times New Roman" w:hAnsi="Calibri" w:cs="Calibri"/>
          <w:color w:val="222222"/>
          <w:sz w:val="22"/>
          <w:szCs w:val="22"/>
        </w:rPr>
        <w:t xml:space="preserve"> towards a dartboard</w:t>
      </w:r>
      <w:r w:rsidRPr="005E580E">
        <w:rPr>
          <w:rFonts w:ascii="Calibri" w:eastAsia="Times New Roman" w:hAnsi="Calibri" w:cs="Calibri"/>
          <w:color w:val="222222"/>
          <w:sz w:val="22"/>
          <w:szCs w:val="22"/>
        </w:rPr>
        <w:t xml:space="preserve"> that comes from the back of the scene and moves in the z-direction towards the front of the scene.</w:t>
      </w:r>
      <w:r w:rsidRPr="006A08E1">
        <w:rPr>
          <w:rFonts w:ascii="Calibri" w:eastAsia="Times New Roman" w:hAnsi="Calibri" w:cs="Calibri"/>
          <w:color w:val="222222"/>
          <w:sz w:val="22"/>
          <w:szCs w:val="22"/>
        </w:rPr>
        <w:t xml:space="preserve"> </w:t>
      </w:r>
      <w:r w:rsidRPr="005E580E">
        <w:rPr>
          <w:rFonts w:ascii="Calibri" w:eastAsia="Times New Roman" w:hAnsi="Calibri" w:cs="Calibri"/>
          <w:color w:val="222222"/>
          <w:sz w:val="22"/>
          <w:szCs w:val="22"/>
        </w:rPr>
        <w:t>Movement of the dart is always</w:t>
      </w:r>
      <w:r w:rsidRPr="006A08E1">
        <w:rPr>
          <w:rFonts w:ascii="Calibri" w:eastAsia="Times New Roman" w:hAnsi="Calibri" w:cs="Calibri"/>
          <w:color w:val="222222"/>
          <w:sz w:val="22"/>
          <w:szCs w:val="22"/>
        </w:rPr>
        <w:t xml:space="preserve"> linear </w:t>
      </w:r>
      <w:r w:rsidRPr="005E580E">
        <w:rPr>
          <w:rFonts w:ascii="Calibri" w:eastAsia="Times New Roman" w:hAnsi="Calibri" w:cs="Calibri"/>
          <w:color w:val="222222"/>
          <w:sz w:val="22"/>
          <w:szCs w:val="22"/>
        </w:rPr>
        <w:t>and travels</w:t>
      </w:r>
      <w:r w:rsidRPr="006A08E1">
        <w:rPr>
          <w:rFonts w:ascii="Calibri" w:eastAsia="Times New Roman" w:hAnsi="Calibri" w:cs="Calibri"/>
          <w:color w:val="222222"/>
          <w:sz w:val="22"/>
          <w:szCs w:val="22"/>
        </w:rPr>
        <w:t xml:space="preserve"> from left to right, while </w:t>
      </w:r>
      <w:r w:rsidRPr="005E580E">
        <w:rPr>
          <w:rFonts w:ascii="Calibri" w:eastAsia="Times New Roman" w:hAnsi="Calibri" w:cs="Calibri"/>
          <w:color w:val="222222"/>
          <w:sz w:val="22"/>
          <w:szCs w:val="22"/>
        </w:rPr>
        <w:t xml:space="preserve">movement of the board is linear and travels from back to front (and </w:t>
      </w:r>
      <w:r w:rsidRPr="006A08E1">
        <w:rPr>
          <w:rFonts w:ascii="Calibri" w:eastAsia="Times New Roman" w:hAnsi="Calibri" w:cs="Calibri"/>
          <w:color w:val="222222"/>
          <w:sz w:val="22"/>
          <w:szCs w:val="22"/>
        </w:rPr>
        <w:t>not necessarily in a 90 degrees angle): both linear movements occur in the same plane where</w:t>
      </w:r>
      <w:r w:rsidRPr="005E580E">
        <w:rPr>
          <w:rFonts w:ascii="Calibri" w:eastAsia="Times New Roman" w:hAnsi="Calibri" w:cs="Calibri"/>
          <w:color w:val="222222"/>
          <w:sz w:val="22"/>
          <w:szCs w:val="22"/>
        </w:rPr>
        <w:t xml:space="preserve"> the</w:t>
      </w:r>
      <w:r w:rsidRPr="006A08E1">
        <w:rPr>
          <w:rFonts w:ascii="Calibri" w:eastAsia="Times New Roman" w:hAnsi="Calibri" w:cs="Calibri"/>
          <w:color w:val="222222"/>
          <w:sz w:val="22"/>
          <w:szCs w:val="22"/>
        </w:rPr>
        <w:t xml:space="preserve"> observer</w:t>
      </w:r>
      <w:r w:rsidRPr="005E580E">
        <w:rPr>
          <w:rFonts w:ascii="Calibri" w:eastAsia="Times New Roman" w:hAnsi="Calibri" w:cs="Calibri"/>
          <w:color w:val="222222"/>
          <w:sz w:val="22"/>
          <w:szCs w:val="22"/>
        </w:rPr>
        <w:t>s’</w:t>
      </w:r>
      <w:r w:rsidRPr="006A08E1">
        <w:rPr>
          <w:rFonts w:ascii="Calibri" w:eastAsia="Times New Roman" w:hAnsi="Calibri" w:cs="Calibri"/>
          <w:color w:val="222222"/>
          <w:sz w:val="22"/>
          <w:szCs w:val="22"/>
        </w:rPr>
        <w:t xml:space="preserve"> eyes are, avoiding monocular clues through intersection guessing. </w:t>
      </w:r>
      <w:r w:rsidRPr="005E580E">
        <w:rPr>
          <w:rFonts w:ascii="Calibri" w:eastAsia="Times New Roman" w:hAnsi="Calibri" w:cs="Calibri"/>
          <w:color w:val="222222"/>
          <w:sz w:val="22"/>
          <w:szCs w:val="22"/>
        </w:rPr>
        <w:t>The u</w:t>
      </w:r>
      <w:r w:rsidRPr="006A08E1">
        <w:rPr>
          <w:rFonts w:ascii="Calibri" w:eastAsia="Times New Roman" w:hAnsi="Calibri" w:cs="Calibri"/>
          <w:color w:val="222222"/>
          <w:sz w:val="22"/>
          <w:szCs w:val="22"/>
        </w:rPr>
        <w:t xml:space="preserve">ser </w:t>
      </w:r>
      <w:r w:rsidRPr="005E580E">
        <w:rPr>
          <w:rFonts w:ascii="Calibri" w:eastAsia="Times New Roman" w:hAnsi="Calibri" w:cs="Calibri"/>
          <w:color w:val="222222"/>
          <w:sz w:val="22"/>
          <w:szCs w:val="22"/>
        </w:rPr>
        <w:t>is then tasked</w:t>
      </w:r>
      <w:r w:rsidRPr="006A08E1">
        <w:rPr>
          <w:rFonts w:ascii="Calibri" w:eastAsia="Times New Roman" w:hAnsi="Calibri" w:cs="Calibri"/>
          <w:color w:val="222222"/>
          <w:sz w:val="22"/>
          <w:szCs w:val="22"/>
        </w:rPr>
        <w:t xml:space="preserve"> </w:t>
      </w:r>
      <w:r w:rsidRPr="005E580E">
        <w:rPr>
          <w:rFonts w:ascii="Calibri" w:eastAsia="Times New Roman" w:hAnsi="Calibri" w:cs="Calibri"/>
          <w:color w:val="222222"/>
          <w:sz w:val="22"/>
          <w:szCs w:val="22"/>
        </w:rPr>
        <w:t>with</w:t>
      </w:r>
      <w:r w:rsidRPr="006A08E1">
        <w:rPr>
          <w:rFonts w:ascii="Calibri" w:eastAsia="Times New Roman" w:hAnsi="Calibri" w:cs="Calibri"/>
          <w:color w:val="222222"/>
          <w:sz w:val="22"/>
          <w:szCs w:val="22"/>
        </w:rPr>
        <w:t xml:space="preserve"> estima</w:t>
      </w:r>
      <w:r w:rsidRPr="005E580E">
        <w:rPr>
          <w:rFonts w:ascii="Calibri" w:eastAsia="Times New Roman" w:hAnsi="Calibri" w:cs="Calibri"/>
          <w:color w:val="222222"/>
          <w:sz w:val="22"/>
          <w:szCs w:val="22"/>
        </w:rPr>
        <w:t>ting</w:t>
      </w:r>
      <w:r w:rsidRPr="006A08E1">
        <w:rPr>
          <w:rFonts w:ascii="Calibri" w:eastAsia="Times New Roman" w:hAnsi="Calibri" w:cs="Calibri"/>
          <w:color w:val="222222"/>
          <w:sz w:val="22"/>
          <w:szCs w:val="22"/>
        </w:rPr>
        <w:t xml:space="preserve"> the distance of the dart and the distance of the moving board independently, using the background wall as reference. Thus, </w:t>
      </w:r>
      <w:r w:rsidRPr="005E580E">
        <w:rPr>
          <w:rFonts w:ascii="Calibri" w:eastAsia="Times New Roman" w:hAnsi="Calibri" w:cs="Calibri"/>
          <w:color w:val="222222"/>
          <w:sz w:val="22"/>
          <w:szCs w:val="22"/>
        </w:rPr>
        <w:t xml:space="preserve">performance in the </w:t>
      </w:r>
      <w:proofErr w:type="spellStart"/>
      <w:r w:rsidRPr="005E580E">
        <w:rPr>
          <w:rFonts w:ascii="Calibri" w:eastAsia="Times New Roman" w:hAnsi="Calibri" w:cs="Calibri"/>
          <w:color w:val="222222"/>
          <w:sz w:val="22"/>
          <w:szCs w:val="22"/>
        </w:rPr>
        <w:t>DartBoard</w:t>
      </w:r>
      <w:proofErr w:type="spellEnd"/>
      <w:r w:rsidRPr="005E580E">
        <w:rPr>
          <w:rFonts w:ascii="Calibri" w:eastAsia="Times New Roman" w:hAnsi="Calibri" w:cs="Calibri"/>
          <w:color w:val="222222"/>
          <w:sz w:val="22"/>
          <w:szCs w:val="22"/>
        </w:rPr>
        <w:t xml:space="preserve"> game can be interpreted as a measure of absolute disparity. </w:t>
      </w:r>
      <w:r w:rsidRPr="006A08E1">
        <w:rPr>
          <w:rFonts w:ascii="Calibri" w:eastAsia="Times New Roman" w:hAnsi="Calibri" w:cs="Calibri"/>
          <w:color w:val="222222"/>
          <w:sz w:val="22"/>
          <w:szCs w:val="22"/>
        </w:rPr>
        <w:t xml:space="preserve">In Halloween, </w:t>
      </w:r>
      <w:r w:rsidRPr="005E580E">
        <w:rPr>
          <w:rFonts w:ascii="Calibri" w:eastAsia="Times New Roman" w:hAnsi="Calibri" w:cs="Calibri"/>
          <w:color w:val="222222"/>
          <w:sz w:val="22"/>
          <w:szCs w:val="22"/>
        </w:rPr>
        <w:t xml:space="preserve">the participant is instructed to shoot the closest target in a variable set (three to seven) of tragets as they approach the observer. Thus, Halloween </w:t>
      </w:r>
      <w:r w:rsidRPr="006A08E1">
        <w:rPr>
          <w:rFonts w:ascii="Calibri" w:eastAsia="Times New Roman" w:hAnsi="Calibri" w:cs="Calibri"/>
          <w:color w:val="222222"/>
          <w:sz w:val="22"/>
          <w:szCs w:val="22"/>
        </w:rPr>
        <w:t>is a conventional relative depth perception task, where</w:t>
      </w:r>
      <w:r w:rsidRPr="005E580E">
        <w:rPr>
          <w:rFonts w:ascii="Calibri" w:eastAsia="Times New Roman" w:hAnsi="Calibri" w:cs="Calibri"/>
          <w:color w:val="222222"/>
          <w:sz w:val="22"/>
          <w:szCs w:val="22"/>
        </w:rPr>
        <w:t xml:space="preserve"> the</w:t>
      </w:r>
      <w:r w:rsidRPr="006A08E1">
        <w:rPr>
          <w:rFonts w:ascii="Calibri" w:eastAsia="Times New Roman" w:hAnsi="Calibri" w:cs="Calibri"/>
          <w:color w:val="222222"/>
          <w:sz w:val="22"/>
          <w:szCs w:val="22"/>
        </w:rPr>
        <w:t xml:space="preserve"> observer </w:t>
      </w:r>
      <w:r w:rsidRPr="005E580E">
        <w:rPr>
          <w:rFonts w:ascii="Calibri" w:eastAsia="Times New Roman" w:hAnsi="Calibri" w:cs="Calibri"/>
          <w:color w:val="222222"/>
          <w:sz w:val="22"/>
          <w:szCs w:val="22"/>
        </w:rPr>
        <w:t>is tasked with</w:t>
      </w:r>
      <w:r w:rsidRPr="006A08E1">
        <w:rPr>
          <w:rFonts w:ascii="Calibri" w:eastAsia="Times New Roman" w:hAnsi="Calibri" w:cs="Calibri"/>
          <w:color w:val="222222"/>
          <w:sz w:val="22"/>
          <w:szCs w:val="22"/>
        </w:rPr>
        <w:t xml:space="preserve"> estimat</w:t>
      </w:r>
      <w:r w:rsidRPr="005E580E">
        <w:rPr>
          <w:rFonts w:ascii="Calibri" w:eastAsia="Times New Roman" w:hAnsi="Calibri" w:cs="Calibri"/>
          <w:color w:val="222222"/>
          <w:sz w:val="22"/>
          <w:szCs w:val="22"/>
        </w:rPr>
        <w:t>ing</w:t>
      </w:r>
      <w:r w:rsidRPr="006A08E1">
        <w:rPr>
          <w:rFonts w:ascii="Calibri" w:eastAsia="Times New Roman" w:hAnsi="Calibri" w:cs="Calibri"/>
          <w:color w:val="222222"/>
          <w:sz w:val="22"/>
          <w:szCs w:val="22"/>
        </w:rPr>
        <w:t xml:space="preserve"> relative depth between </w:t>
      </w:r>
      <w:r w:rsidRPr="005E580E">
        <w:rPr>
          <w:rFonts w:ascii="Calibri" w:eastAsia="Times New Roman" w:hAnsi="Calibri" w:cs="Calibri"/>
          <w:color w:val="222222"/>
          <w:sz w:val="22"/>
          <w:szCs w:val="22"/>
        </w:rPr>
        <w:t>targets</w:t>
      </w:r>
      <w:r w:rsidRPr="006A08E1">
        <w:rPr>
          <w:rFonts w:ascii="Calibri" w:eastAsia="Times New Roman" w:hAnsi="Calibri" w:cs="Calibri"/>
          <w:color w:val="222222"/>
          <w:sz w:val="22"/>
          <w:szCs w:val="22"/>
        </w:rPr>
        <w:t xml:space="preserve">. </w:t>
      </w:r>
    </w:p>
    <w:p w14:paraId="42EBE894" w14:textId="77777777" w:rsidR="003F1EEE" w:rsidRPr="005E580E" w:rsidRDefault="003F1EEE" w:rsidP="005E580E">
      <w:pPr>
        <w:rPr>
          <w:sz w:val="22"/>
          <w:szCs w:val="22"/>
        </w:rPr>
      </w:pPr>
    </w:p>
    <w:p w14:paraId="421AA043" w14:textId="77777777" w:rsidR="00997A33" w:rsidRDefault="00894B5E" w:rsidP="005E580E"/>
    <w:sectPr w:rsidR="0099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E1"/>
    <w:rsid w:val="001530C7"/>
    <w:rsid w:val="002D3E2C"/>
    <w:rsid w:val="003F1EEE"/>
    <w:rsid w:val="005A72E3"/>
    <w:rsid w:val="005E580E"/>
    <w:rsid w:val="006A08E1"/>
    <w:rsid w:val="00894B5E"/>
    <w:rsid w:val="008A10B1"/>
    <w:rsid w:val="00B8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5F34"/>
  <w15:chartTrackingRefBased/>
  <w15:docId w15:val="{49D8213A-BDB6-4626-A36B-BEA3B743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E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3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4249</TotalTime>
  <Pages>2</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godinez</dc:creator>
  <cp:keywords/>
  <dc:description/>
  <cp:lastModifiedBy>angelica godinez</cp:lastModifiedBy>
  <cp:revision>7</cp:revision>
  <dcterms:created xsi:type="dcterms:W3CDTF">2019-08-12T18:20:00Z</dcterms:created>
  <dcterms:modified xsi:type="dcterms:W3CDTF">2019-08-15T20:58:00Z</dcterms:modified>
</cp:coreProperties>
</file>