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Steve Harvey's Fifth Year Review in the Chemical and Enviromental Engineering department, effective 2017-09-13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Steve Harvey's Fifth Year Review in the Chemical and Enviromental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Satisfactory    1  Satisfactory with Qualifications    0  Unsatisfactory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Satisfactory with qualifcations vote for steve harvey's 5th year review</w:t>
              <w:br/>
              <w:t>Vote by Associate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Steve Harvey's Fifth Year Review in the Chemical and Enviromental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Assistant Comment for Steve Harvey's Fifth Year Review.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