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October 08,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Silver Surfer's Accelerated Promotion from FromTitle 1 to ToTitle 1 in the Electrical Engineering department, effective 2017-09-13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Silver Surfer's Accelerated Promotion from FromTitle 1 to ToTitle 1 in the Electrical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1  In favor    0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Full professor - action 1: in favor</w:t>
              <w:br/>
              <w:t>`~!@#$%^&amp;*()-_=+{}[]\|;:'",&lt;.&gt;?/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Silver Surfer's Accelerated Promotion from FromTitle 1 to ToTitle 1 in the Electrical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Confidential comments for silver surfer's promotion from an assistant professor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Silver Surfer's Promotion from FromTitle 22 to ToTitle 22 in the Electrical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1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Full Professor - action 2: opposed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IIa</w:t>
            </w:r>
          </w:p>
        </w:tc>
        <w:tc>
          <w:tcPr>
            <w:tcW w:type="dxa" w:w="8640"/>
            <w:gridSpan w:val="2"/>
          </w:tcPr>
          <w:p>
            <w:r>
              <w:t>Confidential Evaluations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Silver Surfer's Promotion from FromTitle 22 to ToTitle 22 in the Electrical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Action 2: Associate Professor casting comments regarding</w:t>
              <w:br/>
              <w:t>Silver Surfer's Promotion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III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Silver Surfer's Promotion from FromTitle 333 to ToTitle 333 in the Electrical Engineering department, effective 2017-09-13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0  In favor    0  Opposed    1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Full Professor - action 3: abstain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