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drawing>
          <wp:inline distT="0" distB="0" distL="0" distR="0">
            <wp:extent cx="20955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color w:val="1A2433"/>
          <w:sz w:val="22"/>
          <w:szCs w:val="22"/>
        </w:rPr>
        <w:t xml:space="preserve">  Comp</w:t>
      </w:r>
      <w:r>
        <w:rPr>
          <w:rFonts w:ascii="Segoe UI" w:cs="Segoe UI" w:eastAsia="Segoe UI" w:hAnsi="Segoe UI"/>
          <w:b/>
          <w:bCs/>
          <w:color w:val="1A2433"/>
          <w:sz w:val="22"/>
          <w:szCs w:val="22"/>
        </w:rPr>
        <w:t xml:space="preserve">Ninja</w:t>
      </w:r>
    </w:p>
    <w:p>
      <w:pPr>
        <w:spacing w:after="60" w:before="0" w:line="276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1A2433"/>
          <w:sz w:val="60"/>
          <w:szCs w:val="60"/>
        </w:rPr>
        <w:t xml:space="preserve">Developer Jargon</w:t>
      </w:r>
    </w:p>
    <w:p>
      <w:pPr>
        <w:pBdr>
          <w:bottom w:val="single" w:color="B91C1C" w:sz="12" w:space="8"/>
        </w:pBdr>
        <w:spacing w:after="2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68707E"/>
          <w:sz w:val="21"/>
          <w:szCs w:val="21"/>
        </w:rPr>
        <w:t xml:space="preserve">A running glossary — every word or phrase I did not know, written down in plain English so it only costs me once.</w:t>
      </w:r>
    </w:p>
    <w:p>
      <w:pPr>
        <w:spacing w:after="40" w:before="360" w:line="276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B91C1C"/>
          <w:spacing w:val="16"/>
          <w:sz w:val="16"/>
          <w:szCs w:val="16"/>
        </w:rPr>
        <w:t xml:space="preserve">Section 01</w:t>
      </w:r>
    </w:p>
    <w:p>
      <w:pPr>
        <w:pBdr>
          <w:bottom w:val="single" w:color="E4E2DA" w:sz="4" w:space="6"/>
        </w:pBdr>
        <w:spacing w:after="160" w:line="276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1A2433"/>
          <w:sz w:val="26"/>
          <w:szCs w:val="26"/>
        </w:rPr>
        <w:t xml:space="preserve">How to use this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74253"/>
          <w:sz w:val="20"/>
          <w:szCs w:val="20"/>
        </w:rPr>
        <w:t xml:space="preserve">Hit a word you do not know? Do not guess. Add a row to the index on this page, then write the full entry in Section 3.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74253"/>
          <w:sz w:val="20"/>
          <w:szCs w:val="20"/>
        </w:rPr>
        <w:t xml:space="preserve">Write the plain-English line as if you were explaining it to a client — no jargon inside the definition of the jargon.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74253"/>
          <w:sz w:val="20"/>
          <w:szCs w:val="20"/>
        </w:rPr>
        <w:t xml:space="preserve">The “In a sentence” field is the one that makes it stick. Skip it and you will be looking the word up again next month.</w:t>
      </w:r>
    </w:p>
    <w:p>
      <w:pPr>
        <w:spacing w:after="40" w:before="360" w:line="276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B91C1C"/>
          <w:spacing w:val="16"/>
          <w:sz w:val="16"/>
          <w:szCs w:val="16"/>
        </w:rPr>
        <w:t xml:space="preserve">Section 02</w:t>
      </w:r>
    </w:p>
    <w:p>
      <w:pPr>
        <w:pBdr>
          <w:bottom w:val="single" w:color="E4E2DA" w:sz="4" w:space="6"/>
        </w:pBdr>
        <w:spacing w:after="160" w:line="276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1A2433"/>
          <w:sz w:val="26"/>
          <w:szCs w:val="26"/>
        </w:rPr>
        <w:t xml:space="preserve">Quick index</w:t>
      </w:r>
    </w:p>
    <w:p>
      <w:pPr>
        <w:spacing w:after="160" w:before="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68707E"/>
          <w:sz w:val="19"/>
          <w:szCs w:val="19"/>
        </w:rPr>
        <w:t xml:space="preserve">Scan this first. If the word is here, the full entry is in Section 3.</w:t>
      </w: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600"/>
        <w:gridCol w:w="5680"/>
        <w:gridCol w:w="1800"/>
      </w:tblGrid>
      <w:tr>
        <w:trPr>
          <w:tblHeader/>
        </w:trPr>
        <w:tc>
          <w:tcPr>
            <w:tcW w:type="dxa" w:w="2600"/>
            <w:shd w:fill="1A243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4"/>
                <w:sz w:val="16"/>
                <w:szCs w:val="16"/>
              </w:rPr>
              <w:t xml:space="preserve">Term</w:t>
            </w:r>
          </w:p>
        </w:tc>
        <w:tc>
          <w:tcPr>
            <w:tcW w:type="dxa" w:w="5680"/>
            <w:shd w:fill="1A243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4"/>
                <w:sz w:val="16"/>
                <w:szCs w:val="16"/>
              </w:rPr>
              <w:t xml:space="preserve">What it means, in one line</w:t>
            </w:r>
          </w:p>
        </w:tc>
        <w:tc>
          <w:tcPr>
            <w:tcW w:type="dxa" w:w="1800"/>
            <w:shd w:fill="1A243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4"/>
                <w:sz w:val="16"/>
                <w:szCs w:val="16"/>
              </w:rPr>
              <w:t xml:space="preserve">Added</w:t>
            </w: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5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r>
        <w:br w:type="page"/>
      </w:r>
    </w:p>
    <w:p>
      <w:pPr>
        <w:spacing w:after="40" w:before="360" w:line="276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B91C1C"/>
          <w:spacing w:val="16"/>
          <w:sz w:val="16"/>
          <w:szCs w:val="16"/>
        </w:rPr>
        <w:t xml:space="preserve">Section 03</w:t>
      </w:r>
    </w:p>
    <w:p>
      <w:pPr>
        <w:pBdr>
          <w:bottom w:val="single" w:color="E4E2DA" w:sz="4" w:space="6"/>
        </w:pBdr>
        <w:spacing w:after="160" w:line="276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1A2433"/>
          <w:sz w:val="26"/>
          <w:szCs w:val="26"/>
        </w:rPr>
        <w:t xml:space="preserve">Entries</w:t>
      </w:r>
    </w:p>
    <w:p>
      <w:pPr>
        <w:spacing w:after="200" w:before="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68707E"/>
          <w:sz w:val="19"/>
          <w:szCs w:val="19"/>
        </w:rPr>
        <w:t xml:space="preserve">The first block is filled in as an example of the shape. Copy any empty block and paste it at the end to add more.</w:t>
      </w:r>
    </w:p>
    <w:p>
      <w:pPr>
        <w:spacing w:after="80" w:before="0" w:line="276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B91C1C"/>
          <w:spacing w:val="14"/>
          <w:sz w:val="16"/>
          <w:szCs w:val="16"/>
        </w:rPr>
        <w:t xml:space="preserve">Example entry</w:t>
      </w: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74253"/>
                <w:sz w:val="20"/>
                <w:szCs w:val="20"/>
              </w:rPr>
              <w:t xml:space="preserve">Idempotent</w:t>
            </w: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74253"/>
                <w:sz w:val="20"/>
                <w:szCs w:val="20"/>
              </w:rPr>
              <w:t xml:space="preserve">Doing it twice changes nothing. The second run lands on the same result as the first, so a repeat is harmless.</w:t>
            </w: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74253"/>
                <w:sz w:val="20"/>
                <w:szCs w:val="20"/>
              </w:rPr>
              <w:t xml:space="preserve">It is why a payment webhook can safely arrive twice without charging the customer twice, and why our digest can be re-run without emailing the same people again.</w:t>
            </w: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74253"/>
                <w:sz w:val="20"/>
                <w:szCs w:val="20"/>
              </w:rPr>
              <w:t xml:space="preserve">“The upsert is idempotent, so if Stripe retries the event we just write the same row again.”</w:t>
            </w: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74253"/>
                <w:sz w:val="20"/>
                <w:szCs w:val="20"/>
              </w:rPr>
              <w:t xml:space="preserve">Upsert · Retry · Dedupe</w:t>
            </w: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74253"/>
                <w:sz w:val="20"/>
                <w:szCs w:val="20"/>
              </w:rPr>
              <w:t xml:space="preserve">Stripe webhook handler, server.js</w:t>
            </w:r>
          </w:p>
        </w:tc>
      </w:tr>
    </w:tbl>
    <w:p>
      <w:r>
        <w:br w:type="page"/>
      </w:r>
    </w:p>
    <w:p>
      <w:pPr>
        <w:spacing w:after="80" w:before="0" w:line="276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B91C1C"/>
          <w:spacing w:val="14"/>
          <w:sz w:val="16"/>
          <w:szCs w:val="16"/>
        </w:rPr>
        <w:t xml:space="preserve">New entries</w:t>
      </w: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00" w:before="0" w:line="276"/>
      </w:pP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00" w:before="0" w:line="276"/>
      </w:pP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r>
        <w:br w:type="page"/>
      </w:r>
    </w:p>
    <w:p>
      <w:pPr>
        <w:spacing w:after="80" w:before="0" w:line="276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B91C1C"/>
          <w:spacing w:val="14"/>
          <w:sz w:val="16"/>
          <w:szCs w:val="16"/>
        </w:rPr>
        <w:t xml:space="preserve">New entries (continued)</w:t>
      </w: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00" w:before="0" w:line="276"/>
      </w:pP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00" w:before="0" w:line="276"/>
      </w:pP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r>
        <w:br w:type="page"/>
      </w:r>
    </w:p>
    <w:p>
      <w:pPr>
        <w:spacing w:after="80" w:before="0" w:line="276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B91C1C"/>
          <w:spacing w:val="14"/>
          <w:sz w:val="16"/>
          <w:szCs w:val="16"/>
        </w:rPr>
        <w:t xml:space="preserve">New entries (continued)</w:t>
      </w: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00" w:before="0" w:line="276"/>
      </w:pP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00" w:before="0" w:line="276"/>
      </w:pP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r>
        <w:br w:type="page"/>
      </w:r>
    </w:p>
    <w:p>
      <w:pPr>
        <w:spacing w:after="80" w:before="0" w:line="276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B91C1C"/>
          <w:spacing w:val="14"/>
          <w:sz w:val="16"/>
          <w:szCs w:val="16"/>
        </w:rPr>
        <w:t xml:space="preserve">New entries (continued)</w:t>
      </w: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00" w:before="0" w:line="276"/>
      </w:pP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00" w:before="0" w:line="276"/>
      </w:pPr>
    </w:p>
    <w:tbl>
      <w:tblPr>
        <w:tblW w:type="dxa" w:w="10080"/>
        <w:tblBorders>
          <w:top w:val="single" w:color="D8D4C9" w:sz="4"/>
          <w:left w:val="single" w:color="D8D4C9" w:sz="4"/>
          <w:bottom w:val="single" w:color="D8D4C9" w:sz="4"/>
          <w:right w:val="single" w:color="D8D4C9" w:sz="4"/>
          <w:insideH w:val="single" w:color="E4E2DA" w:sz="4"/>
          <w:insideV w:val="single" w:color="E4E2DA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Plain English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In a sentence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Related to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  <w:trHeight w:val="440" w:hRule="atLeast"/>
        </w:trPr>
        <w:tc>
          <w:tcPr>
            <w:tcW w:type="dxa" w:w="2200"/>
            <w:shd w:fill="F5F4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8707E"/>
                <w:spacing w:val="12"/>
                <w:sz w:val="16"/>
                <w:szCs w:val="16"/>
              </w:rPr>
              <w:t xml:space="preserve">Where I saw it</w:t>
            </w:r>
          </w:p>
        </w:tc>
        <w:tc>
          <w:tcPr>
            <w:tcW w:type="dxa" w:w="78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</w:p>
        </w:tc>
      </w:tr>
    </w:tbl>
    <w:p>
      <w:pPr>
        <w:pBdr>
          <w:top w:val="single" w:color="E4E2DA" w:sz="4" w:space="8"/>
        </w:pBdr>
        <w:spacing w:before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9AA2AD"/>
          <w:sz w:val="16"/>
          <w:szCs w:val="16"/>
        </w:rPr>
        <w:t xml:space="preserve">Kept by CompNinja  ·  info@compninja.co</w:t>
      </w:r>
    </w:p>
    <w:sectPr>
      <w:footerReference w:type="default" r:id="rId7"/>
      <w:pgSz w:w="12240" w:h="15840" w:orient="portrait"/>
      <w:pgMar w:top="1440" w:right="1080" w:bottom="11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2DA" w:sz="4" w:space="8"/>
      </w:pBdr>
      <w:tabs>
        <w:tab w:val="right" w:pos="10080"/>
      </w:tabs>
      <w:spacing w:before="0"/>
    </w:pPr>
    <w:r>
      <w:rPr>
        <w:rFonts w:ascii="Segoe UI" w:cs="Segoe UI" w:eastAsia="Segoe UI" w:hAnsi="Segoe UI"/>
        <w:color w:val="9AA2AD"/>
        <w:sz w:val="16"/>
        <w:szCs w:val="16"/>
      </w:rPr>
      <w:t xml:space="preserve">CompNinja  ·  Developer Jargon</w:t>
    </w:r>
    <w:r>
      <w:rPr>
        <w:rFonts w:ascii="Segoe UI" w:cs="Segoe UI" w:eastAsia="Segoe UI" w:hAnsi="Segoe UI"/>
      </w:rPr>
      <w:t xml:space="preserve">	</w:t>
    </w:r>
    <w:r>
      <w:rPr>
        <w:rFonts w:ascii="Segoe UI" w:cs="Segoe UI" w:eastAsia="Segoe UI" w:hAnsi="Segoe UI"/>
        <w:color w:val="9AA2AD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Segoe UI" w:cs="Segoe UI" w:eastAsia="Segoe UI" w:hAnsi="Segoe UI"/>
        <w:color w:val="B9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25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79cd684c707358d69f670b7d532231d8e9bca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Developer Jargon</dc:title>
  <dc:creator>CompNinja</dc:creator>
  <dc:description>CompNinja-branded glossary template for recording unfamiliar words and phrases.</dc:description>
  <cp:lastModifiedBy>Un-named</cp:lastModifiedBy>
  <cp:revision>1</cp:revision>
  <dcterms:created xsi:type="dcterms:W3CDTF">2026-08-21T19:08:00.135Z</dcterms:created>
  <dcterms:modified xsi:type="dcterms:W3CDTF">2026-08-21T19:08:00.135Z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