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w:t>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[@martinGoogle2021;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2"/>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commentRangeStart w:id="0"/>
      <w:r w:rsidDel="00000000" w:rsidR="00000000" w:rsidRPr="00000000">
        <w:rPr>
          <w:rtl w:val="0"/>
        </w:rPr>
        <w:t xml:space="preserve">Even when citations and full texts are available, the amount and quality of information that can be reliably encoded remain limited. Citation data are notoriously difficult to structure because both the notion of what constitutes a reference and the conventions for recording it have changed over time. As a result, an article may extensively cite a document—such as a working paper or a report—that does not follow standard bibliographic formats and thus never appears in citation databases. Full texts face similar limitations: mathematical expressions and empirical material, such as tables, are often poorly captured or inconsistently encoded by providers. These shortcomings restrict what can be studied by  a quantitative analysis.</w:t>
      </w:r>
      <w:commentRangeEnd w:id="0"/>
      <w:r w:rsidDel="00000000" w:rsidR="00000000" w:rsidRPr="00000000">
        <w:commentReference w:id="0"/>
      </w:r>
      <w:r w:rsidDel="00000000" w:rsidR="00000000" w:rsidRPr="00000000">
        <w:rPr>
          <w:rtl w:val="0"/>
        </w:rPr>
        <w:t xml:space="preserve"> </w:t>
      </w:r>
    </w:p>
    <w:p w:rsidR="00000000" w:rsidDel="00000000" w:rsidP="00000000" w:rsidRDefault="00000000" w:rsidRPr="00000000" w14:paraId="0000000F">
      <w:pPr>
        <w:rPr/>
      </w:pPr>
      <w:r w:rsidDel="00000000" w:rsidR="00000000" w:rsidRPr="00000000">
        <w:rPr>
          <w:b w:val="1"/>
          <w:bCs w:val="1"/>
          <w:rtl w:val="0"/>
        </w:rPr>
        <w:t xml:space="preserve">A first important point is, therefore, that data availability shapes what we are able to ask and so to answer.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existing databases to fulfill a particular goal. </w:t>
      </w:r>
      <w:r w:rsidDel="00000000" w:rsidR="00000000" w:rsidRPr="00000000">
        <w:rPr>
          <w:rtl w:val="0"/>
        </w:rPr>
        <w:t xml:space="preserve">For example, even for a medium-scale study of the publications of the European Economic Review [@goutsmedtIndependent2023]—few thousands documents—required to combine three heterogenous databases: Econlit (for JEL codes classification) Web of Science and Scopus (for missing coverage of Web of Science).</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collect a new list of articles. We retrieved full texts first through the Elsevier Full-Text API, when available. Finally,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Web of Science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metadata,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empirical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abstracts, footnotes, appendices, or acknowledgments be analyzed or excluded? Each decision may carry historiographical implications. It shapes the corpus and, ultimately, the history of rationality our methods can reveal. There is rarely a single definitive and uncontestable choice,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 specific example,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could not be matched to WoS records, which prevents us, when relevant,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@DelceyFama2025] or of one or several individuals [@trucDisciplinary2025] entails comparatively definitional or boundary challenges. In contrast, most objects studied by historians lack clear definitions or boundaries.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Quantitative contributions force the researcher to settle on a narrow but operational definition of the object under study.</w:t>
      </w:r>
      <w:r w:rsidDel="00000000" w:rsidR="00000000" w:rsidRPr="00000000">
        <w:rPr>
          <w:b w:val="1"/>
          <w:bCs w:val="1"/>
          <w:rtl w:val="0"/>
        </w:rPr>
        <w:t xml:space="preserve"> </w:t>
      </w:r>
      <w:r w:rsidDel="00000000" w:rsidR="00000000" w:rsidRPr="00000000">
        <w:rPr>
          <w:rtl w:val="0"/>
        </w:rPr>
        <w:t xml:space="preserve">Non-quantitative </w:t>
      </w:r>
      <w:r w:rsidDel="00000000" w:rsidR="00000000" w:rsidRPr="00000000">
        <w:rPr>
          <w:rtl w:val="0"/>
        </w:rPr>
        <w:t xml:space="preserve">historical methods, by contrast,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Therefore,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vertAlign w:val="superscript"/>
        </w:rPr>
        <w:footnoteReference w:customMarkFollows="0" w:id="8"/>
      </w:r>
      <w:r w:rsidDel="00000000" w:rsidR="00000000" w:rsidRPr="00000000">
        <w:rPr>
          <w:rtl w:val="0"/>
        </w:rPr>
        <w:t xml:space="preserve">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Understanding the historical development of such proxies is thus essential for interpreting the nature of the corpus they produce. More generally, a thorough knowledge of the history of the object being studied is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9"/>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w:t>
      </w:r>
      <w:r w:rsidDel="00000000" w:rsidR="00000000" w:rsidRPr="00000000">
        <w:rPr>
          <w:vertAlign w:val="superscript"/>
        </w:rPr>
        <w:footnoteReference w:customMarkFollows="0" w:id="10"/>
      </w:r>
      <w:r w:rsidDel="00000000" w:rsidR="00000000" w:rsidRPr="00000000">
        <w:rPr>
          <w:rtl w:val="0"/>
        </w:rPr>
        <w:t xml:space="preserve">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and “Great Inflation”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of “rationality” itself,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or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LLMs are algorithms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3"/>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“representative vector” that is a moving average vector with a five-year symmetric window.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can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one of the most straightforward indicators is term frequency, that is counting how often particular words or expressions appear.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simpler, more straightforward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As emphasized in this literature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commentRangeStart w:id="1"/>
      <w:r w:rsidDel="00000000" w:rsidR="00000000" w:rsidRPr="00000000">
        <w:rPr>
          <w:rtl w:val="0"/>
        </w:rPr>
        <w:t xml:space="preserve">a dynamic that reflects the well-known Matthew effect.</w:t>
      </w:r>
      <w:commentRangeEnd w:id="1"/>
      <w:r w:rsidDel="00000000" w:rsidR="00000000" w:rsidRPr="00000000">
        <w:commentReference w:id="1"/>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(e.g., Simon, George Katona), to the emergence of “new” behavioral economics is organized around such milestones. In this sense, citations serve as a complementary proxy alongside these traditional indicators. For instance, although both Simon and Kahneman received the Nobel Prize, Kahneman ultimately exerted a broader influence on the discipline—something that is reflected in citation patterns. 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w:t>
      </w:r>
    </w:p>
    <w:p w:rsidR="00000000" w:rsidDel="00000000" w:rsidP="00000000" w:rsidRDefault="00000000" w:rsidRPr="00000000" w14:paraId="0000002B">
      <w:pPr>
        <w:rPr/>
      </w:pPr>
      <w:r w:rsidDel="00000000" w:rsidR="00000000" w:rsidRPr="00000000">
        <w:rPr>
          <w:rtl w:val="0"/>
        </w:rPr>
        <w:t xml:space="preserve">@fig-rationality-paper-citations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w:t>
      </w:r>
    </w:p>
    <w:p w:rsidR="00000000" w:rsidDel="00000000" w:rsidP="00000000" w:rsidRDefault="00000000" w:rsidRPr="00000000" w14:paraId="0000002C">
      <w:pPr>
        <w:rPr/>
      </w:pPr>
      <w:r w:rsidDel="00000000" w:rsidR="00000000" w:rsidRPr="00000000">
        <w:rPr>
          <w:rtl w:val="0"/>
        </w:rPr>
        <w:t xml:space="preserve">The influence of “new” behavioral economics clearly exceeds that of the earlier tradition, both in the top five journals and in the broader set of economics journals indexed in Web of Science.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D">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E">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F">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4"/>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0">
      <w:pPr>
        <w:rPr/>
      </w:pPr>
      <w:r w:rsidDel="00000000" w:rsidR="00000000" w:rsidRPr="00000000">
        <w:rPr>
          <w:rtl w:val="0"/>
        </w:rPr>
        <w:t xml:space="preserve">The counterpart of unsupervised methods are supervised methods—such as regressions—which estimate predefined relationships in the data. In contrast, unsupervised methods are particularly well suited to exploratory analysis. In this research context, analysts often lack precise knowledge of the corpus and its various intellectual contexts.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labelled data become harder to obtain and increase the risk of imposing categories that are inadequate or anachronistic relative to the historical context.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In this paper, for citation data, we use a method commonly employed in the history of economic thought: bibliographic coupling [ref].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their internal organization, including hierarchies and core–periphery structures.</w:t>
      </w:r>
    </w:p>
    <w:p w:rsidR="00000000" w:rsidDel="00000000" w:rsidP="00000000" w:rsidRDefault="00000000" w:rsidRPr="00000000" w14:paraId="00000032">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[three papers], we therefore split our corpus into overlapping eight-year windows, beginning in 1960 (1960–1967; 1961–1968; … ; 2002–2009), and built a series of 43 separate networks. Using community-detection algorithms [@traag…], we identify groups of documents that share a substantial fraction of references and therefore have a similar intellectual background; we refer to these groups as “bibliographic communities.” Our next step is to identify communities that persist over time. When two communities from consecutive networks share many of the same articles, we treat them as instances of the same underlying group—an “intertemporal bibliographic community.” In this way, our bibliographic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For textual data, historians of economics frequently rely on topic modeling [Ref].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4">
      <w:pPr>
        <w:rPr/>
      </w:pPr>
      <w:r w:rsidDel="00000000" w:rsidR="00000000" w:rsidRPr="00000000">
        <w:rPr>
          <w:rtl w:val="0"/>
        </w:rPr>
        <w:t xml:space="preserve">Because we focus on one large and historically fluid concept, we draw on the literature on semantic drift [ref] and take inspiration from @ref. Rather than starting with full documents, </w:t>
      </w:r>
      <w:r w:rsidDel="00000000" w:rsidR="00000000" w:rsidRPr="00000000">
        <w:rPr>
          <w:rtl w:val="0"/>
        </w:rPr>
        <w:t xml:space="preserve">we filter each year’s corpus to retain only the </w:t>
      </w:r>
      <w:r w:rsidDel="00000000" w:rsidR="00000000" w:rsidRPr="00000000">
        <w:rPr>
          <w:rtl w:val="0"/>
        </w:rPr>
        <w:t xml:space="preserve"> top 1% of sentences that are most similar to our annual representative vectors of “rationality” and “rational.” In other words, we extract the sentences most likely to engage with the concept of rationality in any form.</w:t>
      </w:r>
      <w:r w:rsidDel="00000000" w:rsidR="00000000" w:rsidRPr="00000000">
        <w:rPr>
          <w:vertAlign w:val="superscript"/>
        </w:rPr>
        <w:footnoteReference w:customMarkFollows="0" w:id="15"/>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5">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6"/>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With both methods, we thus obtain a list of “intertemporal bibliographic communities” and “intertemporal semantic clusters.”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than through citations. Choosing between the two therefore depends directly on the specific historical questions one aims to address. </w:t>
      </w:r>
    </w:p>
    <w:p w:rsidR="00000000" w:rsidDel="00000000" w:rsidP="00000000" w:rsidRDefault="00000000" w:rsidRPr="00000000" w14:paraId="00000037">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8"/>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8">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9">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categories—bibliographic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Groups resulting from an unsupervised method can comprise, depending on the corpus, anything from a few dozen to several thousand texts. To make sense of what brings peculiar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A">
      <w:pPr>
        <w:ind w:right="0"/>
        <w:rPr/>
      </w:pPr>
      <w:r w:rsidDel="00000000" w:rsidR="00000000" w:rsidRPr="00000000">
        <w:rPr>
          <w:rtl w:val="0"/>
        </w:rPr>
        <w:t xml:space="preserve">Thus, whether at the stage of data construction or in the interpretation of statistical patterns, quantitative methods demand a continuous dialogue with qualitative interpretation, supported by a close reading of the secondary literature on the topic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tools—such as our interactive applications—to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Let us take as an example the semantic cluster 11, which gathers close to 20,000 sentences from 1920 to 2009. How can we get a sense of what this cluster actually coalesces around? Before any qualitative interpretation or contextualization with the secondary literature is possible, we must first produce a series of indicators to characterize the cluster. Such indicators include:</w:t>
      </w:r>
    </w:p>
    <w:p w:rsidR="00000000" w:rsidDel="00000000" w:rsidP="00000000" w:rsidRDefault="00000000" w:rsidRPr="00000000" w14:paraId="0000003C">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most recurring authors. While Talcott Parsons and Frank Knight appear frequently in the 1920s and 1930s, Herbert Simon becomes a central author in the 1950s and 1970s. In the 1990s, we notably find Robert Sugden.</w:t>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and to see the evolution of these uses across time but also across topics and subdisciplines (in game theory, macroeconomics, behavioral economics or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fine-grained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
      <w:commentRangeStart w:id="3"/>
      <w:r w:rsidDel="00000000" w:rsidR="00000000" w:rsidRPr="00000000">
        <w:rPr>
          <w:rtl w:val="0"/>
        </w:rPr>
        <w:t xml:space="preserve">“Behavioral Economics and Choice Theory”</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9"/>
      </w:r>
      <w:r w:rsidDel="00000000" w:rsidR="00000000" w:rsidRPr="00000000">
        <w:rPr>
          <w:rtl w:val="0"/>
        </w:rPr>
        <w:t xml:space="preserve"> </w:t>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w:t>
      </w: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t xml:space="preserve">In a first step, we zoom out to obtain a broad, encompassing view of the overall patterns revealed by our results.</w:t>
      </w:r>
    </w:p>
    <w:p w:rsidR="00000000" w:rsidDel="00000000" w:rsidP="00000000" w:rsidRDefault="00000000" w:rsidRPr="00000000" w14:paraId="00000049">
      <w:pPr>
        <w:rPr/>
      </w:pPr>
      <w:r w:rsidDel="00000000" w:rsidR="00000000" w:rsidRPr="00000000">
        <w:rPr>
          <w:rtl w:val="0"/>
        </w:rPr>
        <w:t xml:space="preserve">When our quantitative inquiry begins in 1900, the concept of rationality had already gained prominence, in line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iCs w:val="1"/>
          <w:rtl w:val="0"/>
        </w:rPr>
        <w:t xml:space="preserve">Essays on Some Unsettled Questions of Political Economy</w:t>
      </w:r>
      <w:r w:rsidDel="00000000" w:rsidR="00000000" w:rsidRPr="00000000">
        <w:rPr>
          <w:rtl w:val="0"/>
        </w:rPr>
        <w:t xml:space="preserve">:</w:t>
      </w:r>
    </w:p>
    <w:p w:rsidR="00000000" w:rsidDel="00000000" w:rsidP="00000000" w:rsidRDefault="00000000" w:rsidRPr="00000000" w14:paraId="0000004A">
      <w:pPr>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4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In our first two decades, we can indeed identify the beginning of a cluster dealing with utility (cluster 14, which disappears in the 1960s). Yet, if anything, marginal utility theory appears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0"/>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21"/>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D">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E">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or part of cluster 2), and agricultural issues (cluster 13).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F">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0">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1">
      <w:pPr>
        <w:rPr/>
      </w:pPr>
      <w:r w:rsidDel="00000000" w:rsidR="00000000" w:rsidRPr="00000000">
        <w:rPr>
          <w:rtl w:val="0"/>
        </w:rPr>
        <w:t xml:space="preserve">Yet this position was not uncontested. Wallace Edwin Armstrong, a Cambridge anthropologist turned economist [@gregoryArmstrong2018], defended the measurability of utility in the </w:t>
      </w:r>
      <w:r w:rsidDel="00000000" w:rsidR="00000000" w:rsidRPr="00000000">
        <w:rPr>
          <w:i w:val="1"/>
          <w:iCs w:val="1"/>
          <w:rtl w:val="0"/>
        </w:rPr>
        <w:t xml:space="preserve">Economic Journal</w:t>
      </w:r>
      <w:r w:rsidDel="00000000" w:rsidR="00000000" w:rsidRPr="00000000">
        <w:rPr>
          <w:rtl w:val="0"/>
        </w:rPr>
        <w:t xml:space="preserve"> on the basis of introspection. He argued that if it were possible to observe “by introspection the fact that I prefer A to B more strongly than I prefer A to C,” this would constitute sufficient grounds for assuming a determinate utility function and employing the marginal-utility concept [@armstrongDeterminateness1939, 462].</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In these debates, terms such as “introspection,” “satisfaction(s),” and “pleasure” recur frequently in the cluster during the 1930s and 1940s.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another cluster emerges in the 1950s: the game-theory cluster, which ultimately comes to represent nearly 15% of all sentences after 1990.</w:t>
      </w:r>
    </w:p>
    <w:p w:rsidR="00000000" w:rsidDel="00000000" w:rsidP="00000000" w:rsidRDefault="00000000" w:rsidRPr="00000000" w14:paraId="00000053">
      <w:pPr>
        <w:rPr/>
      </w:pPr>
      <w:r w:rsidDel="00000000" w:rsidR="00000000" w:rsidRPr="00000000">
        <w:rPr>
          <w:rtl w:val="0"/>
        </w:rPr>
        <w:t xml:space="preserve">Such transformations of rationality in economics are also visible through changing considerations of the proper methods of the discipline. Semantic cluster 12, which spans the period from 1900 to 1979, deals with firms, profits, and entrepreneurs. After 1940, it becomes clear that this cluster increasingly centers on “profit maximization.” In the 1940s, the cluster captures the core of the so-called “marginalist controversy” [@backhouseFriedmans2009], notably through Fritz Machlup’s response to Richard Lester’s attack on marginal theory, particularly as applied to firms’ behavior [-@machlupMarginal1946].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p>
    <w:p w:rsidR="00000000" w:rsidDel="00000000" w:rsidP="00000000" w:rsidRDefault="00000000" w:rsidRPr="00000000" w14:paraId="00000054">
      <w:pPr>
        <w:rPr/>
      </w:pPr>
      <w:r w:rsidDel="00000000" w:rsidR="00000000" w:rsidRPr="00000000">
        <w:rPr>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 first acknowledged that it was not “inconceivable that business is run more by routine than by rationality” [@hurwiczTheory1946, 110], but argued that behavior may appear irrational or merely “routine” from the standpoint of a purely static theory that ignores uncertainty, while proving fully “rational” once uncertainty and long-run effects are taken into account. Although Hurwicz’s article called for further empirical work to improve the theory of the firm [@herfeldTheories2018],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the assumption of expected utility.</w:t>
      </w:r>
    </w:p>
    <w:p w:rsidR="00000000" w:rsidDel="00000000" w:rsidP="00000000" w:rsidRDefault="00000000" w:rsidRPr="00000000" w14:paraId="00000055">
      <w:pPr>
        <w:rPr/>
      </w:pPr>
      <w:r w:rsidDel="00000000" w:rsidR="00000000" w:rsidRPr="00000000">
        <w:rPr>
          <w:rtl w:val="0"/>
        </w:rPr>
        <w:t xml:space="preserve">Finally, a quick look at semantic cluster 9, centered on the methodology of economics, provides further clues about the changing status of debates on rationality after the 1930s. While in the 1920s and 1930s economists still dealt with “human nature,” “passions,” or “prejudices,” terms such as “logical implications” and “assumptions”—and, after the 1970s, “model” and “optimal”—became increasingly central.</w:t>
      </w:r>
    </w:p>
    <w:p w:rsidR="00000000" w:rsidDel="00000000" w:rsidP="00000000" w:rsidRDefault="00000000" w:rsidRPr="00000000" w14:paraId="00000056">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w:t>
      </w:r>
      <w:r w:rsidDel="00000000" w:rsidR="00000000" w:rsidRPr="00000000">
        <w:rPr>
          <w:vertAlign w:val="superscript"/>
        </w:rPr>
        <w:footnoteReference w:customMarkFollows="0" w:id="22"/>
      </w:r>
      <w:r w:rsidDel="00000000" w:rsidR="00000000" w:rsidRPr="00000000">
        <w:rPr>
          <w:rtl w:val="0"/>
        </w:rPr>
        <w:t xml:space="preserve">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to the design of “rationalizing” policies [@herfeldTheories2018; @handsNormative2015].</w:t>
      </w:r>
    </w:p>
    <w:p w:rsidR="00000000" w:rsidDel="00000000" w:rsidP="00000000" w:rsidRDefault="00000000" w:rsidRPr="00000000" w14:paraId="00000057">
      <w:pPr>
        <w:rPr/>
      </w:pPr>
      <w:r w:rsidDel="00000000" w:rsidR="00000000" w:rsidRPr="00000000">
        <w:rPr>
          <w:rtl w:val="0"/>
        </w:rPr>
        <w:t xml:space="preserve">This shift is first observable in semantic cluster 11 on rationality, which in the 1930s focused on the concept—relatively neglected in the history of economic thought—of “rationalization.” In a review of the literature on the topic,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It becomes even more pronounced, however, with the multiplication of debates on economic planning and the rationalization of policy decisions from the 1940s onward, particularly in cluster 8.</w:t>
      </w:r>
    </w:p>
    <w:p w:rsidR="00000000" w:rsidDel="00000000" w:rsidP="00000000" w:rsidRDefault="00000000" w:rsidRPr="00000000" w14:paraId="00000058">
      <w:pPr>
        <w:rPr/>
      </w:pPr>
      <w:r w:rsidDel="00000000" w:rsidR="00000000" w:rsidRPr="00000000">
        <w:rPr>
          <w:rtl w:val="0"/>
        </w:rPr>
        <w:t xml:space="preserve">Cluster 5 further exemplifies the emergence of this social dimension of rationality, in which “human decision” is linked to rational “decision making” not only for individuals but also for firms and public policy. It is also in this cluster that issues of social choice emerge, notably debates on the implications of Arrow’s impossibility theorem [-@arrowSocial1951; see e.g. @igersheimDeath2019].</w:t>
      </w:r>
      <w:r w:rsidDel="00000000" w:rsidR="00000000" w:rsidRPr="00000000">
        <w:rPr>
          <w:vertAlign w:val="superscript"/>
        </w:rPr>
        <w:footnoteReference w:customMarkFollows="0" w:id="23"/>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centered on “voting” and “majority decision” and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w:t>
      </w:r>
    </w:p>
    <w:p w:rsidR="00000000" w:rsidDel="00000000" w:rsidP="00000000" w:rsidRDefault="00000000" w:rsidRPr="00000000" w14:paraId="00000059">
      <w:pPr>
        <w:rPr/>
      </w:pP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p>
    <w:p w:rsidR="00000000" w:rsidDel="00000000" w:rsidP="00000000" w:rsidRDefault="00000000" w:rsidRPr="00000000" w14:paraId="0000005A">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Macroeconomics constituted a relatively important semantic cluster from the beginning of our period, in 1900, notably through monetary economics (cluster 1). This cluster grew in importance in the 1930s, particularly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p>
    <w:p w:rsidR="00000000" w:rsidDel="00000000" w:rsidP="00000000" w:rsidRDefault="00000000" w:rsidRPr="00000000" w14:paraId="0000005B">
      <w:pPr>
        <w:rPr/>
      </w:pPr>
      <w:r w:rsidDel="00000000" w:rsidR="00000000" w:rsidRPr="00000000">
        <w:rPr>
          <w:rtl w:val="0"/>
        </w:rPr>
        <w:t xml:space="preserve">The concept has an early history: it was developed by @muthRational1961 in the context of price movements in agriculture and later popularized when Carnegie colleagues—Robert E. Lucas, Edward C. Prescott, and Thomas J. Sargent—applied it to macroeconomics [@lucasExpectations1972; @sargentRational1973]. Rational expectations became central in the early 1970s and quickly controversial in debates over monetary and fiscal policy [see, e.g., @sargentwallace1975].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4"/>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C">
      <w:pPr>
        <w:rPr/>
      </w:pPr>
      <w:r w:rsidDel="00000000" w:rsidR="00000000" w:rsidRPr="00000000">
        <w:rPr>
          <w:rtl w:val="0"/>
        </w:rPr>
        <w:t xml:space="preserve">A similar trajectory to macroeconomics can also be observed in finance. The origins of financial issues can be traced to semantic cluster 3, which appears from the outset and is initially centered on returns on capital. After the 1940s, this cluster still represents a relatively small share of sentences (around 4%) but now focuses on investment decisions; during this period, @shackleTheory1942 on investment under uncertainty is among the most representative articles. After the 1960s, cluster 3 becomes much more prominent, consistently accounting for more than 10% of all sentences, with “portfolio,” “risk,” “arbitrage,” and “capital asset pricing” becoming standard vocabulary.</w:t>
      </w:r>
    </w:p>
    <w:p w:rsidR="00000000" w:rsidDel="00000000" w:rsidP="00000000" w:rsidRDefault="00000000" w:rsidRPr="00000000" w14:paraId="0000005D">
      <w:pPr>
        <w:rPr/>
      </w:pPr>
      <w:r w:rsidDel="00000000" w:rsidR="00000000" w:rsidRPr="00000000">
        <w:rPr>
          <w:rtl w:val="0"/>
        </w:rPr>
        <w:t xml:space="preserve">Interestingly, we also observe increasing proximities between the finance literature and the rational-expectations framework from the mid-1970s onward. This is particularly visible in the bibliometric community labeled “Rational Expectations and Market Information,” which emerges in the 1976–1983 window. At its core lies the problem of imperfect information, with @rothschildEquilibrium1976 as a key reference. Another central contribution is @grossmanImpossibility1980, which draws on Lucas’s imperfect-information framework [@lucasExpectations1972] and combines rational expectations with noisy signals to question market efficiency [see @delceyEfficient2023].</w:t>
      </w:r>
    </w:p>
    <w:p w:rsidR="00000000" w:rsidDel="00000000" w:rsidP="00000000" w:rsidRDefault="00000000" w:rsidRPr="00000000" w14:paraId="0000005E">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aggregate models to an object of direct investigation at the individual level.</w:t>
      </w:r>
    </w:p>
    <w:p w:rsidR="00000000" w:rsidDel="00000000" w:rsidP="00000000" w:rsidRDefault="00000000" w:rsidRPr="00000000" w14:paraId="0000005F">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60">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61">
      <w:pPr>
        <w:rPr/>
      </w:pPr>
      <w:r w:rsidDel="00000000" w:rsidR="00000000" w:rsidRPr="00000000">
        <w:rPr>
          <w:rtl w:val="0"/>
        </w:rPr>
        <w:t xml:space="preserve">The term "behavioral economics" has a complex history, with George Katona often credited as an early adopter [@giladEconomic1984; @hosseiniGeorge2011].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precisely because it worked within the existing paradigm rather than challenging it fundamentally. Additionally, it emerged in the 1980s when economic theory faced multiple epistemological challenges, creating an opportune moment for alternative approaches. While our method cannot pinpoint the exact epistemological reasons for this shift, we can trace the reception and influence of both approaches to understand how and when they diverged.</w:t>
      </w:r>
    </w:p>
    <w:p w:rsidR="00000000" w:rsidDel="00000000" w:rsidP="00000000" w:rsidRDefault="00000000" w:rsidRPr="00000000" w14:paraId="00000062">
      <w:pPr>
        <w:ind w:right="0"/>
        <w:rPr/>
      </w:pPr>
      <w:r w:rsidDel="00000000" w:rsidR="00000000" w:rsidRPr="00000000">
        <w:rPr>
          <w:rtl w:val="0"/>
        </w:rPr>
        <w:t xml:space="preserve">Simon's concept of "bounded rationality" stands as one of the most influential critiques of standard rationality in economics in the sense that it framed a lot of the debates surrounding rationality. His presence dominated 1950s discussions, with his seminal articles and Nobel lecture  [@simonRational1979] appearing across numerous research areas from social choice theory to the theory of the firm and price setting.</w:t>
      </w:r>
    </w:p>
    <w:p w:rsidR="00000000" w:rsidDel="00000000" w:rsidP="00000000" w:rsidRDefault="00000000" w:rsidRPr="00000000" w14:paraId="00000063">
      <w:pPr>
        <w:ind w:right="0"/>
        <w:rPr/>
      </w:pPr>
      <w:r w:rsidDel="00000000" w:rsidR="00000000" w:rsidRPr="00000000">
        <w:rPr>
          <w:rtl w:val="0"/>
        </w:rPr>
        <w:t xml:space="preserve">Our textual analysis reveals Simon's conceptual centrality. Textual cluster 40, spanning roughly seventy years from 1950 onward, captures general discussions on rationality in economics. While early debates (1950s) focused on game theory and expected-utility theory [@schellingAbandonment1959; @ellsbergTheory1956; @marschakRational1950; @chernoffRational1954], by the 1970s "bounded rationality" became the cluster's most prevalent expression. By the 1990s, discussions of "boundedly rational agents," "unbounded rationality," and "procedural rationality" clearly positioned Simon's concepts as central to economic thought signaling a late but significant integration.</w:t>
      </w:r>
      <w:r w:rsidDel="00000000" w:rsidR="00000000" w:rsidRPr="00000000">
        <w:rPr>
          <w:vertAlign w:val="superscript"/>
        </w:rPr>
        <w:footnoteReference w:customMarkFollows="0" w:id="25"/>
      </w:r>
      <w:r w:rsidDel="00000000" w:rsidR="00000000" w:rsidRPr="00000000">
        <w:rPr>
          <w:rtl w:val="0"/>
        </w:rPr>
        <w:t xml:space="preserve"> This is corroborated by citation analysis as citations to Simon (1955) only rised very slowly in economics after its publications with peak citations happening in the post 2000s (@fig-rationality-paper-citations).</w:t>
      </w:r>
    </w:p>
    <w:p w:rsidR="00000000" w:rsidDel="00000000" w:rsidP="00000000" w:rsidRDefault="00000000" w:rsidRPr="00000000" w14:paraId="00000064">
      <w:pPr>
        <w:ind w:right="0"/>
        <w:rPr/>
      </w:pPr>
      <w:r w:rsidDel="00000000" w:rsidR="00000000" w:rsidRPr="00000000">
        <w:rPr>
          <w:rtl w:val="0"/>
        </w:rPr>
        <w:t xml:space="preserve">However, this conceptual influence did not translate into stable research communities. Bibliometrically, we find only small, unstable clusters formed around Simon's work. From 1960–1967, his ideas appeared in operations research circles (cl_5) and organizational theory critiques of profit maximization. Simon his more generally associated with other researcher critical perfect rationality like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 After 1969–1976, this stream landed in a smaller, short-lived community (cl_175). References to Simon and critiques of profit maximization then remain scattered, moving through several small communities (cl_182, cl_251, cl_300, cl_328). While Simon's influence in economics was enduring, it remains marginal.</w:t>
      </w:r>
    </w:p>
    <w:p w:rsidR="00000000" w:rsidDel="00000000" w:rsidP="00000000" w:rsidRDefault="00000000" w:rsidRPr="00000000" w14:paraId="00000065">
      <w:pPr>
        <w:ind w:right="0"/>
        <w:rPr/>
      </w:pPr>
      <w:r w:rsidDel="00000000" w:rsidR="00000000" w:rsidRPr="00000000">
        <w:rPr>
          <w:rtl w:val="0"/>
        </w:rPr>
        <w:t xml:space="preserve">In the 1977–1984 period, Simon's work was absorbed into a large "Behavioral Economics and Choice Theory" cluster alongside Kahneman's prospect theory. A similar phenomena can be observed in the textual analysis as the textual cluster 40 commented earlier. The cluster becomes increasingly populated by “new” behavioral economists (Matthew Rabin, Daniel Kahneman or Robert Sugden) and now includes critical comparison of “new” behavioral economics with other approaches such as the one formulated by Nathan Berg and Berg Gigerenzer [@bergAs-if2010] who criticize the tameness of “new” behavioral economcis models.</w:t>
      </w:r>
    </w:p>
    <w:p w:rsidR="00000000" w:rsidDel="00000000" w:rsidP="00000000" w:rsidRDefault="00000000" w:rsidRPr="00000000" w14:paraId="00000066">
      <w:pPr>
        <w:ind w:right="0"/>
        <w:rPr/>
      </w:pPr>
      <w:r w:rsidDel="00000000" w:rsidR="00000000" w:rsidRPr="00000000">
        <w:rPr>
          <w:rtl w:val="0"/>
        </w:rPr>
        <w:t xml:space="preserve">The crystallization of a distinct "Behavioral Decision Theory" around Kahneman and Tversky's contributions signal the beginning of an explosive growth of "new" behavioral economics. The cluster spins off several autonomous communities capturing the emergence of sub-fields within behavioral economics: pro-social behavior </w:t>
      </w:r>
      <w:r w:rsidDel="00000000" w:rsidR="00000000" w:rsidRPr="00000000">
        <w:rPr>
          <w:color w:val="980000"/>
          <w:rtl w:val="0"/>
        </w:rPr>
        <w:t xml:space="preserve">(cl_x)</w:t>
      </w:r>
      <w:r w:rsidDel="00000000" w:rsidR="00000000" w:rsidRPr="00000000">
        <w:rPr>
          <w:rtl w:val="0"/>
        </w:rPr>
        <w:t xml:space="preserve">, intertemporal decision-making </w:t>
      </w:r>
      <w:r w:rsidDel="00000000" w:rsidR="00000000" w:rsidRPr="00000000">
        <w:rPr>
          <w:color w:val="980000"/>
          <w:rtl w:val="0"/>
        </w:rPr>
        <w:t xml:space="preserve">(cl_x)</w:t>
      </w:r>
      <w:r w:rsidDel="00000000" w:rsidR="00000000" w:rsidRPr="00000000">
        <w:rPr>
          <w:rtl w:val="0"/>
        </w:rPr>
        <w:t xml:space="preserve">, behavioral game theory </w:t>
      </w:r>
      <w:r w:rsidDel="00000000" w:rsidR="00000000" w:rsidRPr="00000000">
        <w:rPr>
          <w:color w:val="980000"/>
          <w:rtl w:val="0"/>
        </w:rPr>
        <w:t xml:space="preserve">(cl_x)</w:t>
      </w:r>
      <w:r w:rsidDel="00000000" w:rsidR="00000000" w:rsidRPr="00000000">
        <w:rPr>
          <w:rtl w:val="0"/>
        </w:rPr>
        <w:t xml:space="preserve">, and behavioral finance </w:t>
      </w:r>
      <w:r w:rsidDel="00000000" w:rsidR="00000000" w:rsidRPr="00000000">
        <w:rPr>
          <w:color w:val="980000"/>
          <w:rtl w:val="0"/>
        </w:rPr>
        <w:t xml:space="preserve">(cl_x)</w:t>
      </w:r>
      <w:r w:rsidDel="00000000" w:rsidR="00000000" w:rsidRPr="00000000">
        <w:rPr>
          <w:rtl w:val="0"/>
        </w:rPr>
        <w:t xml:space="preserve">. By the 2000s, behavioral economics had become the dominant venue for research on rationality, with five behavioral economics clusters representing approximately 40% of the entire network.</w:t>
      </w:r>
    </w:p>
    <w:p w:rsidR="00000000" w:rsidDel="00000000" w:rsidP="00000000" w:rsidRDefault="00000000" w:rsidRPr="00000000" w14:paraId="00000067">
      <w:pPr>
        <w:ind w:right="0"/>
        <w:rPr/>
      </w:pPr>
      <w:r w:rsidDel="00000000" w:rsidR="00000000" w:rsidRPr="00000000">
        <w:rPr>
          <w:rtl w:val="0"/>
        </w:rPr>
        <w:t xml:space="preserve">The contrast with Simon is striking. While "bounded" and "procedural" rationality remain regularly invoked concepts, no later research community clearly carries Simon's heritage as a bibliometric anchor. The scale and speed of acceptance differed dramatically between the two approaches. By 1980, @kahnemanProspect1979 was already more cited than @simonBehavioral1955 had been at that time (@fig-rationality-paper-citations). By 1985, prospect theory had surpassed the lifetime citation peak that Simon's work ever achieved in economics. (@fig-rationality-paper-citations).  By the 2000s, most microeconomics publications about rationality are related to behavioral economics, and more generally, most publications about rationality are connected to the research program.</w:t>
      </w:r>
    </w:p>
    <w:p w:rsidR="00000000" w:rsidDel="00000000" w:rsidP="00000000" w:rsidRDefault="00000000" w:rsidRPr="00000000" w14:paraId="00000068">
      <w:pPr>
        <w:ind w:right="0"/>
        <w:rPr/>
      </w:pPr>
      <w:r w:rsidDel="00000000" w:rsidR="00000000" w:rsidRPr="00000000">
        <w:rPr>
          <w:rtl w:val="0"/>
        </w:rPr>
        <w:t xml:space="preserve">A first surprising results from our quantitative study is the stark contrasting reception of Kahneman and Simon in terms of temporality. For historian Floris Heukelom [@heukelomSense2012; @heukelomBehavioral2014], a pivotal moment in the history of behavioral economics is the explicit creation of research program within the Sloan and Russell Sage Foundations between 1984 and 1992 that most notably led to the pairing of Kahneman and Thaler that changed the trajectory of behavioral economics. However, our quantitative analysis suggests that even in the early 1980s it was clear that something particular was happening in terms of reception with the work of Kahneman and Tversky. Despite @kahnemanProspect1979 being the only economics publication of duo until 1985 and long before the Sloan-Sage Foundation research program (1984–1992) that formalized behavioral economics, prospect theory became very cited rapidly (@fig-rationality-paper-citations). As early as the 1977–1984 bibliometirc network, we find a cluster structured by the work of Kahneman and Tversky suggesting that not only their article his cited, but it rapidly structured a new strand of research in a way that never happened with Simon’s work in economics.</w:t>
      </w:r>
    </w:p>
    <w:p w:rsidR="00000000" w:rsidDel="00000000" w:rsidP="00000000" w:rsidRDefault="00000000" w:rsidRPr="00000000" w14:paraId="00000069">
      <w:pPr>
        <w:ind w:right="0"/>
        <w:rPr/>
      </w:pPr>
      <w:r w:rsidDel="00000000" w:rsidR="00000000" w:rsidRPr="00000000">
        <w:rPr>
          <w:rtl w:val="0"/>
        </w:rPr>
        <w:t xml:space="preserve">This is particularly remarkable given the external similarities between the two cases. Both Kahneman and Simon published in top economic journals and received Nobel Prizes. While Simon’s Nobel only increase his influence in economics marginally,  Kahneman’s Nobel reversed a downward citation trend in the 2000s to an upward trend cimenting his contribution as a structural pillar of a larger wide spanning research program.</w:t>
      </w:r>
    </w:p>
    <w:p w:rsidR="00000000" w:rsidDel="00000000" w:rsidP="00000000" w:rsidRDefault="00000000" w:rsidRPr="00000000" w14:paraId="0000006A">
      <w:pPr>
        <w:spacing w:before="0" w:lineRule="auto"/>
        <w:rPr/>
      </w:pPr>
      <w:r w:rsidDel="00000000" w:rsidR="00000000" w:rsidRPr="00000000">
        <w:rPr>
          <w:rtl w:val="0"/>
        </w:rPr>
        <w:t xml:space="preserve">A second surprising result is that </w:t>
      </w:r>
      <w:r w:rsidDel="00000000" w:rsidR="00000000" w:rsidRPr="00000000">
        <w:rPr>
          <w:rtl w:val="0"/>
        </w:rPr>
        <w:t xml:space="preserve">citations to @simonBehavioral1955 have never been higher than since the ascent of the new behavioral economics. @earlPrinciples2022 is critical of how much “old” behavioral economics seems to have been forgotten by “new” behavioral economists:</w:t>
      </w:r>
    </w:p>
    <w:p w:rsidR="00000000" w:rsidDel="00000000" w:rsidP="00000000" w:rsidRDefault="00000000" w:rsidRPr="00000000" w14:paraId="0000006B">
      <w:pPr>
        <w:numPr>
          <w:ilvl w:val="0"/>
          <w:numId w:val="3"/>
        </w:numPr>
        <w:spacing w:before="0" w:lineRule="auto"/>
        <w:ind w:left="720" w:hanging="360"/>
        <w:rPr>
          <w:u w:val="none"/>
        </w:rPr>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p.2)</w:t>
      </w:r>
    </w:p>
    <w:p w:rsidR="00000000" w:rsidDel="00000000" w:rsidP="00000000" w:rsidRDefault="00000000" w:rsidRPr="00000000" w14:paraId="0000006C">
      <w:pPr>
        <w:spacing w:before="0" w:lineRule="auto"/>
        <w:rPr/>
      </w:pPr>
      <w:r w:rsidDel="00000000" w:rsidR="00000000" w:rsidRPr="00000000">
        <w:rPr>
          <w:rtl w:val="0"/>
        </w:rPr>
        <w:t xml:space="preserve">The rising citations to older work from Simon or Allais in our example show that while it is possible that most “new” behavioral economics rarely acknowledge the contributions of “old” behavioral economists, the scale of the rise of “new” behavioral economics still led to more attention paid to “old” behavioral economists than ever before in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6D">
      <w:pPr>
        <w:spacing w:before="0" w:lineRule="auto"/>
        <w:rPr/>
      </w:pPr>
      <w:r w:rsidDel="00000000" w:rsidR="00000000" w:rsidRPr="00000000">
        <w:rPr>
          <w:rtl w:val="0"/>
        </w:rPr>
      </w:r>
    </w:p>
    <w:p w:rsidR="00000000" w:rsidDel="00000000" w:rsidP="00000000" w:rsidRDefault="00000000" w:rsidRPr="00000000" w14:paraId="0000006E">
      <w:pPr>
        <w:ind w:right="0"/>
        <w:rPr/>
      </w:pPr>
      <w:r w:rsidDel="00000000" w:rsidR="00000000" w:rsidRPr="00000000">
        <w:rPr>
          <w:rtl w:val="0"/>
        </w:rPr>
      </w:r>
    </w:p>
    <w:p w:rsidR="00000000" w:rsidDel="00000000" w:rsidP="00000000" w:rsidRDefault="00000000" w:rsidRPr="00000000" w14:paraId="0000006F">
      <w:pPr>
        <w:spacing w:before="0" w:lineRule="auto"/>
        <w:rPr/>
      </w:pPr>
      <w:r w:rsidDel="00000000" w:rsidR="00000000" w:rsidRPr="00000000">
        <w:rPr>
          <w:rtl w:val="0"/>
        </w:rPr>
      </w:r>
    </w:p>
    <w:p w:rsidR="00000000" w:rsidDel="00000000" w:rsidP="00000000" w:rsidRDefault="00000000" w:rsidRPr="00000000" w14:paraId="00000070">
      <w:pPr>
        <w:spacing w:before="0" w:lineRule="auto"/>
        <w:rPr/>
      </w:pPr>
      <w:r w:rsidDel="00000000" w:rsidR="00000000" w:rsidRPr="00000000">
        <w:rPr>
          <w:rtl w:val="0"/>
        </w:rPr>
        <w:t xml:space="preserve">O</w:t>
      </w:r>
      <w:r w:rsidDel="00000000" w:rsidR="00000000" w:rsidRPr="00000000">
        <w:rPr>
          <w:rtl w:val="0"/>
        </w:rPr>
        <w:t xml:space="preserve">ur quantitative studies delineates the specific chronology and magnitude of the different attempts at stirring a behavioral shift in economics. However, </w:t>
      </w:r>
      <w:r w:rsidDel="00000000" w:rsidR="00000000" w:rsidRPr="00000000">
        <w:rPr>
          <w:rtl w:val="0"/>
        </w:rPr>
        <w:t xml:space="preserve">as made clear by @fig-rationality-paper-citations, i</w:t>
      </w:r>
      <w:r w:rsidDel="00000000" w:rsidR="00000000" w:rsidRPr="00000000">
        <w:rPr>
          <w:rtl w:val="0"/>
        </w:rPr>
        <w:t xml:space="preserve">t is not just a linear story of a shift from one program to the other. citations to @simonBehavioral1955 have never been higher than since the ascent of the new behavioral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71">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72">
      <w:pPr>
        <w:rPr/>
      </w:pPr>
      <w:r w:rsidDel="00000000" w:rsidR="00000000" w:rsidRPr="00000000">
        <w:rPr>
          <w:rtl w:val="0"/>
        </w:rPr>
        <w:t xml:space="preserve">Why it’s innovative</w:t>
      </w:r>
    </w:p>
    <w:p w:rsidR="00000000" w:rsidDel="00000000" w:rsidP="00000000" w:rsidRDefault="00000000" w:rsidRPr="00000000" w14:paraId="00000073">
      <w:pPr>
        <w:rPr/>
      </w:pPr>
      <w:r w:rsidDel="00000000" w:rsidR="00000000" w:rsidRPr="00000000">
        <w:rPr>
          <w:rtl w:val="0"/>
        </w:rPr>
        <w:t xml:space="preserve">The issue of zooming in and zooming out</w:t>
      </w:r>
    </w:p>
    <w:p w:rsidR="00000000" w:rsidDel="00000000" w:rsidP="00000000" w:rsidRDefault="00000000" w:rsidRPr="00000000" w14:paraId="00000074">
      <w:pPr>
        <w:rPr/>
      </w:pPr>
      <w:r w:rsidDel="00000000" w:rsidR="00000000" w:rsidRPr="00000000">
        <w:rPr>
          <w:rtl w:val="0"/>
        </w:rPr>
        <w:t xml:space="preserve">Some claims about results:</w:t>
      </w:r>
    </w:p>
    <w:p w:rsidR="00000000" w:rsidDel="00000000" w:rsidP="00000000" w:rsidRDefault="00000000" w:rsidRPr="00000000" w14:paraId="00000075">
      <w:pPr>
        <w:numPr>
          <w:ilvl w:val="0"/>
          <w:numId w:val="2"/>
        </w:numPr>
        <w:ind w:left="720" w:hanging="360"/>
        <w:rPr>
          <w:u w:val="none"/>
        </w:rPr>
      </w:pPr>
      <w:r w:rsidDel="00000000" w:rsidR="00000000" w:rsidRPr="00000000">
        <w:rPr>
          <w:rtl w:val="0"/>
        </w:rPr>
        <w:t xml:space="preserve">Underline the capacity of the method to classify a range of contributions of institutional economics from early twentieth century in accordance with the literature on the topic.</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 w:date="2025-11-27T18:23:45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w:t>
      </w:r>
    </w:p>
  </w:comment>
  <w:comment w:author="Aurélien Goutsmedt" w:id="0" w:date="2025-11-26T11:06:17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 ajouter des refs. Par exemple Forder.</w:t>
      </w:r>
    </w:p>
  </w:comment>
  <w:comment w:author="Thomas Delcey" w:id="2" w:date="2025-12-13T01:11:21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 w:date="2025-12-13T11:14:16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25">
    <w:p w:rsidR="00000000" w:rsidDel="00000000" w:rsidP="00000000" w:rsidRDefault="00000000" w:rsidRPr="00000000" w14:paraId="0000007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 w:id="0">
    <w:p w:rsidR="00000000" w:rsidDel="00000000" w:rsidP="00000000" w:rsidRDefault="00000000" w:rsidRPr="00000000" w14:paraId="0000007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2">
    <w:p w:rsidR="00000000" w:rsidDel="00000000" w:rsidP="00000000" w:rsidRDefault="00000000" w:rsidRPr="00000000" w14:paraId="0000007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X study fragmentation of economics through the “blue ribbon” of economics journals… (OeConomia special issue)</w:t>
      </w:r>
    </w:p>
  </w:footnote>
  <w:footnote w:id="9">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0">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Pottier et al. were confronted to this point when studying… [More general references about the explosion of the number of journals and the questions it raises in studying specific fields…]</w:t>
      </w:r>
    </w:p>
  </w:footnote>
  <w:footnote w:id="11">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published in English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3">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9">
      <w:pPr>
        <w:spacing w:after="0" w:before="0" w:line="240" w:lineRule="auto"/>
        <w:rPr>
          <w:sz w:val="20"/>
          <w:szCs w:val="20"/>
        </w:rPr>
      </w:pPr>
      <w:r w:rsidDel="00000000" w:rsidR="00000000" w:rsidRPr="00000000">
        <w:rPr>
          <w:rtl w:val="0"/>
        </w:rPr>
      </w:r>
    </w:p>
  </w:footnote>
  <w:footnote w:id="3">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In their study of the journal </w:t>
      </w:r>
      <w:r w:rsidDel="00000000" w:rsidR="00000000" w:rsidRPr="00000000">
        <w:rPr>
          <w:i w:val="1"/>
          <w:iCs w:val="1"/>
          <w:rtl w:val="0"/>
        </w:rPr>
        <w:t xml:space="preserve">La Revue Economique, </w:t>
      </w:r>
      <w:r w:rsidDel="00000000" w:rsidR="00000000" w:rsidRPr="00000000">
        <w:rPr>
          <w:rtl w:val="0"/>
        </w:rPr>
        <w:t xml:space="preserve">@DelceyRevue2025 enriched the dataset provided by the journal with missing full texts and authors’ information from the digital libraries </w:t>
      </w:r>
      <w:r w:rsidDel="00000000" w:rsidR="00000000" w:rsidRPr="00000000">
        <w:rPr>
          <w:i w:val="1"/>
          <w:iCs w:val="1"/>
          <w:rtl w:val="0"/>
        </w:rPr>
        <w:t xml:space="preserve">Persée</w:t>
      </w:r>
      <w:r w:rsidDel="00000000" w:rsidR="00000000" w:rsidRPr="00000000">
        <w:rPr>
          <w:rtl w:val="0"/>
        </w:rPr>
        <w:t xml:space="preserve">, </w:t>
      </w:r>
      <w:r w:rsidDel="00000000" w:rsidR="00000000" w:rsidRPr="00000000">
        <w:rPr>
          <w:i w:val="1"/>
          <w:iCs w:val="1"/>
          <w:rtl w:val="0"/>
        </w:rPr>
        <w:t xml:space="preserve">Cairn</w:t>
      </w:r>
      <w:r w:rsidDel="00000000" w:rsidR="00000000" w:rsidRPr="00000000">
        <w:rPr>
          <w:rtl w:val="0"/>
        </w:rPr>
        <w:t xml:space="preserve">, and </w:t>
      </w:r>
      <w:r w:rsidDel="00000000" w:rsidR="00000000" w:rsidRPr="00000000">
        <w:rPr>
          <w:i w:val="1"/>
          <w:iCs w:val="1"/>
          <w:rtl w:val="0"/>
        </w:rPr>
        <w:t xml:space="preserve">IdRef</w:t>
      </w:r>
      <w:r w:rsidDel="00000000" w:rsidR="00000000" w:rsidRPr="00000000">
        <w:rPr>
          <w:rtl w:val="0"/>
        </w:rPr>
        <w:t xml:space="preserve">.</w:t>
      </w:r>
      <w:r w:rsidDel="00000000" w:rsidR="00000000" w:rsidRPr="00000000">
        <w:rPr>
          <w:rtl w:val="0"/>
        </w:rPr>
      </w:r>
    </w:p>
  </w:footnote>
  <w:footnote w:id="15">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6">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Note here that we don’t use overlapping windows in this case, notably for computational reasons: finding HDSBCAN clusters on a set of tens of thousands of sentences is much computationally intensive than finding bibliographic communities for at most five thousands of articles..</w:t>
      </w:r>
    </w:p>
  </w:footnote>
  <w:footnote w:id="17">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more details about this.</w:t>
      </w:r>
    </w:p>
  </w:footnote>
  <w:footnote w:id="18">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r w:rsidDel="00000000" w:rsidR="00000000" w:rsidRPr="00000000">
        <w:rPr>
          <w:rtl w:val="0"/>
        </w:rPr>
      </w:r>
    </w:p>
  </w:footnote>
  <w:footnote w:id="14">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analysts must choose a particular model and its parameters and these choices embed methodological priors about the types of patterns the procedure is likely to reveal. For instance, one famous crucial parameter in many unsupervised models is the number of categories that will emerge from the algorithm.</w:t>
      </w:r>
    </w:p>
  </w:footnote>
  <w:footnote w:id="20">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9">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and from choosing illustrations that support a particular line of interpretation—all the more so given that the scope of our study is too broad to summarize every pattern revealed by our results. Other scholars could have, at various junctures, pursued different interpretive directions on the basis of the same material. The publication of the interactive applications we used to explore the results thus serves as an exercise in transparency and—in addition to being, we hope, useful for historians of economic thought more generally—allows readers to assess the robustness and limits of our narrative.</w:t>
      </w:r>
    </w:p>
  </w:footnote>
  <w:footnote w:id="21">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2">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This did not go without any resistances. For instance… challenged to expected utility; georgescu rogen criticism of utility, Simon’s work on firms…</w:t>
      </w:r>
      <w:r w:rsidDel="00000000" w:rsidR="00000000" w:rsidRPr="00000000">
        <w:rPr>
          <w:rtl w:val="0"/>
        </w:rPr>
      </w:r>
    </w:p>
  </w:footnote>
  <w:footnote w:id="23">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4">
    <w:p w:rsidR="00000000" w:rsidDel="00000000" w:rsidP="00000000" w:rsidRDefault="00000000" w:rsidRPr="00000000" w14:paraId="00000095">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