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 </w:t>
      </w:r>
    </w:p>
    <w:p w:rsidR="00000000" w:rsidDel="00000000" w:rsidP="00000000" w:rsidRDefault="00000000" w:rsidRPr="00000000" w14:paraId="00000004">
      <w:pPr>
        <w:rPr/>
      </w:pPr>
      <w:r w:rsidDel="00000000" w:rsidR="00000000" w:rsidRPr="00000000">
        <w:rPr>
          <w:rtl w:val="0"/>
        </w:rPr>
        <w:t xml:space="preserve">We focus our discussion on unsupervised methods that have been particularly influential in the history of economics. Unsupervised methods are machine-learning techniques in which algorithms identify patterns from unlabelled data, as opposed to supervised learning methods—such as regressions—that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They are well suited to historical inquiry because their unsupervised nature reduces the risk of presentism: rather than imposing present-day categories on the past, unsupervised algorithms uncover patterns directly from the data. When time is explicitly incorporated, they allow researchers to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“semantic clusters” and “bibliometric communities.”</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in economics extending back to 1900 to show how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w:t>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analysis and interpretation come last. Most effort goes into collecting, cleaning, and structuring data, much of which remains invisible in published work. Sources rarely arrive as ready-to-use datasets; they must be transformed from somewhat raw materials into usable corpora. In short, the quantitative historian must be as much a data wrangler as a data analyst.</w:t>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output—such as authors, journals and affiliations, </w:t>
      </w:r>
      <w:r w:rsidDel="00000000" w:rsidR="00000000" w:rsidRPr="00000000">
        <w:rPr>
          <w:i w:val="1"/>
          <w:iCs w:val="1"/>
          <w:rtl w:val="0"/>
        </w:rPr>
        <w:t xml:space="preserve">etc</w:t>
      </w:r>
      <w:r w:rsidDel="00000000" w:rsidR="00000000" w:rsidRPr="00000000">
        <w:rPr>
          <w:rtl w:val="0"/>
        </w:rPr>
        <w:t xml:space="preserve">. Some of these databases, such as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diffusion patterns, and mapping scholarly contributions over time. </w:t>
      </w:r>
    </w:p>
    <w:p w:rsidR="00000000" w:rsidDel="00000000" w:rsidP="00000000" w:rsidRDefault="00000000" w:rsidRPr="00000000" w14:paraId="0000000D">
      <w:pPr>
        <w:rPr/>
      </w:pPr>
      <w:r w:rsidDel="00000000" w:rsidR="00000000" w:rsidRPr="00000000">
        <w:rPr>
          <w:rtl w:val="0"/>
        </w:rPr>
        <w:t xml:space="preserve">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5 economics journals before the 1990s and while being openaccess, OpenAlex has been less curated than the products of private publishers. Whatever the provider, less successful or now-defunct journals are also more likely to have incomplete or discontinuous digital coverage, impeding their inclusion for historical analyses. Additionally, databases are oriented toward English-speaking contributions; these databases may thus be deficient for a research project targeting another or multiple languages.</w:t>
      </w:r>
      <w:r w:rsidDel="00000000" w:rsidR="00000000" w:rsidRPr="00000000">
        <w:rPr>
          <w:vertAlign w:val="superscript"/>
        </w:rPr>
        <w:footnoteReference w:customMarkFollows="0" w:id="2"/>
      </w:r>
      <w:r w:rsidDel="00000000" w:rsidR="00000000" w:rsidRPr="00000000">
        <w:rPr>
          <w:rtl w:val="0"/>
        </w:rPr>
        <w:t xml:space="preserve"> More generally, citation practices have only standardised progressively in the postwar period. Consequently, citation data are most of the time relatively poor before the 1960s. Last but not least, although they provide useful metadata and citation information, these databases generally lack full text, which is subject to copyright and therefore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amount and quality of information that can be reliably encoded remain limited. </w:t>
      </w:r>
      <w:r w:rsidDel="00000000" w:rsidR="00000000" w:rsidRPr="00000000">
        <w:rPr>
          <w:rtl w:val="0"/>
        </w:rPr>
        <w:t xml:space="preserve">Citation data are notoriously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or inconsistently encoded by providers.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 first important point is, therefore, that data availability shapes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research may be shaped as much by the scarcity of</w:t>
      </w:r>
      <w:r w:rsidDel="00000000" w:rsidR="00000000" w:rsidRPr="00000000">
        <w:rPr>
          <w:rtl w:val="0"/>
        </w:rPr>
        <w:t xml:space="preserve"> our data as by researchers’ own preferences. </w:t>
      </w:r>
      <w:r w:rsidDel="00000000" w:rsidR="00000000" w:rsidRPr="00000000">
        <w:rPr>
          <w:rtl w:val="0"/>
        </w:rPr>
        <w:t xml:space="preserve">It is of course possible to build handmade datasets from scratch, but, in the case of textual and citation data,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imperfect coverage of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the most reliable and consistent coverage for our period and has been widely used in the history of economics.</w:t>
      </w:r>
      <w:r w:rsidDel="00000000" w:rsidR="00000000" w:rsidRPr="00000000">
        <w:rPr>
          <w:rtl w:val="0"/>
        </w:rPr>
        <w:t xml:space="preserve"> As for full text, we relied on three providers. First, JSTOR’s full-text collection offers high-quality scans of most leading economics journals.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 Third, remaining full texts were obtained through the ISTEX project, which provides access to a substantial corpus of documents for researchers affiliated with French universities.</w:t>
      </w:r>
      <w:r w:rsidDel="00000000" w:rsidR="00000000" w:rsidRPr="00000000">
        <w:rPr>
          <w:vertAlign w:val="superscript"/>
        </w:rPr>
        <w:footnoteReference w:customMarkFollows="0" w:id="3"/>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It can be already noted that our corpus disproportionately represents Anglo-Saxon journals, which are also those most systematically digitized and preserved. Not only do we tend to overlook other traditions of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primary sources are the texts themselves—often unstructured and interspersed with various layers of textual content, such as section headings, footnotes, bibliographic references, or editorial annotations</w:t>
      </w:r>
      <w:r w:rsidDel="00000000" w:rsidR="00000000" w:rsidRPr="00000000">
        <w:rPr>
          <w:rtl w:val="0"/>
        </w:rPr>
        <w:t xml:space="preserve">. This requires making important choices well before the actual stage of analysis.</w:t>
      </w:r>
    </w:p>
    <w:p w:rsidR="00000000" w:rsidDel="00000000" w:rsidP="00000000" w:rsidRDefault="00000000" w:rsidRPr="00000000" w14:paraId="00000013">
      <w:pPr>
        <w:rPr>
          <w:b w:val="1"/>
          <w:bCs w:val="1"/>
          <w:shd w:fill="f1c232" w:val="clear"/>
        </w:rPr>
      </w:pPr>
      <w:r w:rsidDel="00000000" w:rsidR="00000000" w:rsidRPr="00000000">
        <w:rPr>
          <w:rtl w:val="0"/>
        </w:rPr>
        <w:t xml:space="preserve">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4"/>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5"/>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your material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a process that involves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this required us first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@delceyDissemination2025]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This definitional issue becomes even more pronounced when the object of study is a specific “field” (Cherrier, this issue)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methods tend to address large objects by focusing on their “core” rather than their boundaries:</w:t>
      </w:r>
      <w:r w:rsidDel="00000000" w:rsidR="00000000" w:rsidRPr="00000000">
        <w:rPr>
          <w:rtl w:val="0"/>
        </w:rPr>
        <w:t xml:space="preserve"> historians of economics typically reconstruct the history of materials that are unambiguously part of the object under study, thus making a narrow definition often unnecessary</w:t>
      </w:r>
      <w:r w:rsidDel="00000000" w:rsidR="00000000" w:rsidRPr="00000000">
        <w:rPr>
          <w:rtl w:val="0"/>
        </w:rPr>
        <w:t xml:space="preserve">. Quantitative approaches, however, require a well-defined corpus and consequently oblige researchers to impose simple, clear-cut boundaries on complex and ambivalent categories such as “economics”. Defining the relevant historical materials therefore requires the adoption of specific conventions to approximate the object under study [@desrosieresPolitics2011]. Defining a corpus constitutes a quantification convention—one that must always be assessed instrumentally, not as an absolute definition but as an operational hypothesis serving a specific research question. </w:t>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 To choose a particular proxy, it is important to understand how it relates to the object under study. Both JEL codes and journal classifications—like JSTOR or Scopus classifications—can structure a corpus in ways that reflect their own histories, and researchers must therefore consider how these proxies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first define economic documents by building the corpus from peer-review journals. This convention has both advantages and limitations. </w:t>
      </w:r>
      <w:r w:rsidDel="00000000" w:rsidR="00000000" w:rsidRPr="00000000">
        <w:rPr>
          <w:rtl w:val="0"/>
        </w:rPr>
        <w:t xml:space="preserve">On the one hand, this approach is unambiguous, as it relies on agreeing upon a predefined list of journals, rather than, for instance, determining at the document level which individual articles qualify as economics. Moreover, journals constitute one of the main legitimate institutional markers of a discipline, alongside training programs and professional associations. On the other hand, focusing on journals means excluding other publication outlets, such as books or working pa</w:t>
      </w:r>
      <w:r w:rsidDel="00000000" w:rsidR="00000000" w:rsidRPr="00000000">
        <w:rPr>
          <w:rtl w:val="0"/>
        </w:rPr>
        <w:t xml:space="preserve">pers.</w:t>
      </w:r>
      <w:r w:rsidDel="00000000" w:rsidR="00000000" w:rsidRPr="00000000">
        <w:rPr>
          <w:vertAlign w:val="superscript"/>
        </w:rPr>
        <w:footnoteReference w:customMarkFollows="0" w:id="7"/>
      </w:r>
      <w:r w:rsidDel="00000000" w:rsidR="00000000" w:rsidRPr="00000000">
        <w:rPr>
          <w:rtl w:val="0"/>
        </w:rPr>
        <w:t xml:space="preserve"> In addition, it struggles to capture interdisciplinarity, whether in the form of interdisciplinary journals or of economists publishing in other disciplinary journals. Finally, this strategy requires the use of arbitrary criteria to decide which journals to include and which to exclude—particularly for journals at the margins of “economics”, either because of their interdisciplinary orientation or because of uncertainty regarding their peer-review standards or academic practices.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8"/>
      </w:r>
      <w:r w:rsidDel="00000000" w:rsidR="00000000" w:rsidRPr="00000000">
        <w:rPr>
          <w:rtl w:val="0"/>
        </w:rPr>
        <w:t xml:space="preserve"> We were able to retrieve 289538 articles published in these journals from 1900 to 2009.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(often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display several limitations when it is not the case. Indeed, it focuses on spotting occurrences of a term rather than a general idea. Just think about the various ways rationality could be discussed in the history of economics: beyond the term “rationality”, economists employ various expressions that refer to close ideas such as maximising profits or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 </w:t>
      </w:r>
    </w:p>
    <w:p w:rsidR="00000000" w:rsidDel="00000000" w:rsidP="00000000" w:rsidRDefault="00000000" w:rsidRPr="00000000" w14:paraId="0000001E">
      <w:pPr>
        <w:ind w:right="0"/>
        <w:rPr/>
      </w:pPr>
      <w:r w:rsidDel="00000000" w:rsidR="00000000" w:rsidRPr="00000000">
        <w:rPr>
          <w:rtl w:val="0"/>
        </w:rPr>
        <w:t xml:space="preserve">Going beyond simply searching for occurrences of “rationality” and “rational,” we could have constructed an extensive dictionary of terms associated with the concept of rationality. This task requires substantial knowledge of the history of economics and of debates surrounding rationality, and thus presupposes that researchers possess adequate historical and conceptual background. Despite this, it remains difficult to prevent the dictionary-building process from introducing biases—for 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9"/>
      </w:r>
      <w:r w:rsidDel="00000000" w:rsidR="00000000" w:rsidRPr="00000000">
        <w:rPr>
          <w:rtl w:val="0"/>
        </w:rPr>
        <w:t xml:space="preserve"> LLMs are trained on extremely large collections of text to learn patterns in language. In simple terms, they learn to predict missing words in a sentence or to determine whether two sentences follow each other. Through this training, the model develops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translates sentences into vectors that summarize their context and meaning. This enables us to compare sentences not by the exact words they use but by their underlying ideas.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database. Starting from sentences including “rationality” and “rational”, we then searched for the sentences most similar to these anchor sentences. Thus, if sentence A explicitly uses the word “rationality,” and its vector is close to that of sentence B—which never mentions the term—sentence B likely discusses a related idea.</w:t>
      </w:r>
    </w:p>
    <w:p w:rsidR="00000000" w:rsidDel="00000000" w:rsidP="00000000" w:rsidRDefault="00000000" w:rsidRPr="00000000" w14:paraId="00000021">
      <w:pPr>
        <w:rPr/>
      </w:pPr>
      <w:r w:rsidDel="00000000" w:rsidR="00000000" w:rsidRPr="00000000">
        <w:rPr>
          <w:rtl w:val="0"/>
        </w:rPr>
        <w:t xml:space="preserve">Our approach does not simply consist of finding sentences that are close to the words “rationality” and “rational” over a 110-year period, though. Because our project is historical, it is crucial to consider how LLMs themselves handle historical language. LLMs are trained on billions of texts, but the overwhelming majority of these texts are recent.</w:t>
      </w:r>
      <w:r w:rsidDel="00000000" w:rsidR="00000000" w:rsidRPr="00000000">
        <w:rPr>
          <w:vertAlign w:val="superscript"/>
        </w:rPr>
        <w:footnoteReference w:customMarkFollows="0" w:id="10"/>
      </w:r>
      <w:r w:rsidDel="00000000" w:rsidR="00000000" w:rsidRPr="00000000">
        <w:rPr>
          <w:rtl w:val="0"/>
        </w:rPr>
        <w:t xml:space="preserve"> As a result, they tend to offer a “presentist,” numerical view of language. For example, current models struggle to reproduce writing styles from earlier periods and cannot reliably infer the publication date of a text [@underwoodCan2025]. Sentence-BERT is subject to the same limitations, and the sentence embeddings it produces inevitably reflect this bias. Besides, as illustrated by @</w:t>
      </w:r>
      <w:r w:rsidDel="00000000" w:rsidR="00000000" w:rsidRPr="00000000">
        <w:rPr>
          <w:rtl w:val="0"/>
        </w:rPr>
        <w:t xml:space="preserve">fig-distribution</w:t>
      </w:r>
      <w:r w:rsidDel="00000000" w:rsidR="00000000" w:rsidRPr="00000000">
        <w:rPr>
          <w:rtl w:val="0"/>
        </w:rPr>
        <w:t xml:space="preserve">, our corpus is exponential according to years and most sentences come from recent articles. Taken together, these effects make it very likely that the sentences the model identifies as closest to “rationality” will predominantly come from recent articles. To limit this presentist effect, we adapted the way we compare sentences over time. Instead of comparing a sentence from, say, 1910 directly to a “representative vector” of </w:t>
      </w:r>
      <w:r w:rsidDel="00000000" w:rsidR="00000000" w:rsidRPr="00000000">
        <w:rPr>
          <w:rtl w:val="0"/>
        </w:rPr>
        <w:t xml:space="preserve">all</w:t>
      </w:r>
      <w:r w:rsidDel="00000000" w:rsidR="00000000" w:rsidRPr="00000000">
        <w:rPr>
          <w:rtl w:val="0"/>
        </w:rPr>
        <w:t xml:space="preserve"> sentences in our corpus that contain the words “rationality” or “rational,” we constructed a series of representative vectors. For each year, we build a moving average vector, with a five-year symmetric window, of all the sentences mentioning “rationality” or “rational”. Concretely, for the year 1910, we averaged the vectors of all sentences containing “rationality” or “rational” from 1905 to 1915. This produces a period-specific reference point that reflects how these terms were used </w:t>
      </w:r>
      <w:r w:rsidDel="00000000" w:rsidR="00000000" w:rsidRPr="00000000">
        <w:rPr>
          <w:rtl w:val="0"/>
        </w:rPr>
        <w:t xml:space="preserve">at that particular moment in time</w:t>
      </w:r>
      <w:r w:rsidDel="00000000" w:rsidR="00000000" w:rsidRPr="00000000">
        <w:rPr>
          <w:rtl w:val="0"/>
        </w:rPr>
        <w:t xml:space="preserve">. A sentence from 1910 is therefore judged similar not to the general, and likely modern-day meaning of rationality, but to the way the concept was expressed during its own historical period. This helps ensure that our analysis is sensitive to historical changes in language. </w:t>
      </w:r>
      <w:r w:rsidDel="00000000" w:rsidR="00000000" w:rsidRPr="00000000">
        <w:rPr>
          <w:rtl w:val="0"/>
        </w:rPr>
        <w:t xml:space="preserve">Since each document is a set of sentences, we also identify the documents—and the authors—that discuss rationality most intensively or frequently. @tbl-illustrative_sentences and @tbl-illustrative_documents illustrate respectively the closest sentence and documents from our representative vectors in 1910. </w:t>
      </w:r>
      <w:r w:rsidDel="00000000" w:rsidR="00000000" w:rsidRPr="00000000">
        <w:rPr>
          <w:rtl w:val="0"/>
        </w:rPr>
      </w:r>
    </w:p>
    <w:p w:rsidR="00000000" w:rsidDel="00000000" w:rsidP="00000000" w:rsidRDefault="00000000" w:rsidRPr="00000000" w14:paraId="00000022">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3">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4">
      <w:pPr>
        <w:rPr/>
      </w:pPr>
      <w:r w:rsidDel="00000000" w:rsidR="00000000" w:rsidRPr="00000000">
        <w:rPr>
          <w:rtl w:val="0"/>
        </w:rPr>
        <w:t xml:space="preserve">Before returning to our specific corpus on rationality and diving into more advanced LLM-based analyses, we first step back and examine simpler quantitative methods applied to our broader set of economics articles.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can play an important exploratory role: helping researchers refine their questions, identify anomalies, or detect unexpected patterns.</w:t>
      </w:r>
    </w:p>
    <w:p w:rsidR="00000000" w:rsidDel="00000000" w:rsidP="00000000" w:rsidRDefault="00000000" w:rsidRPr="00000000" w14:paraId="00000025">
      <w:pPr>
        <w:rPr/>
      </w:pPr>
      <w:r w:rsidDel="00000000" w:rsidR="00000000" w:rsidRPr="00000000">
        <w:rPr>
          <w:rtl w:val="0"/>
        </w:rPr>
        <w:t xml:space="preserve">For</w:t>
      </w:r>
      <w:r w:rsidDel="00000000" w:rsidR="00000000" w:rsidRPr="00000000">
        <w:rPr>
          <w:rtl w:val="0"/>
        </w:rPr>
        <w:t xml:space="preserve"> textual data, one of the most straightforward indicators is term frequency, that is counting how often particular words or expressions appear.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terms—such as “striatum” or “prefrontal”—closely approximates more advanced quantitative measures, and thus provides a simple but meaningful signal of activity in the field.</w:t>
      </w:r>
    </w:p>
    <w:p w:rsidR="00000000" w:rsidDel="00000000" w:rsidP="00000000" w:rsidRDefault="00000000" w:rsidRPr="00000000" w14:paraId="00000026">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While our usage of a large language model will shed light on the context surrounding this rise, such context can also be approximated with simpler, more straightforward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8">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As emphasized in this literature [see, e.g., @TahamtanCore1979],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9">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 [@teplitskiyHow2022].</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(e.g., Simon, George Katona), to the emergence of “new” behavioral economics is organized around such milestones. In this sense, citations serve as a complementary proxy alongside these traditional indicators. For instance, although both Simon and Kahneman received the Nobel Prize, Kahneman ultimately exerted a broader influence on the discipline—something that is reflected in citation patterns. 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w:t>
      </w:r>
    </w:p>
    <w:p w:rsidR="00000000" w:rsidDel="00000000" w:rsidP="00000000" w:rsidRDefault="00000000" w:rsidRPr="00000000" w14:paraId="0000002B">
      <w:pPr>
        <w:rPr/>
      </w:pPr>
      <w:r w:rsidDel="00000000" w:rsidR="00000000" w:rsidRPr="00000000">
        <w:rPr>
          <w:rtl w:val="0"/>
        </w:rPr>
        <w:t xml:space="preserve">@fig-rationality-paper-citations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w:t>
      </w:r>
    </w:p>
    <w:p w:rsidR="00000000" w:rsidDel="00000000" w:rsidP="00000000" w:rsidRDefault="00000000" w:rsidRPr="00000000" w14:paraId="0000002C">
      <w:pPr>
        <w:rPr/>
      </w:pPr>
      <w:r w:rsidDel="00000000" w:rsidR="00000000" w:rsidRPr="00000000">
        <w:rPr>
          <w:rtl w:val="0"/>
        </w:rPr>
        <w:t xml:space="preserve">The influence of “new” behavioral economics clearly exceeds that of the earlier tradition, both in the top five journals and in the broader set of economics journals indexed in Web of Science.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2D">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2E">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2F">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1"/>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0">
      <w:pPr>
        <w:rPr/>
      </w:pPr>
      <w:r w:rsidDel="00000000" w:rsidR="00000000" w:rsidRPr="00000000">
        <w:rPr>
          <w:rtl w:val="0"/>
        </w:rPr>
        <w:t xml:space="preserve">The counterpart of unsupervised methods are supervised methods—such as regressions—which estimate predefined relationships in the data. In contrast, unsupervised methods are particularly well suited to exploratory analysis. In this research context, analysts often lack precise knowledge of the corpus and its various intellectual contexts. While supervised methods require clearly specified hypotheses and well-defined variables,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is especially true for large-scale and long-run analysis, where labelled data become harder to obtain and increase the risk of imposing categories that are inadequate or anachronistic relative to the historical context. 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In this paper, for citation data, we use a method commonly employed in the history of economic thought: bibliographic coupling [ref]. We begin with a corpus composed of the 10% of articles whose average embeddings are most similar to our annual representative vectors for “rationality” and “rational.” In this network, articles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their internal organization, including hierarchies and core–periphery structures.</w:t>
      </w:r>
    </w:p>
    <w:p w:rsidR="00000000" w:rsidDel="00000000" w:rsidP="00000000" w:rsidRDefault="00000000" w:rsidRPr="00000000" w14:paraId="00000032">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[three papers], we therefore split our corpus into overlapping eight-year windows, beginning in 1960 (1960–1967; 1961–1968; … ; 2002–2009), and built a series of 43 separate networks. Using community-detection algorithms [@traag…], we identify groups of documents that share a substantial fraction of references and therefore have a similar intellectual background; we refer to these groups as “bibliographic communities.” Our next step is to identify communities that persist over time. When two communities from consecutive networks share many of the same articles, we treat them as instances of the same underlying group—an “intertemporal bibliographic community.” In this way, our bibliographic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For textual data, historians of economics frequently rely on topic modeling [Ref].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p>
    <w:p w:rsidR="00000000" w:rsidDel="00000000" w:rsidP="00000000" w:rsidRDefault="00000000" w:rsidRPr="00000000" w14:paraId="00000034">
      <w:pPr>
        <w:rPr/>
      </w:pPr>
      <w:r w:rsidDel="00000000" w:rsidR="00000000" w:rsidRPr="00000000">
        <w:rPr>
          <w:rtl w:val="0"/>
        </w:rPr>
        <w:t xml:space="preserve">Because we focus on one large and historically fluid concept, we draw on the literature on semantic drift [ref] and take inspiration from @ref. Rather than starting with full documents, </w:t>
      </w:r>
      <w:r w:rsidDel="00000000" w:rsidR="00000000" w:rsidRPr="00000000">
        <w:rPr>
          <w:rtl w:val="0"/>
        </w:rPr>
        <w:t xml:space="preserve">we filter each year’s corpus to retain only the </w:t>
      </w:r>
      <w:r w:rsidDel="00000000" w:rsidR="00000000" w:rsidRPr="00000000">
        <w:rPr>
          <w:rtl w:val="0"/>
        </w:rPr>
        <w:t xml:space="preserve"> top 1% of sentences that are most similar to our annual representative vectors of “rationality” and “rational.” In other words, we extract the sentences most likely to engage with the concept of rationality in any form.</w:t>
      </w:r>
      <w:r w:rsidDel="00000000" w:rsidR="00000000" w:rsidRPr="00000000">
        <w:rPr>
          <w:vertAlign w:val="superscript"/>
        </w:rPr>
        <w:footnoteReference w:customMarkFollows="0" w:id="12"/>
      </w:r>
      <w:r w:rsidDel="00000000" w:rsidR="00000000" w:rsidRPr="00000000">
        <w:rPr>
          <w:rtl w:val="0"/>
        </w:rPr>
        <w:t xml:space="preserve"> As with bibliographic coupling, we want a method that groups together sentences that employ similar meanings of rationality. We therefore cluster the sentence embeddings using the HDBSCAN algorithm, a widely used unsupervised method for clustering LLM-generated vectors. </w:t>
      </w:r>
    </w:p>
    <w:p w:rsidR="00000000" w:rsidDel="00000000" w:rsidP="00000000" w:rsidRDefault="00000000" w:rsidRPr="00000000" w14:paraId="00000035">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13"/>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14"/>
      </w:r>
      <w:r w:rsidDel="00000000" w:rsidR="00000000" w:rsidRPr="00000000">
        <w:rPr>
          <w:rtl w:val="0"/>
        </w:rPr>
        <w:t xml:space="preserve"> </w:t>
      </w:r>
    </w:p>
    <w:p w:rsidR="00000000" w:rsidDel="00000000" w:rsidP="00000000" w:rsidRDefault="00000000" w:rsidRPr="00000000" w14:paraId="00000036">
      <w:pPr>
        <w:rPr/>
      </w:pPr>
      <w:r w:rsidDel="00000000" w:rsidR="00000000" w:rsidRPr="00000000">
        <w:rPr>
          <w:rtl w:val="0"/>
        </w:rPr>
        <w:t xml:space="preserve">With both methods, we thus obtain a list of “intertemporal bibliographic communities” and “intertemporal semantic clusters.”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than through citations. Choosing between the two therefore depends directly on the specific historical questions one aims to address. </w:t>
      </w:r>
    </w:p>
    <w:p w:rsidR="00000000" w:rsidDel="00000000" w:rsidP="00000000" w:rsidRDefault="00000000" w:rsidRPr="00000000" w14:paraId="00000037">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15"/>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8">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9">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categories—bibliographic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Groups resulting from an unsupervised method can comprise, depending on the corpus, anything from a few dozen to several thousand texts. To make sense of what brings peculiar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A">
      <w:pPr>
        <w:ind w:right="0"/>
        <w:rPr/>
      </w:pPr>
      <w:r w:rsidDel="00000000" w:rsidR="00000000" w:rsidRPr="00000000">
        <w:rPr>
          <w:rtl w:val="0"/>
        </w:rPr>
        <w:t xml:space="preserve">Thus, whether at the stage of data construction or in the interpretation of statistical patterns, quantitative methods demand a continuous dialogue with qualitative interpretation, supported by a close reading of the secondary literature on the topic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tools—such as our interactive applications—to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Let us take as an example the semantic cluster 11, which gathers close to 20,000 sentences from 1920 to 2009. How can we get a sense of what this cluster actually coalesces around? Before any qualitative interpretation or contextualization with the secondary literature is possible, we must first produce a series of indicators to characterize the cluster. Such indicators include:</w:t>
      </w:r>
    </w:p>
    <w:p w:rsidR="00000000" w:rsidDel="00000000" w:rsidP="00000000" w:rsidRDefault="00000000" w:rsidRPr="00000000" w14:paraId="0000003C">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D">
      <w:pPr>
        <w:numPr>
          <w:ilvl w:val="0"/>
          <w:numId w:val="1"/>
        </w:numPr>
        <w:spacing w:after="0" w:afterAutospacing="0" w:before="0" w:beforeAutospacing="0"/>
        <w:ind w:left="720" w:hanging="360"/>
        <w:rPr/>
      </w:pPr>
      <w:r w:rsidDel="00000000" w:rsidR="00000000" w:rsidRPr="00000000">
        <w:rPr>
          <w:rtl w:val="0"/>
        </w:rPr>
        <w:t xml:space="preserve">The most recurring authors. While Talcott Parsons and Frank Knight appear frequently in the 1920s and 1930s, Herbert Simon becomes a central author in the 1950s and 1970s. In the 1990s, we notably find Robert Sugden.</w:t>
      </w:r>
    </w:p>
    <w:p w:rsidR="00000000" w:rsidDel="00000000" w:rsidP="00000000" w:rsidRDefault="00000000" w:rsidRPr="00000000" w14:paraId="0000003E">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i.e., those closest to “rational” and “rationality,” as well as the most representative sentences of the cluster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representative sentences,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and to see the evolution of these uses across time but also across topics and subdisciplines (in game theory, macroeconomics, behavioral economics or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fine-grained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0"/>
      <w:commentRangeStart w:id="1"/>
      <w:r w:rsidDel="00000000" w:rsidR="00000000" w:rsidRPr="00000000">
        <w:rPr>
          <w:rtl w:val="0"/>
        </w:rPr>
        <w:t xml:space="preserve">“Behavioral Economics and Choice Theory”</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16"/>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t>
      </w:r>
    </w:p>
    <w:p w:rsidR="00000000" w:rsidDel="00000000" w:rsidP="00000000" w:rsidRDefault="00000000" w:rsidRPr="00000000" w14:paraId="0000004A">
      <w:pPr>
        <w:rPr/>
      </w:pPr>
      <w:r w:rsidDel="00000000" w:rsidR="00000000" w:rsidRPr="00000000">
        <w:rPr>
          <w:rtl w:val="0"/>
        </w:rPr>
        <w:t xml:space="preserve">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B">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17"/>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18"/>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D">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Figure @fig-co-occurence shows well the importance of “pecuniary” as a neighbor to “rational” and “rationality” in the first twenty years of the twentieth century.</w:t>
      </w:r>
    </w:p>
    <w:p w:rsidR="00000000" w:rsidDel="00000000" w:rsidP="00000000" w:rsidRDefault="00000000" w:rsidRPr="00000000" w14:paraId="0000004E">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4F">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50">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51">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2">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19"/>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the assumption of expected utility.</w:t>
      </w:r>
    </w:p>
    <w:p w:rsidR="00000000" w:rsidDel="00000000" w:rsidP="00000000" w:rsidRDefault="00000000" w:rsidRPr="00000000" w14:paraId="00000053">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to the design of “rationalizing” policies [@herfeldTheories2018; @handsNormative2015].</w:t>
      </w:r>
    </w:p>
    <w:p w:rsidR="00000000" w:rsidDel="00000000" w:rsidP="00000000" w:rsidRDefault="00000000" w:rsidRPr="00000000" w14:paraId="00000055">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6">
      <w:pPr>
        <w:rPr/>
      </w:pPr>
      <w:r w:rsidDel="00000000" w:rsidR="00000000" w:rsidRPr="00000000">
        <w:rPr>
          <w:rtl w:val="0"/>
        </w:rPr>
        <w:t xml:space="preserve">As rationality increasingly came to be framed through modern microeconomics, the concept was extended to both individual and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not applied not only for individuals but also for firms and public policy. It is also in this cluster that issues of social choice emerge, notably debates on the implications of Arrow’s impossibility theorem [-@arrowSocial1951; see e.g. @igersheimDeath2019].</w:t>
      </w:r>
      <w:r w:rsidDel="00000000" w:rsidR="00000000" w:rsidRPr="00000000">
        <w:rPr>
          <w:vertAlign w:val="superscript"/>
        </w:rPr>
        <w:footnoteReference w:customMarkFollows="0" w:id="20"/>
      </w:r>
      <w:r w:rsidDel="00000000" w:rsidR="00000000" w:rsidRPr="00000000">
        <w:rPr>
          <w:rtl w:val="0"/>
        </w:rPr>
        <w:t xml:space="preserve"> Arrow’s contribution also stimulated the formation of cluster 16 on law and economics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Macroeconomics constituted a relatively important semantic cluster from the beginning of our period, in 1900, notably through monetary economics (cluster 1). This cluster grew in importance in the 1930s, particularly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21"/>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8">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w:t>
      </w:r>
      <w:r w:rsidDel="00000000" w:rsidR="00000000" w:rsidRPr="00000000">
        <w:rPr>
          <w:rtl w:val="0"/>
        </w:rPr>
        <w:t xml:space="preserve">CohenHayek2003].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@hirshleiferInvestment1958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9">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B">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C">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D">
      <w:pPr>
        <w:rPr/>
      </w:pPr>
      <w:r w:rsidDel="00000000" w:rsidR="00000000" w:rsidRPr="00000000">
        <w:rPr>
          <w:rtl w:val="0"/>
        </w:rPr>
        <w:t xml:space="preserve">The term "behavioral economics" has a complex history, with George Katona often credited as an early adopter [@giladEconomic1984; @hosseiniGeorge2011]. @sent_behavioral_2004 made an historical distinction between “old” and “new” behavioral economics to separates the “old” heterogenous attempts by Katona, Simon and others to reform mainstream economics from the “new” more homogenous heuristic and biases research program of Kahneman and Tversky. Sent argues that "new" behavioral economics succeeded precisely because it worked within the existing paradigm rather than challenging it fundamentally. Additionally, it emerged in the 1980s when economic theory faced multiple epistemological challenges, creating an opportune moment for alternative approaches. While our method cannot pinpoint the exact epistemological reasons for this shift, we can trace the reception and influence of both approaches to understand how and when they diverged.</w:t>
      </w:r>
    </w:p>
    <w:p w:rsidR="00000000" w:rsidDel="00000000" w:rsidP="00000000" w:rsidRDefault="00000000" w:rsidRPr="00000000" w14:paraId="0000005E">
      <w:pPr>
        <w:ind w:right="0"/>
        <w:rPr/>
      </w:pPr>
      <w:r w:rsidDel="00000000" w:rsidR="00000000" w:rsidRPr="00000000">
        <w:rPr>
          <w:rtl w:val="0"/>
        </w:rPr>
        <w:t xml:space="preserve">Simon's concept of "bounded rationality" stands as one of the most influential critiques of standard rationality in economics in the sense that it framed a lot of the debates surrounding rationality. His presence dominated 1950s discussions, with his seminal articles and Nobel lecture  [@simonRational1979] appearing across numerous research areas from social choice theory to the theory of the firm and price setting.</w:t>
      </w:r>
    </w:p>
    <w:p w:rsidR="00000000" w:rsidDel="00000000" w:rsidP="00000000" w:rsidRDefault="00000000" w:rsidRPr="00000000" w14:paraId="0000005F">
      <w:pPr>
        <w:ind w:right="0"/>
        <w:rPr/>
      </w:pPr>
      <w:r w:rsidDel="00000000" w:rsidR="00000000" w:rsidRPr="00000000">
        <w:rPr>
          <w:rtl w:val="0"/>
        </w:rPr>
        <w:t xml:space="preserve">Our textual analysis reveals Simon's conceptual centrality in some areas of economics. Textual cluster 11 about individual rationality in economics changed rapidly after the influence of Simon rised in the 1970s. While in the 1950s the discussion was structured by rationality terms (“rational”, “empirical reality” or “irrationality”), by the 1970s and after "bounded rationality" became the cluster's most prevalent expression. By the 1990s, discussions of "boundedly rational agents" and "procedural rationality" clearly positioned Simon's concepts as central to economic thought signaling a late but significant integration. Not only did the way economists talked about rationality changed radically after the introduction of Simon’s ideas, but these discussoins became also more prevalent overall. While in the 1950s 5.76 % of all sentences belong to the topic this share increased to 7.85% in the 1980s. This is corroborated by citation analysis as citations to Simon (1955) only rised very slowly in economics after its publications with peak citations happening in the post 2000s (@fig-rationality-paper-citations).</w:t>
      </w:r>
    </w:p>
    <w:p w:rsidR="00000000" w:rsidDel="00000000" w:rsidP="00000000" w:rsidRDefault="00000000" w:rsidRPr="00000000" w14:paraId="00000060">
      <w:pPr>
        <w:ind w:right="0"/>
        <w:rPr/>
      </w:pPr>
      <w:r w:rsidDel="00000000" w:rsidR="00000000" w:rsidRPr="00000000">
        <w:rPr>
          <w:rtl w:val="0"/>
        </w:rPr>
      </w:r>
    </w:p>
    <w:p w:rsidR="00000000" w:rsidDel="00000000" w:rsidP="00000000" w:rsidRDefault="00000000" w:rsidRPr="00000000" w14:paraId="00000061">
      <w:pPr>
        <w:ind w:right="0"/>
        <w:rPr/>
      </w:pPr>
      <w:r w:rsidDel="00000000" w:rsidR="00000000" w:rsidRPr="00000000">
        <w:rPr>
          <w:rtl w:val="0"/>
        </w:rPr>
      </w:r>
    </w:p>
    <w:p w:rsidR="00000000" w:rsidDel="00000000" w:rsidP="00000000" w:rsidRDefault="00000000" w:rsidRPr="00000000" w14:paraId="00000062">
      <w:pPr>
        <w:ind w:right="0"/>
        <w:rPr/>
      </w:pPr>
      <w:r w:rsidDel="00000000" w:rsidR="00000000" w:rsidRPr="00000000">
        <w:rPr>
          <w:rtl w:val="0"/>
        </w:rPr>
        <w:t xml:space="preserve">However, Simon’s influence remain relatively limited overall. Textual cluster 11 peak in the 1990s with 9.56% of all sentence belonging to this topic, down to 7.43% in the early 2000s. Indeed, while Simon’s bounded rationality remain conceptually in parts of economics, there was a larger shift that happened and reshaped how economists approached rationality. Progressively after the 1980s, cluster 11 relative importance decreases in favor of more specialized clusters also about individual rationality. Cluster 5 and 15 about expected utility theory, risk and ambiguity. Cluster 6 and 7 about intertemporal behavior and other-regarding behavior. All these clusters become increasingly important in the 1980s with most being individually bigger than cluster 11 in share of sentences. While they do integrate bounded rationality ideas, they do so by using “new” behavioral economics concepts ranging from prospect theory for risk to the paradigmatic experimental results of the ultimatum game [@gualaParadigmatic2008]. </w:t>
      </w:r>
    </w:p>
    <w:p w:rsidR="00000000" w:rsidDel="00000000" w:rsidP="00000000" w:rsidRDefault="00000000" w:rsidRPr="00000000" w14:paraId="00000063">
      <w:pPr>
        <w:ind w:right="0"/>
        <w:rPr/>
      </w:pPr>
      <w:r w:rsidDel="00000000" w:rsidR="00000000" w:rsidRPr="00000000">
        <w:rPr>
          <w:rtl w:val="0"/>
        </w:rPr>
      </w:r>
    </w:p>
    <w:p w:rsidR="00000000" w:rsidDel="00000000" w:rsidP="00000000" w:rsidRDefault="00000000" w:rsidRPr="00000000" w14:paraId="00000064">
      <w:pPr>
        <w:ind w:right="0"/>
        <w:rPr/>
      </w:pPr>
      <w:r w:rsidDel="00000000" w:rsidR="00000000" w:rsidRPr="00000000">
        <w:rPr>
          <w:rtl w:val="0"/>
        </w:rPr>
      </w:r>
    </w:p>
    <w:p w:rsidR="00000000" w:rsidDel="00000000" w:rsidP="00000000" w:rsidRDefault="00000000" w:rsidRPr="00000000" w14:paraId="00000065">
      <w:pPr>
        <w:ind w:right="0"/>
        <w:rPr/>
      </w:pPr>
      <w:r w:rsidDel="00000000" w:rsidR="00000000" w:rsidRPr="00000000">
        <w:rPr>
          <w:rtl w:val="0"/>
        </w:rPr>
        <w:t xml:space="preserve">More generally, Simon’s conceptual influence speardeaded by bounded rationality did not translate into stable research communities. Bibliometrically, only small, unstable clusters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his more generally associated with other researcher critical perfect rationality like @winterSatisficing1971, which applies satisficing to firm behavior, and @cyertCompetition1969. A related strand is @leibensteinAllocative1966 on “X-efficiency,” which challenges economics’ focus on allocative efficiency. Together, Simon, Winter, Cyert (with George), and Leibenstein form a diverse critique of how rationality—especially through profit maximization—is employed in economics, from an organizational theory perspective. After 1969–1976, this stream landed in a smaller, short-lived community and references to Simon and critiques of profit maximization then remain scattered, moving through several small communities (e.g, cl_761, cl_251,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While Simon's influence in economics was enduring, it remains marginal as a structuring force.</w:t>
      </w:r>
    </w:p>
    <w:p w:rsidR="00000000" w:rsidDel="00000000" w:rsidP="00000000" w:rsidRDefault="00000000" w:rsidRPr="00000000" w14:paraId="00000066">
      <w:pPr>
        <w:ind w:right="0"/>
        <w:rPr/>
      </w:pPr>
      <w:r w:rsidDel="00000000" w:rsidR="00000000" w:rsidRPr="00000000">
        <w:rPr>
          <w:rtl w:val="0"/>
        </w:rPr>
      </w:r>
    </w:p>
    <w:p w:rsidR="00000000" w:rsidDel="00000000" w:rsidP="00000000" w:rsidRDefault="00000000" w:rsidRPr="00000000" w14:paraId="00000067">
      <w:pPr>
        <w:ind w:right="0"/>
        <w:rPr/>
      </w:pPr>
      <w:r w:rsidDel="00000000" w:rsidR="00000000" w:rsidRPr="00000000">
        <w:rPr>
          <w:rtl w:val="0"/>
        </w:rPr>
      </w:r>
    </w:p>
    <w:p w:rsidR="00000000" w:rsidDel="00000000" w:rsidP="00000000" w:rsidRDefault="00000000" w:rsidRPr="00000000" w14:paraId="00000068">
      <w:pPr>
        <w:ind w:right="0"/>
        <w:rPr/>
      </w:pPr>
      <w:r w:rsidDel="00000000" w:rsidR="00000000" w:rsidRPr="00000000">
        <w:rPr>
          <w:rtl w:val="0"/>
        </w:rPr>
        <w:t xml:space="preserve">Like with textual clusters, the bibliometric analysis reveal a larger shift that absorb Simon’s legacy. In the 1979–1987 period, most clusters citing Simon became part of a large "Behavioral Decision Theory" cluster alongside Kahneman and Tversky.</w:t>
      </w:r>
      <w:r w:rsidDel="00000000" w:rsidR="00000000" w:rsidRPr="00000000">
        <w:rPr>
          <w:color w:val="ff0000"/>
          <w:rtl w:val="0"/>
        </w:rPr>
        <w:t xml:space="preserve"> </w:t>
      </w:r>
      <w:r w:rsidDel="00000000" w:rsidR="00000000" w:rsidRPr="00000000">
        <w:rPr>
          <w:rtl w:val="0"/>
        </w:rPr>
        <w:t xml:space="preserve">Contrary to Simon’s, the Heuristics and Biases research program of Kahneman, Tversky and other “new” behavioral economists lead to multiple stable clusters that form well identified and large research communities. A main “Behavioral Decision Theory” stable cluster in the 1980s made of the early “new” behavioral ecomists (Kahneman, Tversky, Richard Thaler, George Loewenstein</w:t>
      </w:r>
      <w:r w:rsidDel="00000000" w:rsidR="00000000" w:rsidRPr="00000000">
        <w:rPr>
          <w:rtl w:val="0"/>
        </w:rPr>
      </w:r>
    </w:p>
    <w:p w:rsidR="00000000" w:rsidDel="00000000" w:rsidP="00000000" w:rsidRDefault="00000000" w:rsidRPr="00000000" w14:paraId="00000069">
      <w:pPr>
        <w:ind w:right="0"/>
        <w:rPr/>
      </w:pPr>
      <w:r w:rsidDel="00000000" w:rsidR="00000000" w:rsidRPr="00000000">
        <w:rPr>
          <w:rtl w:val="0"/>
        </w:rPr>
        <w:t xml:space="preserve">The crystallization of a distinct "Behavioral Decision Theory" around Kahneman and Tversky's contributions signal the beginning of an explosive growth of "new" behavioral economics. The cluster spins off several autonomous communities capturing the emergence of sub-fields within behavioral economics: pro-social behavior </w:t>
      </w:r>
      <w:r w:rsidDel="00000000" w:rsidR="00000000" w:rsidRPr="00000000">
        <w:rPr>
          <w:color w:val="980000"/>
          <w:rtl w:val="0"/>
        </w:rPr>
        <w:t xml:space="preserve">(cl_x)</w:t>
      </w:r>
      <w:r w:rsidDel="00000000" w:rsidR="00000000" w:rsidRPr="00000000">
        <w:rPr>
          <w:rtl w:val="0"/>
        </w:rPr>
        <w:t xml:space="preserve">, intertemporal decision-making </w:t>
      </w:r>
      <w:r w:rsidDel="00000000" w:rsidR="00000000" w:rsidRPr="00000000">
        <w:rPr>
          <w:color w:val="980000"/>
          <w:rtl w:val="0"/>
        </w:rPr>
        <w:t xml:space="preserve">(cl_x)</w:t>
      </w:r>
      <w:r w:rsidDel="00000000" w:rsidR="00000000" w:rsidRPr="00000000">
        <w:rPr>
          <w:rtl w:val="0"/>
        </w:rPr>
        <w:t xml:space="preserve">, behavioral game theory </w:t>
      </w:r>
      <w:r w:rsidDel="00000000" w:rsidR="00000000" w:rsidRPr="00000000">
        <w:rPr>
          <w:color w:val="980000"/>
          <w:rtl w:val="0"/>
        </w:rPr>
        <w:t xml:space="preserve">(cl_x)</w:t>
      </w:r>
      <w:r w:rsidDel="00000000" w:rsidR="00000000" w:rsidRPr="00000000">
        <w:rPr>
          <w:rtl w:val="0"/>
        </w:rPr>
        <w:t xml:space="preserve">, and behavioral finance </w:t>
      </w:r>
      <w:r w:rsidDel="00000000" w:rsidR="00000000" w:rsidRPr="00000000">
        <w:rPr>
          <w:color w:val="980000"/>
          <w:rtl w:val="0"/>
        </w:rPr>
        <w:t xml:space="preserve">(cl_x)</w:t>
      </w:r>
      <w:r w:rsidDel="00000000" w:rsidR="00000000" w:rsidRPr="00000000">
        <w:rPr>
          <w:rtl w:val="0"/>
        </w:rPr>
        <w:t xml:space="preserve">. By the 2000s, behavioral economics had become the dominant venue for research on rationality, with five behavioral economics clusters representing approximately 40% of the entire network.</w:t>
      </w:r>
    </w:p>
    <w:p w:rsidR="00000000" w:rsidDel="00000000" w:rsidP="00000000" w:rsidRDefault="00000000" w:rsidRPr="00000000" w14:paraId="0000006A">
      <w:pPr>
        <w:ind w:right="0"/>
        <w:rPr/>
      </w:pPr>
      <w:r w:rsidDel="00000000" w:rsidR="00000000" w:rsidRPr="00000000">
        <w:rPr>
          <w:rtl w:val="0"/>
        </w:rPr>
        <w:t xml:space="preserve">The contrast with Simon is striking. While "bounded" and "procedural" rationality remain regularly invoked concepts, no later research community clearly carries Simon's heritage as a bibliometric anchor. The scale and speed of acceptance differed dramatically between the two approaches. By 1980, @kahnemanProspect1979 was already more cited than @simonBehavioral1955 had been at that time (@fig-rationality-paper-citations). By 1985, prospect theory had surpassed the lifetime citation peak that Simon's work ever achieved in economics. (@fig-rationality-paper-citations).  By the 2000s, most microeconomics publications about rationality are related to behavioral economics, and more generally, most publications about rationality are connected to the research program.</w:t>
      </w:r>
    </w:p>
    <w:p w:rsidR="00000000" w:rsidDel="00000000" w:rsidP="00000000" w:rsidRDefault="00000000" w:rsidRPr="00000000" w14:paraId="0000006B">
      <w:pPr>
        <w:ind w:right="0"/>
        <w:rPr/>
      </w:pPr>
      <w:r w:rsidDel="00000000" w:rsidR="00000000" w:rsidRPr="00000000">
        <w:rPr>
          <w:rtl w:val="0"/>
        </w:rPr>
        <w:t xml:space="preserve">A first</w:t>
      </w:r>
      <w:r w:rsidDel="00000000" w:rsidR="00000000" w:rsidRPr="00000000">
        <w:rPr>
          <w:rtl w:val="0"/>
        </w:rPr>
        <w:t xml:space="preserve"> surprising result from our quantitative study is the stark contrasting reception of Kahneman and Simon in terms of temporality. For historian Floris Heukelom [@heukelomSense2012; @heukelomBehavioral2014], a pivotal moment in the history of behavioral economics is the explicit creation of research program within the Sloan and Russell Sage Foundations between 1984 and 1992 that most notably led to the pairing of Kahneman and Thaler that changed the trajectory of behavioral economics. However, our quantitative analysis suggests that even in the early 1980s it was clear that something particular was happening in terms of reception with the work of Kahneman and Tversky. Despite @kahnemanProspect1979 being the only economics publication of duo until 1985 and long before the Sloan-Sage Foundation research program (1984–1992) that formalized behavioral economics, prospect theory became very cited rapidly (@fig-rationality-paper-citations). As early as the 1977–1984 bibliometirc network, we find a cluster structured by the work of Kahneman and Tversky suggesting that not only their article his cited, but it rapidly structured a new strand of research in a way that never happened with Simon’s work in economics.</w:t>
      </w:r>
    </w:p>
    <w:p w:rsidR="00000000" w:rsidDel="00000000" w:rsidP="00000000" w:rsidRDefault="00000000" w:rsidRPr="00000000" w14:paraId="0000006C">
      <w:pPr>
        <w:ind w:right="0"/>
        <w:rPr/>
      </w:pPr>
      <w:r w:rsidDel="00000000" w:rsidR="00000000" w:rsidRPr="00000000">
        <w:rPr>
          <w:rtl w:val="0"/>
        </w:rPr>
        <w:t xml:space="preserve">This is particularly remarkable given the external similarities between the two cases. Both Kahneman and Simon published in top economic journals and received Nobel Prizes. While Simon’s Nobel only increase his influence in economics marginally,  Kahneman’s Nobel reversed a downward citation trend in the 2000s to an upward trend cimenting his contribution as a structural pillar of a larger wide spanning research program.</w:t>
      </w:r>
    </w:p>
    <w:p w:rsidR="00000000" w:rsidDel="00000000" w:rsidP="00000000" w:rsidRDefault="00000000" w:rsidRPr="00000000" w14:paraId="0000006D">
      <w:pPr>
        <w:spacing w:before="0" w:lineRule="auto"/>
        <w:rPr/>
      </w:pPr>
      <w:r w:rsidDel="00000000" w:rsidR="00000000" w:rsidRPr="00000000">
        <w:rPr>
          <w:rtl w:val="0"/>
        </w:rPr>
        <w:t xml:space="preserve">A second surprising result is that </w:t>
      </w:r>
      <w:r w:rsidDel="00000000" w:rsidR="00000000" w:rsidRPr="00000000">
        <w:rPr>
          <w:rtl w:val="0"/>
        </w:rPr>
        <w:t xml:space="preserve">citations to @simonBehavioral1955 have never been higher than since the ascent of the new behavioral economics. @earlPrinciples2022 is critical of how much “old” behavioral economics seems to have been forgotten by “new” behavioral economists:</w:t>
      </w:r>
    </w:p>
    <w:p w:rsidR="00000000" w:rsidDel="00000000" w:rsidP="00000000" w:rsidRDefault="00000000" w:rsidRPr="00000000" w14:paraId="0000006E">
      <w:pPr>
        <w:numPr>
          <w:ilvl w:val="0"/>
          <w:numId w:val="2"/>
        </w:numPr>
        <w:spacing w:before="0" w:lineRule="auto"/>
        <w:ind w:left="720" w:hanging="360"/>
        <w:rPr>
          <w:u w:val="none"/>
        </w:rPr>
      </w:pP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 [@earlPrinciples2022, 2]</w:t>
      </w:r>
    </w:p>
    <w:p w:rsidR="00000000" w:rsidDel="00000000" w:rsidP="00000000" w:rsidRDefault="00000000" w:rsidRPr="00000000" w14:paraId="0000006F">
      <w:pPr>
        <w:spacing w:before="0" w:lineRule="auto"/>
        <w:rPr/>
      </w:pPr>
      <w:r w:rsidDel="00000000" w:rsidR="00000000" w:rsidRPr="00000000">
        <w:rPr>
          <w:rtl w:val="0"/>
        </w:rPr>
        <w:t xml:space="preserve">The rising citations to older work from Simon or Allais in our example show that while it is possible that most “new” behavioral economics rarely acknowledge the contributions of “old” behavioral economists, the scale of the rise of “new” behavioral economics still led to more attention paid to “old” behavioral economists than ever before in economics. This resurgence admits at least three interpretations. A more favorable reading is that the “new” program helped revive abandoned research directions and moved toward reconciliation with earlier strands (something promoted by </w:t>
      </w:r>
      <w:r w:rsidDel="00000000" w:rsidR="00000000" w:rsidRPr="00000000">
        <w:rPr>
          <w:rtl w:val="0"/>
        </w:rPr>
        <w:t xml:space="preserve">@sentRationality2008 or more recently by @earlPrinciples2022)</w:t>
      </w:r>
      <w:r w:rsidDel="00000000" w:rsidR="00000000" w:rsidRPr="00000000">
        <w:rPr>
          <w:rtl w:val="0"/>
        </w:rPr>
        <w:t xml:space="preserve">. A more unfavorable view sees intellectual appropriation, in which classic references are reframed to fit the new agenda, renewing interest but with a biased and presentist lens [@</w:t>
      </w:r>
      <w:r w:rsidDel="00000000" w:rsidR="00000000" w:rsidRPr="00000000">
        <w:rPr>
          <w:rtl w:val="0"/>
        </w:rPr>
        <w:t xml:space="preserve">monginAllais2019</w:t>
      </w:r>
      <w:r w:rsidDel="00000000" w:rsidR="00000000" w:rsidRPr="00000000">
        <w:rPr>
          <w:rtl w:val="0"/>
        </w:rPr>
        <w:t xml:space="preserve">]. A third more critical interpretation is that the citation increase reflects a growing backlash against the “new” program from the standpoint of “old” behavioral economics. Preliminary evidence supports the second interpretation. This is suggested by the sparse and unstructured citations patterns to “old” behavioral economics and the fact that discussions of rationality are increasingly framed by “new” behavioral and experimental concepts. While a definitive conclusion is beyond the scope of this paper, our study provides a roadmap for future quantitative and qualitative research needed to further the understanding of the relationship between “old” and “new” behavioral economics.</w:t>
      </w:r>
      <w:r w:rsidDel="00000000" w:rsidR="00000000" w:rsidRPr="00000000">
        <w:rPr>
          <w:rtl w:val="0"/>
        </w:rPr>
      </w:r>
    </w:p>
    <w:p w:rsidR="00000000" w:rsidDel="00000000" w:rsidP="00000000" w:rsidRDefault="00000000" w:rsidRPr="00000000" w14:paraId="00000070">
      <w:pPr>
        <w:spacing w:before="0" w:lineRule="auto"/>
        <w:rPr/>
      </w:pPr>
      <w:r w:rsidDel="00000000" w:rsidR="00000000" w:rsidRPr="00000000">
        <w:rPr>
          <w:rtl w:val="0"/>
        </w:rPr>
      </w:r>
    </w:p>
    <w:p w:rsidR="00000000" w:rsidDel="00000000" w:rsidP="00000000" w:rsidRDefault="00000000" w:rsidRPr="00000000" w14:paraId="00000071">
      <w:pPr>
        <w:ind w:right="0"/>
        <w:rPr/>
      </w:pPr>
      <w:r w:rsidDel="00000000" w:rsidR="00000000" w:rsidRPr="00000000">
        <w:rPr>
          <w:rtl w:val="0"/>
        </w:rPr>
      </w:r>
    </w:p>
    <w:p w:rsidR="00000000" w:rsidDel="00000000" w:rsidP="00000000" w:rsidRDefault="00000000" w:rsidRPr="00000000" w14:paraId="00000072">
      <w:pPr>
        <w:spacing w:before="0" w:lineRule="auto"/>
        <w:rPr/>
      </w:pPr>
      <w:r w:rsidDel="00000000" w:rsidR="00000000" w:rsidRPr="00000000">
        <w:rPr>
          <w:rtl w:val="0"/>
        </w:rPr>
      </w:r>
    </w:p>
    <w:p w:rsidR="00000000" w:rsidDel="00000000" w:rsidP="00000000" w:rsidRDefault="00000000" w:rsidRPr="00000000" w14:paraId="00000073">
      <w:pPr>
        <w:spacing w:before="0" w:lineRule="auto"/>
        <w:rPr/>
      </w:pPr>
      <w:r w:rsidDel="00000000" w:rsidR="00000000" w:rsidRPr="00000000">
        <w:rPr>
          <w:rtl w:val="0"/>
        </w:rPr>
        <w:t xml:space="preserve">O</w:t>
      </w:r>
      <w:r w:rsidDel="00000000" w:rsidR="00000000" w:rsidRPr="00000000">
        <w:rPr>
          <w:rtl w:val="0"/>
        </w:rPr>
        <w:t xml:space="preserve">ur quantitative studies delineates the specific chronology and magnitude of the different attempts at stirring a behavioral shift in economics. However, </w:t>
      </w:r>
      <w:r w:rsidDel="00000000" w:rsidR="00000000" w:rsidRPr="00000000">
        <w:rPr>
          <w:rtl w:val="0"/>
        </w:rPr>
        <w:t xml:space="preserve">as made clear by @fig-rationality-paper-citations, i</w:t>
      </w:r>
      <w:r w:rsidDel="00000000" w:rsidR="00000000" w:rsidRPr="00000000">
        <w:rPr>
          <w:rtl w:val="0"/>
        </w:rPr>
        <w:t xml:space="preserve">t is not just a linear story of a shift from one program to the other. citations to @simonBehavioral1955 have never been higher than since the ascent of the new behavioral economics. This resurgence admits at least three interpretations. A more favorable reading is that the “new” program helped revive abandoned research directions and moved toward reconciliation with earlier strands (something promoted by </w:t>
      </w:r>
      <w:r w:rsidDel="00000000" w:rsidR="00000000" w:rsidRPr="00000000">
        <w:rPr>
          <w:rtl w:val="0"/>
        </w:rPr>
        <w:t xml:space="preserve">@sentRationality2008 or more recently by @earlPrinciples2022)</w:t>
      </w:r>
      <w:r w:rsidDel="00000000" w:rsidR="00000000" w:rsidRPr="00000000">
        <w:rPr>
          <w:rtl w:val="0"/>
        </w:rPr>
        <w:t xml:space="preserve">. A more unfavorable view sees intellectual appropriation, in which classic references are reframed to fit the new agenda, renewing interest but with a biased and presentist lens [@</w:t>
      </w:r>
      <w:r w:rsidDel="00000000" w:rsidR="00000000" w:rsidRPr="00000000">
        <w:rPr>
          <w:rtl w:val="0"/>
        </w:rPr>
        <w:t xml:space="preserve">monginAllais2019</w:t>
      </w:r>
      <w:r w:rsidDel="00000000" w:rsidR="00000000" w:rsidRPr="00000000">
        <w:rPr>
          <w:rtl w:val="0"/>
        </w:rPr>
        <w:t xml:space="preserve">]. A third more critical interpretation is that the citation increase reflects a growing backlash against the “new” program from the standpoint of “old” behavioral economics. Preliminary evidence supports the second interpretation. This is suggested by the sparse and unstructured citations patterns to “old” behavioral economics and the fact that discussions of rationality are increasingly framed by “new” behavioral and experimental concepts. While a definitive conclusion is beyond the scope of this paper, our study provides a roadmap for future quantitative and qualitative research needed to further the understanding of the relationship between “old” and “new” behavioral economics.</w:t>
      </w:r>
      <w:r w:rsidDel="00000000" w:rsidR="00000000" w:rsidRPr="00000000">
        <w:rPr>
          <w:rtl w:val="0"/>
        </w:rPr>
      </w:r>
    </w:p>
    <w:p w:rsidR="00000000" w:rsidDel="00000000" w:rsidP="00000000" w:rsidRDefault="00000000" w:rsidRPr="00000000" w14:paraId="00000074">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75">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[@peritiSystematic2024].</w:t>
      </w:r>
    </w:p>
    <w:p w:rsidR="00000000" w:rsidDel="00000000" w:rsidP="00000000" w:rsidRDefault="00000000" w:rsidRPr="00000000" w14:paraId="00000076">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This procedure necessarily involves setting similarity thresholds to determine when a sentence or an article can be considered sufficiently “close.” By retaining approximately 500,000 sentences for the textual analysis and 29,000 articles for the bibliometric analysis, we deliberately opted for a broad initial corpus. Higher thresholds would have reduced these numbers and restricted the material to discussions more narrowly centered on rationality. Our methodological choice was instead to cast a wide net at the outset, in order to preserve flexibility for subsequent stages of analysis.</w:t>
      </w:r>
    </w:p>
    <w:p w:rsidR="00000000" w:rsidDel="00000000" w:rsidP="00000000" w:rsidRDefault="00000000" w:rsidRPr="00000000" w14:paraId="00000077">
      <w:pPr>
        <w:rPr/>
      </w:pPr>
      <w:r w:rsidDel="00000000" w:rsidR="00000000" w:rsidRPr="00000000">
        <w:rPr>
          <w:rtl w:val="0"/>
        </w:rPr>
        <w:t xml:space="preserve">This choice is central to the interest of the unsupervised methods we deploy.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79">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A">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B">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commentRangeStart w:id="2"/>
      <w:r w:rsidDel="00000000" w:rsidR="00000000" w:rsidRPr="00000000">
        <w:rPr>
          <w:rtl w:val="0"/>
        </w:rPr>
        <w:t xml:space="preserve">We have briefly pointed to some of these patterns above.</w:t>
      </w:r>
      <w:commentRangeEnd w:id="2"/>
      <w:r w:rsidDel="00000000" w:rsidR="00000000" w:rsidRPr="00000000">
        <w:commentReference w:id="2"/>
      </w:r>
      <w:r w:rsidDel="00000000" w:rsidR="00000000" w:rsidRPr="00000000">
        <w:rPr>
          <w:rtl w:val="0"/>
        </w:rPr>
        <w:t xml:space="preserve"> By making available two interactive applications to explore our results, we hope to encourage readers to pursue their own paths of discovery within the corpus.</w:t>
      </w:r>
    </w:p>
    <w:p w:rsidR="00000000" w:rsidDel="00000000" w:rsidP="00000000" w:rsidRDefault="00000000" w:rsidRPr="00000000" w14:paraId="0000007C">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2" w:date="2025-12-16T10:01:08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 eu la flemme de mettre des exemples pour le moment.</w:t>
      </w:r>
    </w:p>
  </w:comment>
  <w:comment w:author="Thomas Delcey" w:id="0" w:date="2025-12-13T01:11:21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1" w:date="2025-12-13T11:14:16Z">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8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5">
    <w:p w:rsidR="00000000" w:rsidDel="00000000" w:rsidP="00000000" w:rsidRDefault="00000000" w:rsidRPr="00000000" w14:paraId="00000081">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p>
  </w:footnote>
  <w:footnote w:id="0">
    <w:p w:rsidR="00000000" w:rsidDel="00000000" w:rsidP="00000000" w:rsidRDefault="00000000" w:rsidRPr="00000000" w14:paraId="00000082">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“semantic clusters”.</w:t>
      </w:r>
    </w:p>
  </w:footnote>
  <w:footnote w:id="2">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4">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3">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more detailed information on the collection of data, see the appendix.</w:t>
      </w:r>
    </w:p>
  </w:footnote>
  <w:footnote w:id="6">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7">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8">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9">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the LLMs, to understand the building of our corpus.</w:t>
      </w:r>
    </w:p>
  </w:footnote>
  <w:footnote w:id="10">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p w:rsidR="00000000" w:rsidDel="00000000" w:rsidP="00000000" w:rsidRDefault="00000000" w:rsidRPr="00000000" w14:paraId="0000008B">
      <w:pPr>
        <w:spacing w:after="0" w:before="0" w:line="240" w:lineRule="auto"/>
        <w:rPr>
          <w:sz w:val="20"/>
          <w:szCs w:val="20"/>
        </w:rPr>
      </w:pPr>
      <w:r w:rsidDel="00000000" w:rsidR="00000000" w:rsidRPr="00000000">
        <w:rPr>
          <w:rtl w:val="0"/>
        </w:rPr>
      </w:r>
    </w:p>
  </w:footnote>
  <w:footnote w:id="12">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13">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Note here that we don’t use overlapping windows in this case, notably for computational reasons: finding HDSBCAN clusters on a set of tens of thousands of sentences is much computationally intensive than finding bibliographic communities for at most five thousands of articles..</w:t>
      </w:r>
    </w:p>
  </w:footnote>
  <w:footnote w:id="14">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more details about this.</w:t>
      </w:r>
    </w:p>
  </w:footnote>
  <w:footnote w:id="15">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r w:rsidDel="00000000" w:rsidR="00000000" w:rsidRPr="00000000">
        <w:rPr>
          <w:rtl w:val="0"/>
        </w:rPr>
      </w:r>
    </w:p>
  </w:footnote>
  <w:footnote w:id="11">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analysts must choose a particular model and its parameters and these choices embed methodological priors about the types of patterns the procedure is likely to reveal. For instance, one famous crucial parameter in many unsupervised models is the number of categories that will emerge from the algorithm.</w:t>
      </w:r>
    </w:p>
  </w:footnote>
  <w:footnote w:id="17">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16">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and from choosing illustrations that support a particular line of interpretation—all the more so given that the scope of our study is too broad to summarize every pattern revealed by our results. Other scholars could have, at various junctures, pursued different interpretive directions on the basis of the same material. The publication of the interactive applications we used to explore the results thus serves as an exercise in transparency and—in addition to being, we hope, useful for historians of economic thought more generally—allows readers to assess the robustness and limits of our narrative.</w:t>
      </w:r>
    </w:p>
  </w:footnote>
  <w:footnote w:id="18">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see semantic cluster 9 and 4]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0">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21">
    <w:p w:rsidR="00000000" w:rsidDel="00000000" w:rsidP="00000000" w:rsidRDefault="00000000" w:rsidRPr="00000000" w14:paraId="00000095">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19">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rtl w:val="0"/>
        </w:rPr>
        <w:t xml:space="preserve">herfeldTheories2018]</w:t>
      </w:r>
      <w:r w:rsidDel="00000000" w:rsidR="00000000" w:rsidRPr="00000000">
        <w:rPr>
          <w:rtl w:val="0"/>
        </w:rPr>
        <w:t xml:space="preserve">.</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