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debates,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t xml:space="preserve">Combining both allows us to illustrate concretely the use of two popular sets of data for the history of economics. This combination is also justified by what we regard as a crucial principle of quantitative analysis in the history of economics in particular, and more broadly in the history of science: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2</w:t>
      </w:r>
      <w:r w:rsidDel="00000000" w:rsidR="00000000" w:rsidRPr="00000000">
        <w:rPr>
          <w:rtl w:val="0"/>
        </w:rPr>
        <w:t xml:space="preserve">38,764</w:t>
      </w:r>
      <w:r w:rsidDel="00000000" w:rsidR="00000000" w:rsidRPr="00000000">
        <w:rPr>
          <w:rtl w:val="0"/>
        </w:rPr>
        <w:t xml:space="preserve">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a reliable and consistent coverage for our period and has been widely used in the history of economics</w:t>
      </w:r>
      <w:r w:rsidDel="00000000" w:rsidR="00000000" w:rsidRPr="00000000">
        <w:rPr>
          <w:rtl w:val="0"/>
        </w:rPr>
        <w:t xml:space="preserve"> [@culbertReference2025;@martin-martinGoogleScholarMicrosoft2021;@claveauMacrodynamics2016]</w:t>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from  Elsevier, when available.</w:t>
      </w:r>
      <w:r w:rsidDel="00000000" w:rsidR="00000000" w:rsidRPr="00000000">
        <w:rPr>
          <w:vertAlign w:val="superscript"/>
        </w:rPr>
        <w:footnoteReference w:customMarkFollows="0" w:id="4"/>
      </w:r>
      <w:r w:rsidDel="00000000" w:rsidR="00000000" w:rsidRPr="00000000">
        <w:rPr>
          <w:rtl w:val="0"/>
        </w:rPr>
        <w:t xml:space="preserve"> </w:t>
      </w:r>
      <w:r w:rsidDel="00000000" w:rsidR="00000000" w:rsidRPr="00000000">
        <w:rPr>
          <w:rtl w:val="0"/>
        </w:rPr>
        <w:t xml:space="preserve">Third, remaining full texts were obtained from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5"/>
      </w:r>
      <w:r w:rsidDel="00000000" w:rsidR="00000000" w:rsidRPr="00000000">
        <w:rPr>
          <w:rtl w:val="0"/>
        </w:rPr>
        <w:t xml:space="preserve"> We obtain a first corpus, that we call </w:t>
      </w:r>
      <w:r w:rsidDel="00000000" w:rsidR="00000000" w:rsidRPr="00000000">
        <w:rPr>
          <w:i w:val="1"/>
          <w:iCs w:val="1"/>
          <w:rtl w:val="0"/>
        </w:rPr>
        <w:t xml:space="preserve">meta-corpus,</w:t>
      </w:r>
      <w:r w:rsidDel="00000000" w:rsidR="00000000" w:rsidRPr="00000000">
        <w:rPr>
          <w:rtl w:val="0"/>
        </w:rPr>
        <w:t xml:space="preserve"> of 2</w:t>
      </w:r>
      <w:r w:rsidDel="00000000" w:rsidR="00000000" w:rsidRPr="00000000">
        <w:rPr>
          <w:rtl w:val="0"/>
        </w:rPr>
        <w:t xml:space="preserve">38,764</w:t>
      </w:r>
      <w:r w:rsidDel="00000000" w:rsidR="00000000" w:rsidRPr="00000000">
        <w:rPr>
          <w:rtl w:val="0"/>
        </w:rPr>
        <w:t xml:space="preserve"> economics articles that will be later filtered to focus on “rationality”.</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meta-corpus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meta-corpus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noisy 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w:t>
      </w:r>
      <w:r w:rsidDel="00000000" w:rsidR="00000000" w:rsidRPr="00000000">
        <w:rPr>
          <w:vertAlign w:val="superscript"/>
        </w:rPr>
        <w:footnoteReference w:customMarkFollows="0" w:id="7"/>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8"/>
      </w:r>
      <w:r w:rsidDel="00000000" w:rsidR="00000000" w:rsidRPr="00000000">
        <w:rPr>
          <w:rtl w:val="0"/>
        </w:rPr>
        <w:t xml:space="preserve"> We also restrain our analysis to research articles and filter out book reviews, comments, editorial reports or obituaries.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25%  of the full-text documents after 1960 could not be matched to WoS records, which prevents us from analyzing their citation data.</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This selection can be made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@andradaUnderstanding2017; @fontanaFragmentation2023] entails comparatively definitional or boundary challenges. While some large-scale studies focus on the discipline as a whole [@claveauMacrodynamics2016; @ambrosinoWhat2018; @bacciniExploring2025],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 or “research specialty” [@morrisMapping2008; @lyutovMachine2021]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act must be  assessed instrumentally, not as a definitive delineation, but as an operational hypothesis tailored to a specific research question or even an act of “drawing impossible boundaries” </w:t>
      </w:r>
      <w:r w:rsidDel="00000000" w:rsidR="00000000" w:rsidRPr="00000000">
        <w:rPr>
          <w:rtl w:val="0"/>
        </w:rPr>
        <w:t xml:space="preserve">[@lietzDrawing2020; @zittBibliometric2019]</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w:t>
      </w:r>
      <w:r w:rsidDel="00000000" w:rsidR="00000000" w:rsidRPr="00000000">
        <w:rPr>
          <w:rtl w:val="0"/>
        </w:rPr>
        <w:t xml:space="preserve"> documents by building the corpus from </w:t>
      </w:r>
      <w:r w:rsidDel="00000000" w:rsidR="00000000" w:rsidRPr="00000000">
        <w:rPr>
          <w:i w:val="1"/>
          <w:iCs w:val="1"/>
          <w:rtl w:val="0"/>
        </w:rPr>
        <w:t xml:space="preserve">peer-review</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0"/>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1"/>
      </w:r>
      <w:r w:rsidDel="00000000" w:rsidR="00000000" w:rsidRPr="00000000">
        <w:rPr>
          <w:rtl w:val="0"/>
        </w:rPr>
        <w:t xml:space="preserve"> We were able to retrieve 289538 articles published in these journals from 1900 to 2009. </w:t>
      </w:r>
      <w:r w:rsidDel="00000000" w:rsidR="00000000" w:rsidRPr="00000000">
        <w:rPr>
          <w:rtl w:val="0"/>
        </w:rPr>
        <w:t xml:space="preserve">These articles form what we call our “m</w:t>
      </w:r>
      <w:r w:rsidDel="00000000" w:rsidR="00000000" w:rsidRPr="00000000">
        <w:rPr>
          <w:rtl w:val="0"/>
        </w:rPr>
        <w:t xml:space="preserve">eta-corpus”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2"/>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Such a model represents texts as vectors—often called embeddings—that capture their context and meaning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3"/>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w:t>
      </w:r>
      <w:r w:rsidDel="00000000" w:rsidR="00000000" w:rsidRPr="00000000">
        <w:rPr>
          <w:rtl w:val="0"/>
        </w:rPr>
        <w:t xml:space="preserve">The model is fine-tuned for semantic comparison between sentences</w:t>
      </w:r>
      <w:r w:rsidDel="00000000" w:rsidR="00000000" w:rsidRPr="00000000">
        <w:rPr>
          <w:rtl w:val="0"/>
        </w:rPr>
        <w:t xml:space="preserve">: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 “rationality,”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discusses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Despite their remarkable potential, LLMs have important limitations for historical analysis. Computing a single representative vector over 110 years raises serious historical issues: these models are trained on vast amounts of text, the majority of which are recent, and therefore reflect a presentist bias in their representation of language. </w:t>
      </w:r>
      <w:r w:rsidDel="00000000" w:rsidR="00000000" w:rsidRPr="00000000">
        <w:rPr>
          <w:rtl w:val="0"/>
        </w:rPr>
        <w:t xml:space="preserve">LLMs are trained on </w:t>
      </w:r>
      <w:r w:rsidDel="00000000" w:rsidR="00000000" w:rsidRPr="00000000">
        <w:rPr>
          <w:rtl w:val="0"/>
        </w:rPr>
        <w:t xml:space="preserve">vast amounts </w:t>
      </w:r>
      <w:r w:rsidDel="00000000" w:rsidR="00000000" w:rsidRPr="00000000">
        <w:rPr>
          <w:rtl w:val="0"/>
        </w:rPr>
        <w:t xml:space="preserve">of texts but the  majority of which are recent, and therefore reflect a presentist, numerical view of language.</w:t>
      </w:r>
      <w:r w:rsidDel="00000000" w:rsidR="00000000" w:rsidRPr="00000000">
        <w:rPr>
          <w:vertAlign w:val="superscript"/>
        </w:rPr>
        <w:footnoteReference w:customMarkFollows="0" w:id="14"/>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in the appendix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window,</w:t>
      </w:r>
      <w:r w:rsidDel="00000000" w:rsidR="00000000" w:rsidRPr="00000000">
        <w:rPr>
          <w:rtl w:val="0"/>
        </w:rPr>
        <w:t xml:space="preserve"> based on all the sentences containing “rationality” or “rational”.</w:t>
      </w:r>
      <w:r w:rsidDel="00000000" w:rsidR="00000000" w:rsidRPr="00000000">
        <w:rPr>
          <w:vertAlign w:val="superscript"/>
        </w:rPr>
        <w:footnoteReference w:customMarkFollows="0" w:id="15"/>
      </w:r>
      <w:r w:rsidDel="00000000" w:rsidR="00000000" w:rsidRPr="00000000">
        <w:rPr>
          <w:rtl w:val="0"/>
        </w:rPr>
        <w:t xml:space="preserve">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6"/>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w:t>
      </w:r>
      <w:r w:rsidDel="00000000" w:rsidR="00000000" w:rsidRPr="00000000">
        <w:rPr>
          <w:i w:val="1"/>
          <w:iCs w:val="1"/>
          <w:rtl w:val="0"/>
        </w:rPr>
        <w:t xml:space="preserve">representative vectors.</w:t>
      </w:r>
      <w:r w:rsidDel="00000000" w:rsidR="00000000" w:rsidRPr="00000000">
        <w:rPr>
          <w:rtl w:val="0"/>
        </w:rPr>
        <w:t xml:space="preserve">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it is close in the vector space from real sentences. </w:t>
      </w:r>
      <w:r w:rsidDel="00000000" w:rsidR="00000000" w:rsidRPr="00000000">
        <w:rPr>
          <w:rtl w:val="0"/>
        </w:rPr>
        <w:t xml:space="preserve">This method allows for the identification of  discussions on rationality across large corpora at low computational cost. For illustration, @tbl-illustrative_sentences reports the 5 sentences closest to the representative vector, ranked by cosine similarity for the years 1910, 1950, and 2000.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We </w:t>
      </w:r>
      <w:r w:rsidDel="00000000" w:rsidR="00000000" w:rsidRPr="00000000">
        <w:rPr>
          <w:rtl w:val="0"/>
        </w:rPr>
        <w:t xml:space="preserve">built</w:t>
      </w:r>
      <w:r w:rsidDel="00000000" w:rsidR="00000000" w:rsidRPr="00000000">
        <w:rPr>
          <w:rtl w:val="0"/>
        </w:rPr>
        <w:t xml:space="preserve"> a first corpus, that we call the </w:t>
      </w:r>
      <w:r w:rsidDel="00000000" w:rsidR="00000000" w:rsidRPr="00000000">
        <w:rPr>
          <w:i w:val="1"/>
          <w:iCs w:val="1"/>
          <w:rtl w:val="0"/>
        </w:rPr>
        <w:t xml:space="preserve">sentences-corpus</w:t>
      </w:r>
      <w:r w:rsidDel="00000000" w:rsidR="00000000" w:rsidRPr="00000000">
        <w:rPr>
          <w:rtl w:val="0"/>
        </w:rPr>
        <w:t xml:space="preserve">. F</w:t>
      </w:r>
      <w:r w:rsidDel="00000000" w:rsidR="00000000" w:rsidRPr="00000000">
        <w:rPr>
          <w:rtl w:val="0"/>
        </w:rPr>
        <w:t xml:space="preserve">or each year, we select all the </w:t>
      </w:r>
      <w:r w:rsidDel="00000000" w:rsidR="00000000" w:rsidRPr="00000000">
        <w:rPr>
          <w:rtl w:val="0"/>
        </w:rPr>
        <w:t xml:space="preserve">sentences</w:t>
      </w:r>
      <w:r w:rsidDel="00000000" w:rsidR="00000000" w:rsidRPr="00000000">
        <w:rPr>
          <w:rtl w:val="0"/>
        </w:rPr>
        <w:t xml:space="preserve"> from our meta-corpus the 1% of sentences whose embeddings are closest to the corresponding representative vector.</w:t>
      </w:r>
      <w:r w:rsidDel="00000000" w:rsidR="00000000" w:rsidRPr="00000000">
        <w:rPr>
          <w:vertAlign w:val="superscript"/>
        </w:rPr>
        <w:footnoteReference w:customMarkFollows="0" w:id="17"/>
      </w:r>
      <w:r w:rsidDel="00000000" w:rsidR="00000000" w:rsidRPr="00000000">
        <w:rPr>
          <w:rtl w:val="0"/>
        </w:rPr>
        <w:t xml:space="preserve"> This sentence-corpus is composed  of 499 157 </w:t>
      </w:r>
      <w:r w:rsidDel="00000000" w:rsidR="00000000" w:rsidRPr="00000000">
        <w:rPr>
          <w:rtl w:val="0"/>
        </w:rPr>
        <w:t xml:space="preserve">sentences that</w:t>
      </w:r>
      <w:r w:rsidDel="00000000" w:rsidR="00000000" w:rsidRPr="00000000">
        <w:rPr>
          <w:rtl w:val="0"/>
        </w:rPr>
        <w:t xml:space="preserve"> will be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on rationality. </w:t>
      </w:r>
    </w:p>
    <w:p w:rsidR="00000000" w:rsidDel="00000000" w:rsidP="00000000" w:rsidRDefault="00000000" w:rsidRPr="00000000" w14:paraId="00000025">
      <w:pPr>
        <w:rPr/>
      </w:pPr>
      <w:r w:rsidDel="00000000" w:rsidR="00000000" w:rsidRPr="00000000">
        <w:rPr>
          <w:rtl w:val="0"/>
        </w:rPr>
        <w:t xml:space="preserve">We built a second corpus, at the document level, that we call the </w:t>
      </w:r>
      <w:r w:rsidDel="00000000" w:rsidR="00000000" w:rsidRPr="00000000">
        <w:rPr>
          <w:i w:val="1"/>
          <w:iCs w:val="1"/>
          <w:rtl w:val="0"/>
        </w:rPr>
        <w:t xml:space="preserve">articles-corpus</w:t>
      </w:r>
      <w:r w:rsidDel="00000000" w:rsidR="00000000" w:rsidRPr="00000000">
        <w:rPr>
          <w:rtl w:val="0"/>
        </w:rPr>
        <w:t xml:space="preserve">. </w:t>
      </w:r>
      <w:r w:rsidDel="00000000" w:rsidR="00000000" w:rsidRPr="00000000">
        <w:rPr>
          <w:rtl w:val="0"/>
        </w:rPr>
        <w:t xml:space="preserve"> We extract from our meta-corpus the </w:t>
      </w:r>
      <w:r w:rsidDel="00000000" w:rsidR="00000000" w:rsidRPr="00000000">
        <w:rPr>
          <w:i w:val="1"/>
          <w:iCs w:val="1"/>
          <w:rtl w:val="0"/>
        </w:rPr>
        <w:t xml:space="preserve">documents </w:t>
      </w:r>
      <w:r w:rsidDel="00000000" w:rsidR="00000000" w:rsidRPr="00000000">
        <w:rPr>
          <w:rtl w:val="0"/>
        </w:rPr>
        <w:t xml:space="preserve">that are closest to the corresponding representative vector. Because </w:t>
      </w:r>
      <w:r w:rsidDel="00000000" w:rsidR="00000000" w:rsidRPr="00000000">
        <w:rPr>
          <w:rtl w:val="0"/>
        </w:rPr>
        <w:t xml:space="preserve">each document consists of a set of sentences (and thus is represented by a set of vectors),  we can also give a vectorial representation to the document by computing the centroid of its sentence vectors. We select the 10% of articles published after 1960 whose centroids are closest to the corresponding representative vector. This articles-corpus, composed of 25 916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8"/>
      </w:r>
      <w:r w:rsidDel="00000000" w:rsidR="00000000" w:rsidRPr="00000000">
        <w:rPr>
          <w:rtl w:val="0"/>
        </w:rPr>
        <w:t xml:space="preserve"> Equivalent to </w:t>
      </w:r>
      <w:r w:rsidDel="00000000" w:rsidR="00000000" w:rsidRPr="00000000">
        <w:rPr>
          <w:rtl w:val="0"/>
        </w:rPr>
        <w:t xml:space="preserve">@tbl-illustrative_sentences but for documents, </w:t>
      </w:r>
      <w:r w:rsidDel="00000000" w:rsidR="00000000" w:rsidRPr="00000000">
        <w:rPr>
          <w:rtl w:val="0"/>
        </w:rPr>
        <w:t xml:space="preserve">@tbl-illustrative_documents displays the five closest documents to the corresponding representative vectors for years 1910, 1950 and 2000.</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In the appendix, @fig-method-schema-general summarises this whole process of building our two corpora from our different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 or “organization.”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 @tahamtanCore2018 for a literature review on the issue]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[@teixeiradasilvaMatthew2021; @teplitskiyHow2022</w:t>
      </w:r>
      <w:r w:rsidDel="00000000" w:rsidR="00000000" w:rsidRPr="00000000">
        <w:rPr>
          <w:rtl w:val="0"/>
        </w:rPr>
        <w:t xml:space="preserve">; @eikaStarstruck2022].</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9"/>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0"/>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1"/>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@claveauMacrodynamics2016; @trucForty2022; @bacciniDoes2025].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w:t>
      </w:r>
      <w:r w:rsidDel="00000000" w:rsidR="00000000" w:rsidRPr="00000000">
        <w:rPr>
          <w:rtl w:val="0"/>
        </w:rPr>
        <w:t xml:space="preserve">[@</w:t>
      </w:r>
      <w:r w:rsidDel="00000000" w:rsidR="00000000" w:rsidRPr="00000000">
        <w:rPr>
          <w:rtl w:val="0"/>
        </w:rPr>
        <w:t xml:space="preserve">claveauMacrodynamics2016</w:t>
      </w:r>
      <w:r w:rsidDel="00000000" w:rsidR="00000000" w:rsidRPr="00000000">
        <w:rPr>
          <w:rtl w:val="0"/>
        </w:rPr>
        <w:t xml:space="preserve">; @goutsmedtIndependent2023; @camilottoNavigating2023]</w:t>
      </w:r>
      <w:r w:rsidDel="00000000" w:rsidR="00000000" w:rsidRPr="00000000">
        <w:rPr>
          <w:rtl w:val="0"/>
        </w:rPr>
        <w:t xml:space="preserve">, </w:t>
      </w:r>
      <w:r w:rsidDel="00000000" w:rsidR="00000000" w:rsidRPr="00000000">
        <w:rPr>
          <w:rtl w:val="0"/>
        </w:rPr>
        <w:t xml:space="preserve">we therefore split our corpus into overlapping eight-year windows,</w:t>
      </w:r>
      <w:r w:rsidDel="00000000" w:rsidR="00000000" w:rsidRPr="00000000">
        <w:rPr>
          <w:vertAlign w:val="superscript"/>
        </w:rPr>
        <w:footnoteReference w:customMarkFollows="0" w:id="22"/>
      </w:r>
      <w:r w:rsidDel="00000000" w:rsidR="00000000" w:rsidRPr="00000000">
        <w:rPr>
          <w:rtl w:val="0"/>
        </w:rPr>
        <w:t xml:space="preserve"> starting in 1960 (1960–1967; 1961–1968; … ; 2002–2009), and built a series of 43 separate networks. </w:t>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3"/>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 in the appendix</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@giulianelliAnalysing2020; @montanelliSurvey2024; @peritiSystematic2024a].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5"/>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but reduce large and complex data to a smaller number of coherent groups. In our case, they generate statistical categories—bibliometric communities and semantic clusters—that lack predefined conceptual “labels.” They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This point illustrates again that,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statistical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 key step for the interpretation of our results is thus the process by which we </w:t>
      </w:r>
      <w:r w:rsidDel="00000000" w:rsidR="00000000" w:rsidRPr="00000000">
        <w:rPr>
          <w:i w:val="1"/>
          <w:iCs w:val="1"/>
          <w:rtl w:val="0"/>
        </w:rPr>
        <w:t xml:space="preserve">select</w:t>
      </w:r>
      <w:r w:rsidDel="00000000" w:rsidR="00000000" w:rsidRPr="00000000">
        <w:rPr>
          <w:rtl w:val="0"/>
        </w:rPr>
        <w:t xml:space="preserve"> and </w:t>
      </w:r>
      <w:r w:rsidDel="00000000" w:rsidR="00000000" w:rsidRPr="00000000">
        <w:rPr>
          <w:i w:val="1"/>
          <w:iCs w:val="1"/>
          <w:rtl w:val="0"/>
        </w:rPr>
        <w:t xml:space="preserve">prioritise </w:t>
      </w:r>
      <w:r w:rsidDel="00000000" w:rsidR="00000000" w:rsidRPr="00000000">
        <w:rPr>
          <w:rtl w:val="0"/>
        </w:rPr>
        <w:t xml:space="preserve">observations that will make sense of them. To make this crucial step as transparent and replicable as possible</w:t>
      </w:r>
      <w:r w:rsidDel="00000000" w:rsidR="00000000" w:rsidRPr="00000000">
        <w:rPr>
          <w:rtl w:val="0"/>
        </w:rPr>
        <w:t xml:space="preserve">, we have built an application, where readers can explore all the semantic clusters and bibliometric communities, together with their corresponding indicators.</w:t>
      </w:r>
      <w:r w:rsidDel="00000000" w:rsidR="00000000" w:rsidRPr="00000000">
        <w:rPr>
          <w:vertAlign w:val="superscript"/>
        </w:rPr>
        <w:footnoteReference w:customMarkFollows="0" w:id="26"/>
      </w:r>
      <w:r w:rsidDel="00000000" w:rsidR="00000000" w:rsidRPr="00000000">
        <w:rPr>
          <w:rtl w:val="0"/>
        </w:rPr>
        <w:t xml:space="preserve"> Let us take as an example the semantic cluster “Rationality and its Limits,” which gathers close to 20,000 sentences from 1920 to 2009.</w:t>
      </w:r>
      <w:r w:rsidDel="00000000" w:rsidR="00000000" w:rsidRPr="00000000">
        <w:rPr>
          <w:vertAlign w:val="superscript"/>
        </w:rPr>
        <w:footnoteReference w:customMarkFollows="0" w:id="27"/>
      </w:r>
      <w:r w:rsidDel="00000000" w:rsidR="00000000" w:rsidRPr="00000000">
        <w:rPr>
          <w:rtl w:val="0"/>
        </w:rPr>
        <w:t xml:space="preserve"> How can we get a sense of what this cluster actually coalesces around? Before any qualitative interpretation or contextualization with the secondary literature, we must first produce a series of indicators to help us at characterizing the cluster. We choose the following indicators: </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b w:val="1"/>
          <w:bCs w:val="1"/>
          <w:rtl w:val="0"/>
        </w:rPr>
        <w:t xml:space="preserve">The TF-IDF. </w:t>
      </w:r>
      <w:r w:rsidDel="00000000" w:rsidR="00000000" w:rsidRPr="00000000">
        <w:rPr>
          <w:rtl w:val="0"/>
        </w:rPr>
        <w:t xml:space="preserve">We</w:t>
      </w:r>
      <w:r w:rsidDel="00000000" w:rsidR="00000000" w:rsidRPr="00000000">
        <w:rPr>
          <w:b w:val="1"/>
          <w:bCs w:val="1"/>
          <w:rtl w:val="0"/>
        </w:rPr>
        <w:t xml:space="preserve"> </w:t>
      </w:r>
      <w:r w:rsidDel="00000000" w:rsidR="00000000" w:rsidRPr="00000000">
        <w:rPr>
          <w:rtl w:val="0"/>
        </w:rPr>
        <w:t xml:space="preserve">identify words specific to the cluster for each decade, based on Term Frequency-Inverse Document Frequency (TF-IDF). For instance, while the first period of the cluster (the 1920s) deals notably with “rationalisation” and “human reason,” the 1950s are more directly focused on “rationalism,” “rationality,” and “rational behavior.” After the 1970s and until 2009, “bounded rationality” </w:t>
      </w:r>
      <w:r w:rsidDel="00000000" w:rsidR="00000000" w:rsidRPr="00000000">
        <w:rPr>
          <w:rtl w:val="0"/>
        </w:rPr>
        <w:t xml:space="preserve">emerges</w:t>
      </w:r>
      <w:r w:rsidDel="00000000" w:rsidR="00000000" w:rsidRPr="00000000">
        <w:rPr>
          <w:rtl w:val="0"/>
        </w:rPr>
        <w:t xml:space="preserve">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b w:val="1"/>
          <w:bCs w:val="1"/>
          <w:rtl w:val="0"/>
        </w:rPr>
        <w:t xml:space="preserve">The closest sentences.</w:t>
      </w:r>
      <w:r w:rsidDel="00000000" w:rsidR="00000000" w:rsidRPr="00000000">
        <w:rPr>
          <w:rtl w:val="0"/>
        </w:rPr>
        <w:t xml:space="preserve"> W</w:t>
      </w:r>
      <w:r w:rsidDel="00000000" w:rsidR="00000000" w:rsidRPr="00000000">
        <w:rPr>
          <w:rtl w:val="0"/>
        </w:rPr>
        <w:t xml:space="preserve">e use two different definitions. First, the sentences within the semantic cluster that are closest to its year-representative vector. Second, the closest sentences from the  cluster’s centroid itself for each period. The first tends to highlight how the concept of rationality is discussed, while the second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b w:val="1"/>
          <w:bCs w:val="1"/>
          <w:rtl w:val="0"/>
        </w:rPr>
        <w:t xml:space="preserve">The closest articles</w:t>
      </w:r>
      <w:r w:rsidDel="00000000" w:rsidR="00000000" w:rsidRPr="00000000">
        <w:rPr>
          <w:rtl w:val="0"/>
        </w:rPr>
        <w:t xml:space="preserve">. We define the closest articles as those containing the highest number of sentences belonging to the cluster within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b w:val="1"/>
          <w:bCs w:val="1"/>
          <w:rtl w:val="0"/>
        </w:rPr>
        <w:t xml:space="preserve">The most cited references.</w:t>
      </w:r>
      <w:r w:rsidDel="00000000" w:rsidR="00000000" w:rsidRPr="00000000">
        <w:rPr>
          <w:rtl w:val="0"/>
        </w:rPr>
        <w:t xml:space="preserve"> From the 1950s onward, we compute the most cited references in the cluster (based on the number of citations per article, whether the article has one or ten sentences in the cluster). For instance,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community </w:t>
      </w:r>
      <w:r w:rsidDel="00000000" w:rsidR="00000000" w:rsidRPr="00000000">
        <w:rPr>
          <w:rtl w:val="0"/>
        </w:rPr>
        <w:t xml:space="preserve">“Behavioral Economics: Risk &amp; Uncertainty”</w:t>
      </w:r>
      <w:r w:rsidDel="00000000" w:rsidR="00000000" w:rsidRPr="00000000">
        <w:rPr>
          <w:rtl w:val="0"/>
        </w:rPr>
        <w:t xml:space="preserve"> community in the 1981-1988 window. As with the semantic clusters, for each bibliometric community in each temporal window we extract, equivalent indicators: the most identifying words, the sentences closest to the representative vectors—based on the articles belonging to the community—as well as the most cited references. We also examine the flows of each community in a given window: that is whether its nodes derive primarily from the same or from different communities in preceding periods (“origins”)  and what they become in the following period (“destinies”).</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8"/>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that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9"/>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From 1900–1920, the semantic cluster “Methodological Discussions” captures a significant share of sentences that address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0"/>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A second line of criticism held that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These transformations are visible in the intertemporal semantic semantic cluster “Utility Theory”. While it constituted only a tiny share of sentences between 1900 and 1919, and was absent in the 1920s, it gained importance in the 1930s to the 1950s (though still representing less than 5% of all sentences). During this period, the cluster captures the heart of the debate concerning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also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1"/>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 same cluster, terms such as “introspection,” “satisfaction(s),” and “pleasure” recur frequently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disappeared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emerged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intertemporal semantic clusters that persist over time while reflecting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For instance,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2"/>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3"/>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4"/>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5"/>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A similar trajectory to macroeconomics can also be observed in finance. The origins of financial issues can be traced to the semantic cluster “Capital &amp; Investment Theory,”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became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suggests that rationality in finance enters primarily through corporate finance, rather than through asset pricing, where rationality seems to have  remained an implicit assumption, rarely discussed explicitly prior to the emergence of behavioral finance. </w:t>
      </w:r>
    </w:p>
    <w:p w:rsidR="00000000" w:rsidDel="00000000" w:rsidP="00000000" w:rsidRDefault="00000000" w:rsidRPr="00000000" w14:paraId="00000058">
      <w:pPr>
        <w:rPr/>
      </w:pPr>
      <w:r w:rsidDel="00000000" w:rsidR="00000000" w:rsidRPr="00000000">
        <w:rPr>
          <w:rtl w:val="0"/>
        </w:rPr>
        <w:t xml:space="preserve">However, from the 1980s onward, modern asset pricing became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emerged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began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These results are largely consistent with an established historiography, although this approach could be particularly useful in less studied areas or to assess more </w:t>
      </w:r>
      <w:r w:rsidDel="00000000" w:rsidR="00000000" w:rsidRPr="00000000">
        <w:rPr>
          <w:rtl w:val="0"/>
        </w:rPr>
        <w:t xml:space="preserve">accurately</w:t>
      </w:r>
      <w:r w:rsidDel="00000000" w:rsidR="00000000" w:rsidRPr="00000000">
        <w:rPr>
          <w:rtl w:val="0"/>
        </w:rPr>
        <w:t xml:space="preserve"> the timing of change. Here, it allows us to identify large-scale changes when they become visible in the data—namely, when particular clusters come to represent a significant share of sentences (or of the bibliometric networks). For instance, we observe that the “social” dimension of rationality became prominent already in the 1930s, when the issue of “rationalising” economic processes and policy arose. Still, historians of economic thought are often concerned with uncovering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Why did these two closely conceptually-related research programs follow such different trajectories and levels of influence in economics?  Both challenged standard assumptions of rationality under the banner of behavioral economics, and both were ultimately recognized with Nobel Prizes, yet their patterns of reception and adoption differed. While our methods cannot identify the comprehensive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The semantic cluster “Rationality &amp; its Limits” undergoes a marked transformation following the rise of Simon’s influence. In the 1950s, the TF-IDF</w:t>
      </w:r>
      <w:r w:rsidDel="00000000" w:rsidR="00000000" w:rsidRPr="00000000">
        <w:rPr>
          <w:b w:val="1"/>
          <w:bCs w:val="1"/>
          <w:rtl w:val="0"/>
        </w:rPr>
        <w:t xml:space="preserve"> </w:t>
      </w:r>
      <w:r w:rsidDel="00000000" w:rsidR="00000000" w:rsidRPr="00000000">
        <w:rPr>
          <w:rtl w:val="0"/>
        </w:rPr>
        <w:t xml:space="preserve">associated with this cluster was centered on terms such as “rational behavior,” “rationalization,” and “irrationality.” By the 1970s, “bounded rationality” had become one the most prevalent expressions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the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bibliometric communities. While his framework shaped how many economists approached rationality, very few actually developed the research program he initiated. In our bibliometric networks,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clusters,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these different research streams coalesced into a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institutionalist approache</w:t>
      </w:r>
      <w:r w:rsidDel="00000000" w:rsidR="00000000" w:rsidRPr="00000000">
        <w:rPr>
          <w:rtl w:val="0"/>
        </w:rPr>
        <w:t xml:space="preserve">s</w:t>
      </w:r>
      <w:r w:rsidDel="00000000" w:rsidR="00000000" w:rsidRPr="00000000">
        <w:rPr>
          <w:rtl w:val="0"/>
        </w:rPr>
        <w:t xml:space="preserve">) without ever achieving the critical mass. While Simon’s influence in economics was conceptually enduring, it remained marginal and  unable to generate coherent, large and stable bibliometric communities.</w:t>
      </w:r>
    </w:p>
    <w:p w:rsidR="00000000" w:rsidDel="00000000" w:rsidP="00000000" w:rsidRDefault="00000000" w:rsidRPr="00000000" w14:paraId="00000062">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a lot of these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Our quantitative study suggests two </w:t>
      </w:r>
      <w:r w:rsidDel="00000000" w:rsidR="00000000" w:rsidRPr="00000000">
        <w:rPr>
          <w:rtl w:val="0"/>
        </w:rPr>
        <w:t xml:space="preserve">points regarding</w:t>
      </w:r>
      <w:r w:rsidDel="00000000" w:rsidR="00000000" w:rsidRPr="00000000">
        <w:rPr>
          <w:rtl w:val="0"/>
        </w:rPr>
        <w:t xml:space="preserve">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w:t>
      </w:r>
      <w:r w:rsidDel="00000000" w:rsidR="00000000" w:rsidRPr="00000000">
        <w:rPr>
          <w:vertAlign w:val="superscript"/>
        </w:rPr>
        <w:footnoteReference w:customMarkFollows="0" w:id="36"/>
      </w:r>
      <w:r w:rsidDel="00000000" w:rsidR="00000000" w:rsidRPr="00000000">
        <w:rPr>
          <w:rtl w:val="0"/>
        </w:rPr>
        <w:t xml:space="preserve"> Moreover, </w:t>
      </w:r>
      <w:r w:rsidDel="00000000" w:rsidR="00000000" w:rsidRPr="00000000">
        <w:rPr>
          <w:rtl w:val="0"/>
        </w:rPr>
        <w:t xml:space="preserve">as early as the 1978–1985 bibliometric network, we </w:t>
      </w:r>
      <w:r w:rsidDel="00000000" w:rsidR="00000000" w:rsidRPr="00000000">
        <w:rPr>
          <w:rtl w:val="0"/>
        </w:rPr>
        <w:t xml:space="preserve">identify</w:t>
      </w:r>
      <w:r w:rsidDel="00000000" w:rsidR="00000000" w:rsidRPr="00000000">
        <w:rPr>
          <w:rtl w:val="0"/>
        </w:rPr>
        <w:t xml:space="preserve"> an autonomous cluster structured around their work (cl_391), indicating that the article not only attracted citations but quickly catalyzed new research strands, in a way Simon’s work never did within economics [@heukelom_sense_2012]. Hence, while the institutional structures that came after played an important role in the subsequent reception of the research program as a whole, the reception of Kahneman and Tversky’s seminal paper was already important just after its publication. </w:t>
      </w:r>
    </w:p>
    <w:p w:rsidR="00000000" w:rsidDel="00000000" w:rsidP="00000000" w:rsidRDefault="00000000" w:rsidRPr="00000000" w14:paraId="00000065">
      <w:pPr>
        <w:rPr/>
      </w:pPr>
      <w:r w:rsidDel="00000000" w:rsidR="00000000" w:rsidRPr="00000000">
        <w:rPr>
          <w:rtl w:val="0"/>
        </w:rPr>
        <w:t xml:space="preserve">The second point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8">
      <w:pPr>
        <w:rPr>
          <w:ins w:author="Thomas Delcey" w:id="0" w:date="2026-05-13T14:54:05Z"/>
        </w:rPr>
      </w:pPr>
      <w:r w:rsidDel="00000000" w:rsidR="00000000" w:rsidRPr="00000000">
        <w:rPr>
          <w:rtl w:val="0"/>
        </w:rPr>
        <w:t xml:space="preserve">A favorable interpretation holds that “new” behavioral economics has genuinely revived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w:t>
      </w:r>
      <w:r w:rsidDel="00000000" w:rsidR="00000000" w:rsidRPr="00000000">
        <w:rPr>
          <w:rtl w:val="0"/>
        </w:rPr>
        <w:t xml:space="preserve">A third interpretation suggests that rising citation counts reflect a growing backlash against the “new” behavioral program, as defenders of “old” behavioral economics increasingly invoke Simon and others to challenge the heuristics-and-biases framework</w:t>
      </w:r>
      <w:r w:rsidDel="00000000" w:rsidR="00000000" w:rsidRPr="00000000">
        <w:rPr>
          <w:rtl w:val="0"/>
        </w:rPr>
        <w:t xml:space="preserve"> [@vranasGigerenzers2000].</w:t>
      </w:r>
      <w:ins w:author="Thomas Delcey" w:id="0" w:date="2026-05-13T14:54:05Z">
        <w:commentRangeStart w:id="0"/>
        <w:r w:rsidDel="00000000" w:rsidR="00000000" w:rsidRPr="00000000">
          <w:rPr>
            <w:rtl w:val="0"/>
          </w:rPr>
        </w:r>
      </w:ins>
    </w:p>
    <w:p w:rsidR="00000000" w:rsidDel="00000000" w:rsidP="00000000" w:rsidRDefault="00000000" w:rsidRPr="00000000" w14:paraId="00000069">
      <w:pPr>
        <w:rPr/>
      </w:pPr>
      <w:ins w:author="Thomas Delcey" w:id="0" w:date="2026-05-13T14:54:05Z">
        <w:commentRangeStart w:id="0"/>
        <w:commentRangeEnd w:id="0"/>
        <w:r w:rsidDel="00000000" w:rsidR="00000000" w:rsidRPr="00000000">
          <w:commentReference w:id="0"/>
        </w:r>
        <w:r w:rsidDel="00000000" w:rsidR="00000000" w:rsidRPr="00000000">
          <w:rPr>
            <w:rtl w:val="0"/>
            <w:rPrChange w:author="Thomas Delcey" w:id="1" w:date="2026-05-13T14:54:05Z">
              <w:rPr/>
            </w:rPrChange>
          </w:rPr>
          <w:t xml:space="preserve">A definitive assessment requires both closer qualitative analysis and targeted quantitative studies (such as tracing more precisely “old” behavioral economics influence). But our work already offers a roadmap for future research into the ambivalent relationship between “old” and “new” behavioral economics. The sparse and weakly structured citation patterns associated with “old” behavioral economics that we observed point toward appropriation rather than genuine integration. Our bibliometric networks show that neither Simon nor researchers associated with his ideas formed stable communities or structured those of “new” behavioral economics. Most concepts associated with “old” behavioral economics are absent from “new” behavioral economists’ vocabulary (e.g., the 2000–2009 semantic clusters “Game Theory” and “Decision Theory”), and where such concepts do appear, they are largely confined to institutionalist or heterodox clusters (e.g., the 2000–2009 semantic cluster “Rationality and its Limits”). “Old” behavioral economists are invoked alongside canonical figures such as Adam Smith or Allais to anchor “new” behavioral economics within a longer tradition of criticism of standard rationality (e.g., the 2002–2009 coupling cluster “Behavioral Economics: Social Preferences”). Simon’s influence thus persists primarily as a symbolic and framing reference, useful for situating debates and reconstructing intellectual lineages, while his substantive framework remains only superficially incorporated. </w:t>
        </w:r>
      </w:ins>
      <w:r w:rsidDel="00000000" w:rsidR="00000000" w:rsidRPr="00000000">
        <w:rPr>
          <w:rtl w:val="0"/>
        </w:rPr>
      </w:r>
    </w:p>
    <w:p w:rsidR="00000000" w:rsidDel="00000000" w:rsidP="00000000" w:rsidRDefault="00000000" w:rsidRPr="00000000" w14:paraId="0000006A">
      <w:pPr>
        <w:rPr>
          <w:del w:author="Thomas Delcey" w:id="2" w:date="2026-05-13T14:25:39Z"/>
        </w:rPr>
      </w:pPr>
      <w:del w:author="Thomas Delcey" w:id="2" w:date="2026-05-13T14:25:39Z">
        <w:commentRangeStart w:id="1"/>
        <w:r w:rsidDel="00000000" w:rsidR="00000000" w:rsidRPr="00000000">
          <w:rPr>
            <w:rtl w:val="0"/>
          </w:rPr>
          <w:delText xml:space="preserve"> </w:delText>
        </w:r>
        <w:r w:rsidDel="00000000" w:rsidR="00000000" w:rsidRPr="00000000">
          <w:rPr>
            <w:rtl w:val="0"/>
          </w:rPr>
          <w:delText xml:space="preserve">First, we find no evidence of </w:delText>
        </w:r>
      </w:del>
      <w:ins w:author="Thomas Delcey" w:id="2" w:date="2026-05-13T14:25:39Z">
        <w:del w:author="Thomas Delcey" w:id="2" w:date="2026-05-13T14:25:39Z">
          <w:commentRangeEnd w:id="1"/>
          <w:r w:rsidDel="00000000" w:rsidR="00000000" w:rsidRPr="00000000">
            <w:commentReference w:id="1"/>
          </w:r>
          <w:r w:rsidDel="00000000" w:rsidR="00000000" w:rsidRPr="00000000">
            <w:rPr>
              <w:rtl w:val="0"/>
            </w:rPr>
            <w:delText xml:space="preserve">negative citations toward  </w:delText>
          </w:r>
        </w:del>
      </w:ins>
      <w:del w:author="Thomas Delcey" w:id="2" w:date="2026-05-13T14:25:39Z">
        <w:r w:rsidDel="00000000" w:rsidR="00000000" w:rsidRPr="00000000">
          <w:rPr>
            <w:rtl w:val="0"/>
          </w:rPr>
          <w:delText xml:space="preserve">a backlash against “old” behavioral economics, either qualitatively or quantitatively </w:delText>
        </w:r>
        <w:commentRangeStart w:id="2"/>
        <w:r w:rsidDel="00000000" w:rsidR="00000000" w:rsidRPr="00000000">
          <w:rPr>
            <w:rtl w:val="0"/>
          </w:rPr>
          <w:delText xml:space="preserve">The clearest example of negative citation patterns in our network is that of behavioral finance economists toward Eugene Fama's work, which functions as an explicit critical benchmark</w:delText>
        </w:r>
        <w:r w:rsidDel="00000000" w:rsidR="00000000" w:rsidRPr="00000000">
          <w:rPr>
            <w:rtl w:val="0"/>
          </w:rPr>
          <w:delText xml:space="preserve"> (e.g., the 2002–2009 coupling cluster "Finance: Behavioral Finance"). </w:delText>
        </w:r>
        <w:commentRangeEnd w:id="2"/>
        <w:r w:rsidDel="00000000" w:rsidR="00000000" w:rsidRPr="00000000">
          <w:commentReference w:id="2"/>
        </w:r>
        <w:r w:rsidDel="00000000" w:rsidR="00000000" w:rsidRPr="00000000">
          <w:rPr>
            <w:rtl w:val="0"/>
          </w:rPr>
          <w:delText xml:space="preserve">We observe no such patterns in other behavioral economics clusters</w:delText>
        </w:r>
        <w:r w:rsidDel="00000000" w:rsidR="00000000" w:rsidRPr="00000000">
          <w:rPr>
            <w:rtl w:val="0"/>
          </w:rPr>
          <w:delText xml:space="preserve"> (see also @trucForty2022). Second, we find no evidence of a revival of “old” behavioral economics either. While citations to “old” behavioral economics references increased, they are not structurally central to any identified behavioral economics cluster (e.g., the 2002–2009 coupling cluster “Behavioral Economics: Risk &amp; Uncertainty”). Nor do we identify any cluster organized around a distinct behavioral approach closer to “old” behavioral economics</w:delText>
        </w:r>
      </w:del>
      <w:ins w:author="Thomas Delcey" w:id="3" w:date="2026-05-13T13:54:31Z">
        <w:del w:author="Thomas Delcey" w:id="2" w:date="2026-05-13T14:25:39Z">
          <w:r w:rsidDel="00000000" w:rsidR="00000000" w:rsidRPr="00000000">
            <w:rPr>
              <w:rtl w:val="0"/>
            </w:rPr>
            <w:delText xml:space="preserve">,</w:delText>
          </w:r>
        </w:del>
      </w:ins>
      <w:del w:author="Thomas Delcey" w:id="2" w:date="2026-05-13T14:25:39Z">
        <w:r w:rsidDel="00000000" w:rsidR="00000000" w:rsidRPr="00000000">
          <w:rPr>
            <w:rtl w:val="0"/>
          </w:rPr>
          <w:delText xml:space="preserve">. We find no “old” behavioral economics sub-specialty analogous to game theory, behavioral finance, or pro-social behavior </w:delText>
        </w:r>
        <w:r w:rsidDel="00000000" w:rsidR="00000000" w:rsidRPr="00000000">
          <w:rPr>
            <w:rtl w:val="0"/>
          </w:rPr>
          <w:delText xml:space="preserve">which suggests a widespread diffusion rather than the formation of a structured approach. Most concepts associated with “old” behavioral economics are absent from “new” behavioral economists’ vocabulary (e.g., the 2000–2009 semantic clusters “Game Theory” and “Decision Theory”), and where such concepts do appear, they are largely confined to institutionalist or heterodox clusters (e.g., the 2000–2009 semantic cluster “Rationality and its Limits”). </w:delText>
        </w:r>
      </w:del>
    </w:p>
    <w:p w:rsidR="00000000" w:rsidDel="00000000" w:rsidP="00000000" w:rsidRDefault="00000000" w:rsidRPr="00000000" w14:paraId="0000006B">
      <w:pPr>
        <w:rPr/>
      </w:pPr>
      <w:del w:author="Thomas Delcey" w:id="2" w:date="2026-05-13T14:25:39Z">
        <w:r w:rsidDel="00000000" w:rsidR="00000000" w:rsidRPr="00000000">
          <w:rPr>
            <w:rtl w:val="0"/>
          </w:rPr>
          <w:delText xml:space="preserve">Taken together, the sparse and weakly structured citation patterns associated with “old” behavioral economics combined with the fact that contemporary discussions of rationality are increasingly framed through the concepts of “new” behavioral and experimental economics point toward appropriation rather than genuine integration. “Old” behavioral economists are invoked alongside canonical figures such as Adam Smith or Allais to anchor “new” behavioral economics within a longer tradition of criticism of standard rationality (e.g., the 2002–2009 coupling cluster “Behavioral Economics: Social Preferences”). Simon's influence thus persists primarily as a symbolic and framing reference, useful for situating debates and reconstructing intellectual lineages, while his substantive framework remains only superficially incorporated. </w:delText>
        </w:r>
        <w:r w:rsidDel="00000000" w:rsidR="00000000" w:rsidRPr="00000000">
          <w:rPr>
            <w:rtl w:val="0"/>
          </w:rPr>
          <w:delText xml:space="preserve">Although a definitive assessment requires both closer qualitative analysis and targeted quantitative studies (such as tracing more precisely “old” behavioral economics influence), our work offers a roadmap for future research into the complex, ambivalent relationship between 'old' and 'new' behavioral economics</w:delText>
        </w:r>
      </w:del>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C">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D">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w:t>
      </w:r>
      <w:ins w:author="Thomas Delcey" w:id="4" w:date="2026-05-13T14:12:22Z">
        <w:r w:rsidDel="00000000" w:rsidR="00000000" w:rsidRPr="00000000">
          <w:rPr>
            <w:rtl w:val="0"/>
          </w:rPr>
          <w:t xml:space="preserve">Third, we also provide a LLM-base measure, with a time component, to select corpora that goes beyond raw set of keyword.</w:t>
        </w:r>
      </w:ins>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We want to conclude by drawing several general methodological and historiographic points from the approaches developed in this article.</w:t>
      </w:r>
    </w:p>
    <w:p w:rsidR="00000000" w:rsidDel="00000000" w:rsidP="00000000" w:rsidRDefault="00000000" w:rsidRPr="00000000" w14:paraId="00000070">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1">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2">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del w:author="Thomas Delcey" w:id="5" w:date="2026-05-13T14:18:58Z">
        <w:commentRangeStart w:id="3"/>
        <w:r w:rsidDel="00000000" w:rsidR="00000000" w:rsidRPr="00000000">
          <w:rPr>
            <w:rtl w:val="0"/>
          </w:rPr>
          <w:delText xml:space="preserve">We have briefly pointed to some of these patterns above.</w:delText>
        </w:r>
        <w:r w:rsidDel="00000000" w:rsidR="00000000" w:rsidRPr="00000000">
          <w:rPr>
            <w:rtl w:val="0"/>
          </w:rPr>
          <w:delText xml:space="preserve"> </w:delText>
        </w:r>
      </w:del>
      <w:commentRangeEnd w:id="3"/>
      <w:r w:rsidDel="00000000" w:rsidR="00000000" w:rsidRPr="00000000">
        <w:commentReference w:id="3"/>
      </w:r>
      <w:r w:rsidDel="00000000" w:rsidR="00000000" w:rsidRPr="00000000">
        <w:rPr>
          <w:rtl w:val="0"/>
        </w:rPr>
        <w:t xml:space="preserve">By making available an interactive application</w:t>
      </w:r>
      <w:r w:rsidDel="00000000" w:rsidR="00000000" w:rsidRPr="00000000">
        <w:rPr>
          <w:rtl w:val="0"/>
        </w:rPr>
        <w:t xml:space="preserve"> </w:t>
      </w:r>
      <w:r w:rsidDel="00000000" w:rsidR="00000000" w:rsidRPr="00000000">
        <w:rPr>
          <w:rtl w:val="0"/>
        </w:rPr>
        <w:t xml:space="preserve">to explore our results, we hope to encourage readers to pursue their own paths of discovery within the corpus.</w:t>
      </w: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omas Delcey" w:id="2" w:date="2026-05-13T13:47:00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ça me semble pas nécessaire, et ça mériterait plus de précision. Si c'est prouvé par notre analyse, c'est quoi les indicateurs ? Je vois 0 phrases qui parlent de Fama. Tout le monde cite Fama, y compris pour des raisons méthodologiques neutres.</w:t>
      </w:r>
    </w:p>
  </w:comment>
  <w:comment w:author="Thomas Delcey" w:id="0" w:date="2026-05-13T14:59:38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@aurelien.goutsmedt@uclouvain.be @alexandre.truc77@gmail.com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Proposition de synthétise tes paragraphes Alex. Je trouve ça très long et surtout je trouve ça peu convaincant. La seule preuve apportée c'est un manque de structure des citations de Simon mais je vois pas trop comment ça implique une réfutation de l'H1 ou de l'H3, ou encore même d'une H4 (Simon est cité en dehors du BE). Je pense que le papier de prétendre démontrer des choses, c'est ta réponse au rapporteur 1, et autant faire court sur les remarques spéculatives.</w:t>
      </w:r>
    </w:p>
  </w:comment>
  <w:comment w:author="Thomas Delcey" w:id="3" w:date="2026-05-13T14:19:05Z">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en parle plus tant que ça non ? Supprimer si j'ai loupé un argument important.</w:t>
      </w:r>
    </w:p>
  </w:comment>
  <w:comment w:author="Thomas Delcey" w:id="1" w:date="2026-05-13T14:52:32Z">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"Most concepts associated with “old” behavioral economics are absent from “new” behavioral economists’ vocabulary (e.g., the 2000–2009 semantic clusters “Game Theory” and “Decision Theory”), and where such concepts do appear, they are largely confined to institutionalist or heterodox clusters (e.g., the 2000–2009 semantic cluster “Rationality and its Limits”)."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 coup, ça valide plutôt l'H3 ou une H4: Simon est cité par des hétérodoxes qui s'en foutent du new BE.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0">
    <w:p w:rsidR="00000000" w:rsidDel="00000000" w:rsidP="00000000" w:rsidRDefault="00000000" w:rsidRPr="00000000" w14:paraId="0000007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3">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8">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5">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9">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 in particular, @tbl-wos-match-decade.</w:t>
      </w:r>
    </w:p>
  </w:footnote>
  <w:footnote w:id="10">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1">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2">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4">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a few thousands of articles.</w:t>
      </w:r>
    </w:p>
  </w:footnote>
  <w:footnote w:id="25">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9">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29">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8">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0">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34">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5">
    <w:p w:rsidR="00000000" w:rsidDel="00000000" w:rsidP="00000000" w:rsidRDefault="00000000" w:rsidRPr="00000000" w14:paraId="00000085">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2">
    <w:p w:rsidR="00000000" w:rsidDel="00000000" w:rsidP="00000000" w:rsidRDefault="00000000" w:rsidRPr="00000000" w14:paraId="00000086">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w:t>
      </w:r>
      <w:hyperlink r:id="rId1">
        <w:r w:rsidDel="00000000" w:rsidR="00000000" w:rsidRPr="00000000">
          <w:rPr>
            <w:color w:val="1155cc"/>
            <w:sz w:val="20"/>
            <w:szCs w:val="20"/>
            <w:u w:val="single"/>
            <w:rtl w:val="0"/>
          </w:rPr>
          <w:t xml:space="preserve">https://github.com/tdelcey/ejhet_quanti_method_app</w:t>
        </w:r>
      </w:hyperlink>
      <w:r w:rsidDel="00000000" w:rsidR="00000000" w:rsidRPr="00000000">
        <w:rPr>
          <w:sz w:val="20"/>
          <w:szCs w:val="20"/>
          <w:rtl w:val="0"/>
        </w:rPr>
        <w:t xml:space="preserve">. For non technical-users, a public version is available at the following url: </w:t>
      </w:r>
      <w:hyperlink r:id="rId2">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r>
    </w:p>
  </w:footnote>
  <w:footnote w:id="4">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they have institutional access to the relevant issues.</w:t>
      </w:r>
    </w:p>
  </w:footnote>
  <w:footnote w:id="14">
    <w:p w:rsidR="00000000" w:rsidDel="00000000" w:rsidP="00000000" w:rsidRDefault="00000000" w:rsidRPr="00000000" w14:paraId="00000089">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7">
    <w:p w:rsidR="00000000" w:rsidDel="00000000" w:rsidP="00000000" w:rsidRDefault="00000000" w:rsidRPr="00000000" w14:paraId="0000008A">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classified as “noise” by the HDBSCAN algorithm. </w:t>
      </w:r>
    </w:p>
  </w:footnote>
  <w:footnote w:id="18">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6">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3">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w:t>
      </w:r>
    </w:p>
  </w:footnote>
  <w:footnote w:id="21">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3">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6">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7">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0">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7">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w:t>
      </w:r>
    </w:p>
  </w:footnote>
  <w:footnote w:id="31">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3">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2">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eight-year window for bibliometric communities follows established practice in the quantitative history of economics [@claveauMacrodynamics2016], which is generally between 5 and 10 years [@abramoAssessing2011]. In our case, economics being a social science with longer citation spans of life [@lariviereLongterm2008; @aistleitnerCitation2019], and our object of study spanning across multiple decades, a longer time window than 5 years is favored while preserving more granularity than a 10-year one.</w:t>
      </w:r>
    </w:p>
  </w:footnote>
  <w:footnote w:id="15">
    <w:p w:rsidR="00000000" w:rsidDel="00000000" w:rsidP="00000000" w:rsidRDefault="00000000" w:rsidRPr="00000000" w14:paraId="00000097">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highlight w:val="white"/>
          <w:rtl w:val="0"/>
        </w:rPr>
        <w:t xml:space="preserve">.</w:t>
      </w:r>
      <w:r w:rsidDel="00000000" w:rsidR="00000000" w:rsidRPr="00000000">
        <w:rPr>
          <w:sz w:val="20"/>
          <w:szCs w:val="20"/>
          <w:highlight w:val="white"/>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straightforward to compute the closest vector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26">
    <w:p w:rsidR="00000000" w:rsidDel="00000000" w:rsidP="00000000" w:rsidRDefault="00000000" w:rsidRPr="00000000" w14:paraId="0000009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w:t>
      </w:r>
      <w:hyperlink r:id="rId3">
        <w:r w:rsidDel="00000000" w:rsidR="00000000" w:rsidRPr="00000000">
          <w:rPr>
            <w:color w:val="1155cc"/>
            <w:sz w:val="20"/>
            <w:szCs w:val="20"/>
            <w:u w:val="single"/>
            <w:rtl w:val="0"/>
          </w:rPr>
          <w:t xml:space="preserve">https://github.com/tdelcey/ejhet_quanti_method_app</w:t>
        </w:r>
      </w:hyperlink>
      <w:r w:rsidDel="00000000" w:rsidR="00000000" w:rsidRPr="00000000">
        <w:rPr>
          <w:sz w:val="20"/>
          <w:szCs w:val="20"/>
          <w:rtl w:val="0"/>
        </w:rPr>
        <w:t xml:space="preserve">. For non technical-users, a public version is available at the following url: </w:t>
      </w:r>
      <w:hyperlink r:id="rId4">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r>
    </w:p>
  </w:footnote>
  <w:footnote w:id="36">
    <w:p w:rsidR="00000000" w:rsidDel="00000000" w:rsidP="00000000" w:rsidRDefault="00000000" w:rsidRPr="00000000" w14:paraId="0000009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aligns with a general finding in scientometrics that citations in the first two years after publication explain more than half of the variation in cumulative citations [@sternHighRanked2014]</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tdelcey/ejhet_quanti_method_app%5D(https://github.com/tdelcey/ejhet_quanti_method_app)" TargetMode="External"/><Relationship Id="rId2" Type="http://schemas.openxmlformats.org/officeDocument/2006/relationships/hyperlink" Target="https://019adac8-81d4-aa0e-808c-08861c261fd2.share.connect.posit.cloud/%5D(https://019adac8-81d4-aa0e-808c-08861c261fd2.share.connect.posit.cloud/)" TargetMode="External"/><Relationship Id="rId3" Type="http://schemas.openxmlformats.org/officeDocument/2006/relationships/hyperlink" Target="https://github.com/tdelcey/ejhet_quanti_method_app%5D(https://github.com/tdelcey/ejhet_quanti_method_app)" TargetMode="External"/><Relationship Id="rId4" Type="http://schemas.openxmlformats.org/officeDocument/2006/relationships/hyperlink" Target="https://019adac8-81d4-aa0e-808c-08861c261fd2.share.connect.posit.cloud/%5D(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